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AEC4D">
      <w:pPr>
        <w:adjustRightInd w:val="0"/>
        <w:snapToGrid w:val="0"/>
        <w:ind w:left="0" w:leftChars="0" w:firstLine="0" w:firstLineChars="0"/>
        <w:jc w:val="both"/>
        <w:outlineLvl w:val="0"/>
        <w:rPr>
          <w:rFonts w:hint="eastAsia" w:ascii="方正小标宋_GBK" w:eastAsia="方正小标宋_GBK"/>
          <w:bCs/>
          <w:color w:val="000000"/>
          <w:sz w:val="72"/>
          <w:szCs w:val="72"/>
        </w:rPr>
      </w:pPr>
      <w:bookmarkStart w:id="0" w:name="_Toc20628"/>
    </w:p>
    <w:p w14:paraId="64C63738">
      <w:pPr>
        <w:adjustRightInd w:val="0"/>
        <w:snapToGrid w:val="0"/>
        <w:ind w:left="0" w:leftChars="0" w:firstLine="0" w:firstLineChars="0"/>
        <w:jc w:val="both"/>
        <w:outlineLvl w:val="0"/>
        <w:rPr>
          <w:rFonts w:hint="eastAsia"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bookmarkEnd w:id="0"/>
    </w:p>
    <w:p w14:paraId="71EB2EFF">
      <w:pPr>
        <w:adjustRightInd w:val="0"/>
        <w:snapToGrid w:val="0"/>
        <w:spacing w:before="192" w:beforeLines="80"/>
        <w:jc w:val="center"/>
        <w:rPr>
          <w:rFonts w:hint="default" w:ascii="Times New Roman" w:hAnsi="Times New Roman" w:eastAsia="楷体_GB2312" w:cs="Times New Roman"/>
          <w:bCs/>
          <w:color w:val="000000"/>
          <w:sz w:val="48"/>
          <w:szCs w:val="48"/>
        </w:rPr>
      </w:pPr>
      <w:r>
        <w:rPr>
          <w:rFonts w:hint="default" w:ascii="Times New Roman" w:hAnsi="Times New Roman" w:eastAsia="楷体_GB2312" w:cs="Times New Roman"/>
          <w:bCs/>
          <w:color w:val="000000"/>
          <w:sz w:val="48"/>
          <w:szCs w:val="48"/>
        </w:rPr>
        <w:t>（</w:t>
      </w:r>
      <w:r>
        <w:rPr>
          <w:rFonts w:hint="eastAsia" w:ascii="Times New Roman" w:hAnsi="Times New Roman" w:eastAsia="楷体_GB2312" w:cs="Times New Roman"/>
          <w:bCs/>
          <w:color w:val="000000"/>
          <w:sz w:val="48"/>
          <w:szCs w:val="48"/>
          <w:lang w:eastAsia="zh-CN"/>
        </w:rPr>
        <w:t>生态</w:t>
      </w:r>
      <w:r>
        <w:rPr>
          <w:rFonts w:hint="default" w:ascii="Times New Roman" w:hAnsi="Times New Roman" w:eastAsia="楷体_GB2312" w:cs="Times New Roman"/>
          <w:bCs/>
          <w:color w:val="000000"/>
          <w:sz w:val="48"/>
          <w:szCs w:val="48"/>
        </w:rPr>
        <w:t>影响类）</w:t>
      </w:r>
    </w:p>
    <w:p w14:paraId="49E3193F">
      <w:pPr>
        <w:pStyle w:val="2"/>
        <w:tabs>
          <w:tab w:val="left" w:pos="420"/>
        </w:tabs>
        <w:ind w:firstLine="2832" w:firstLineChars="590"/>
        <w:jc w:val="both"/>
        <w:rPr>
          <w:rFonts w:hint="default" w:ascii="Times New Roman" w:hAnsi="Times New Roman" w:eastAsia="楷体_GB2312" w:cs="Times New Roman"/>
          <w:lang w:eastAsia="zh-CN"/>
        </w:rPr>
      </w:pPr>
      <w:r>
        <w:rPr>
          <w:rFonts w:hint="eastAsia" w:ascii="Times New Roman" w:hAnsi="Times New Roman" w:eastAsia="楷体_GB2312" w:cs="Times New Roman"/>
          <w:bCs/>
          <w:color w:val="000000"/>
          <w:sz w:val="48"/>
          <w:szCs w:val="48"/>
          <w:lang w:val="en-US" w:eastAsia="zh-CN"/>
        </w:rPr>
        <w:t>（送审</w:t>
      </w:r>
      <w:r>
        <w:rPr>
          <w:rFonts w:hint="default" w:ascii="Times New Roman" w:hAnsi="Times New Roman" w:eastAsia="楷体_GB2312" w:cs="Times New Roman"/>
          <w:bCs/>
          <w:color w:val="000000"/>
          <w:sz w:val="48"/>
          <w:szCs w:val="48"/>
          <w:lang w:val="en-US" w:eastAsia="zh-CN"/>
        </w:rPr>
        <w:t>稿</w:t>
      </w:r>
      <w:r>
        <w:rPr>
          <w:rFonts w:hint="default" w:ascii="Times New Roman" w:hAnsi="Times New Roman" w:eastAsia="楷体_GB2312" w:cs="Times New Roman"/>
          <w:bCs/>
          <w:color w:val="000000"/>
          <w:sz w:val="48"/>
          <w:szCs w:val="48"/>
          <w:lang w:eastAsia="zh-CN"/>
        </w:rPr>
        <w:t>）</w:t>
      </w:r>
    </w:p>
    <w:p w14:paraId="70463F44">
      <w:pPr>
        <w:spacing w:line="480" w:lineRule="auto"/>
        <w:ind w:left="0" w:leftChars="0" w:firstLine="0" w:firstLineChars="0"/>
        <w:rPr>
          <w:rFonts w:eastAsia="仿宋"/>
          <w:color w:val="000000"/>
          <w:sz w:val="44"/>
          <w:szCs w:val="44"/>
        </w:rPr>
      </w:pPr>
    </w:p>
    <w:p w14:paraId="1FCC1660">
      <w:pPr>
        <w:pStyle w:val="2"/>
        <w:rPr>
          <w:rFonts w:eastAsia="仿宋"/>
          <w:color w:val="000000"/>
          <w:sz w:val="44"/>
          <w:szCs w:val="44"/>
        </w:rPr>
      </w:pPr>
    </w:p>
    <w:p w14:paraId="3F02CE52">
      <w:pPr>
        <w:pStyle w:val="4"/>
      </w:pPr>
    </w:p>
    <w:p w14:paraId="4C86B667">
      <w:pPr>
        <w:pStyle w:val="2"/>
        <w:keepNext w:val="0"/>
        <w:keepLines w:val="0"/>
        <w:pageBreakBefore w:val="0"/>
        <w:widowControl w:val="0"/>
        <w:tabs>
          <w:tab w:val="left" w:pos="420"/>
        </w:tabs>
        <w:kinsoku/>
        <w:wordWrap/>
        <w:overflowPunct/>
        <w:topLinePunct w:val="0"/>
        <w:autoSpaceDE w:val="0"/>
        <w:autoSpaceDN w:val="0"/>
        <w:bidi w:val="0"/>
        <w:snapToGrid/>
        <w:spacing w:line="288" w:lineRule="auto"/>
        <w:jc w:val="center"/>
        <w:rPr>
          <w:rFonts w:hint="default" w:ascii="Times New Roman" w:hAnsi="Times New Roman" w:eastAsia="仿宋" w:cs="Times New Roman"/>
          <w:kern w:val="2"/>
          <w:sz w:val="36"/>
          <w:szCs w:val="36"/>
          <w:u w:val="single"/>
          <w:lang w:val="en-US" w:eastAsia="zh-CN" w:bidi="ar-SA"/>
        </w:rPr>
      </w:pPr>
      <w:r>
        <w:rPr>
          <w:rFonts w:hint="default" w:ascii="Times New Roman" w:hAnsi="Times New Roman" w:eastAsia="仿宋" w:cs="Times New Roman"/>
          <w:kern w:val="2"/>
          <w:sz w:val="36"/>
          <w:szCs w:val="36"/>
          <w:u w:val="none"/>
          <w:lang w:val="en-US" w:eastAsia="zh-CN" w:bidi="ar-SA"/>
        </w:rPr>
        <w:t>项目名称：</w:t>
      </w:r>
      <w:r>
        <w:rPr>
          <w:rFonts w:hint="eastAsia" w:ascii="Times New Roman" w:hAnsi="Times New Roman" w:eastAsia="仿宋" w:cs="Times New Roman"/>
          <w:kern w:val="2"/>
          <w:sz w:val="36"/>
          <w:szCs w:val="36"/>
          <w:u w:val="single"/>
          <w:lang w:val="en-US" w:eastAsia="zh-CN" w:bidi="ar-SA"/>
        </w:rPr>
        <w:t>寻甸县常青树磷石膏库综合治理项目（塘子镇钟灵村委会令友采石场生态修复工程）</w:t>
      </w:r>
    </w:p>
    <w:p w14:paraId="095C0D75">
      <w:pPr>
        <w:keepNext w:val="0"/>
        <w:keepLines w:val="0"/>
        <w:pageBreakBefore w:val="0"/>
        <w:widowControl w:val="0"/>
        <w:kinsoku/>
        <w:wordWrap/>
        <w:overflowPunct/>
        <w:topLinePunct w:val="0"/>
        <w:autoSpaceDE w:val="0"/>
        <w:autoSpaceDN w:val="0"/>
        <w:bidi w:val="0"/>
        <w:snapToGrid/>
        <w:spacing w:line="288" w:lineRule="auto"/>
        <w:ind w:firstLine="720" w:firstLineChars="200"/>
        <w:jc w:val="center"/>
        <w:rPr>
          <w:rFonts w:hint="default" w:ascii="Times New Roman" w:hAnsi="Times New Roman" w:eastAsia="仿宋" w:cs="Times New Roman"/>
          <w:kern w:val="2"/>
          <w:sz w:val="36"/>
          <w:szCs w:val="36"/>
          <w:u w:val="single"/>
          <w:lang w:val="en-US" w:eastAsia="zh-CN" w:bidi="ar-SA"/>
        </w:rPr>
      </w:pPr>
      <w:r>
        <w:rPr>
          <w:rFonts w:hint="eastAsia" w:ascii="Times New Roman" w:hAnsi="Times New Roman" w:eastAsia="仿宋" w:cs="Times New Roman"/>
          <w:kern w:val="2"/>
          <w:sz w:val="36"/>
          <w:szCs w:val="36"/>
          <w:u w:val="none"/>
          <w:lang w:val="en-US" w:eastAsia="zh-CN" w:bidi="ar-SA"/>
        </w:rPr>
        <w:t xml:space="preserve">    </w:t>
      </w:r>
      <w:r>
        <w:rPr>
          <w:rFonts w:hint="default" w:ascii="Times New Roman" w:hAnsi="Times New Roman" w:eastAsia="仿宋" w:cs="Times New Roman"/>
          <w:kern w:val="2"/>
          <w:sz w:val="36"/>
          <w:szCs w:val="36"/>
          <w:u w:val="none"/>
          <w:lang w:val="en-US" w:eastAsia="zh-CN" w:bidi="ar-SA"/>
        </w:rPr>
        <w:t>建设单位（盖章）</w:t>
      </w:r>
      <w:r>
        <w:rPr>
          <w:rFonts w:hint="default" w:ascii="Times New Roman" w:hAnsi="Times New Roman" w:eastAsia="仿宋" w:cs="Times New Roman"/>
          <w:kern w:val="2"/>
          <w:sz w:val="36"/>
          <w:szCs w:val="36"/>
          <w:u w:val="single"/>
          <w:lang w:val="en-US" w:eastAsia="zh-CN" w:bidi="ar-SA"/>
        </w:rPr>
        <w:t>：</w:t>
      </w:r>
      <w:r>
        <w:rPr>
          <w:rFonts w:hint="eastAsia" w:ascii="Times New Roman" w:hAnsi="Times New Roman" w:eastAsia="仿宋" w:cs="Times New Roman"/>
          <w:kern w:val="2"/>
          <w:sz w:val="36"/>
          <w:szCs w:val="36"/>
          <w:u w:val="single"/>
          <w:lang w:val="en-US" w:eastAsia="zh-CN" w:bidi="ar-SA"/>
        </w:rPr>
        <w:t>寻甸回族彝族自治县科学技术和工业信息化局</w:t>
      </w:r>
    </w:p>
    <w:p w14:paraId="57AE333E">
      <w:pPr>
        <w:keepNext w:val="0"/>
        <w:keepLines w:val="0"/>
        <w:pageBreakBefore w:val="0"/>
        <w:widowControl w:val="0"/>
        <w:kinsoku/>
        <w:wordWrap/>
        <w:overflowPunct/>
        <w:topLinePunct w:val="0"/>
        <w:autoSpaceDE w:val="0"/>
        <w:autoSpaceDN w:val="0"/>
        <w:bidi w:val="0"/>
        <w:snapToGrid/>
        <w:spacing w:line="288" w:lineRule="auto"/>
        <w:ind w:firstLine="1440" w:firstLineChars="400"/>
        <w:rPr>
          <w:rFonts w:hint="default" w:ascii="Times New Roman" w:hAnsi="Times New Roman" w:eastAsia="仿宋" w:cs="Times New Roman"/>
          <w:color w:val="000000"/>
          <w:sz w:val="36"/>
          <w:szCs w:val="36"/>
          <w:u w:val="single"/>
        </w:rPr>
      </w:pPr>
      <w:r>
        <w:rPr>
          <w:rFonts w:hint="default" w:ascii="Times New Roman" w:hAnsi="Times New Roman" w:eastAsia="仿宋" w:cs="Times New Roman"/>
          <w:kern w:val="2"/>
          <w:sz w:val="36"/>
          <w:szCs w:val="36"/>
          <w:u w:val="none"/>
          <w:lang w:val="en-US" w:eastAsia="zh-CN" w:bidi="ar-SA"/>
        </w:rPr>
        <w:t>编制日期</w:t>
      </w:r>
      <w:r>
        <w:rPr>
          <w:rFonts w:hint="eastAsia" w:ascii="Times New Roman" w:hAnsi="Times New Roman" w:eastAsia="仿宋" w:cs="Times New Roman"/>
          <w:kern w:val="2"/>
          <w:sz w:val="36"/>
          <w:szCs w:val="36"/>
          <w:u w:val="none"/>
          <w:lang w:val="en-US" w:eastAsia="zh-CN" w:bidi="ar-SA"/>
        </w:rPr>
        <w:t>：</w:t>
      </w:r>
      <w:r>
        <w:rPr>
          <w:rFonts w:hint="eastAsia" w:ascii="Times New Roman" w:hAnsi="Times New Roman" w:eastAsia="仿宋" w:cs="Times New Roman"/>
          <w:kern w:val="2"/>
          <w:sz w:val="36"/>
          <w:szCs w:val="36"/>
          <w:u w:val="single"/>
          <w:lang w:val="en-US" w:eastAsia="zh-CN" w:bidi="ar-SA"/>
        </w:rPr>
        <w:t xml:space="preserve">           2026年</w:t>
      </w:r>
      <w:r>
        <w:rPr>
          <w:rFonts w:hint="eastAsia" w:eastAsia="仿宋" w:cs="Times New Roman"/>
          <w:kern w:val="2"/>
          <w:sz w:val="36"/>
          <w:szCs w:val="36"/>
          <w:u w:val="single"/>
          <w:lang w:val="en-US" w:eastAsia="zh-CN" w:bidi="ar-SA"/>
        </w:rPr>
        <w:t>2</w:t>
      </w:r>
      <w:r>
        <w:rPr>
          <w:rFonts w:hint="eastAsia" w:ascii="Times New Roman" w:hAnsi="Times New Roman" w:eastAsia="仿宋" w:cs="Times New Roman"/>
          <w:kern w:val="2"/>
          <w:sz w:val="36"/>
          <w:szCs w:val="36"/>
          <w:u w:val="single"/>
          <w:lang w:val="en-US" w:eastAsia="zh-CN" w:bidi="ar-SA"/>
        </w:rPr>
        <w:t xml:space="preserve">月                                           </w:t>
      </w:r>
      <w:r>
        <w:rPr>
          <w:rFonts w:hint="default" w:ascii="Times New Roman" w:hAnsi="Times New Roman" w:eastAsia="仿宋" w:cs="Times New Roman"/>
          <w:kern w:val="2"/>
          <w:sz w:val="36"/>
          <w:szCs w:val="36"/>
          <w:u w:val="single"/>
          <w:lang w:val="en-US" w:eastAsia="zh-CN" w:bidi="ar-SA"/>
        </w:rPr>
        <w:t xml:space="preserve"> </w:t>
      </w:r>
      <w:r>
        <w:rPr>
          <w:rFonts w:hint="default" w:ascii="Times New Roman" w:hAnsi="Times New Roman" w:eastAsia="仿宋" w:cs="Times New Roman"/>
          <w:kern w:val="2"/>
          <w:sz w:val="36"/>
          <w:szCs w:val="36"/>
          <w:u w:val="single"/>
          <w:lang w:val="en-US" w:bidi="ar-SA"/>
        </w:rPr>
        <w:t xml:space="preserve">   </w:t>
      </w:r>
      <w:r>
        <w:rPr>
          <w:rFonts w:hint="default" w:ascii="Times New Roman" w:hAnsi="Times New Roman" w:eastAsia="仿宋" w:cs="Times New Roman"/>
          <w:color w:val="000000"/>
          <w:sz w:val="36"/>
          <w:szCs w:val="36"/>
          <w:u w:val="single"/>
        </w:rPr>
        <w:t xml:space="preserve">        </w:t>
      </w:r>
    </w:p>
    <w:p w14:paraId="268F026A">
      <w:pPr>
        <w:bidi w:val="0"/>
        <w:rPr>
          <w:lang w:val="zh-CN" w:eastAsia="zh-CN"/>
        </w:rPr>
      </w:pPr>
    </w:p>
    <w:p w14:paraId="7915AC74">
      <w:pPr>
        <w:bidi w:val="0"/>
        <w:rPr>
          <w:lang w:val="zh-CN" w:eastAsia="zh-CN"/>
        </w:rPr>
      </w:pPr>
    </w:p>
    <w:p w14:paraId="4F302158">
      <w:pPr>
        <w:bidi w:val="0"/>
        <w:rPr>
          <w:lang w:val="zh-CN" w:eastAsia="zh-CN"/>
        </w:rPr>
      </w:pPr>
    </w:p>
    <w:p w14:paraId="494873E7">
      <w:pPr>
        <w:bidi w:val="0"/>
        <w:rPr>
          <w:lang w:val="zh-CN" w:eastAsia="zh-CN"/>
        </w:rPr>
      </w:pPr>
    </w:p>
    <w:p w14:paraId="731CC983">
      <w:pPr>
        <w:keepNext w:val="0"/>
        <w:keepLines w:val="0"/>
        <w:widowControl/>
        <w:suppressLineNumbers w:val="0"/>
        <w:jc w:val="center"/>
        <w:rPr>
          <w:rFonts w:hint="eastAsia" w:ascii="楷体" w:eastAsia="楷体"/>
          <w:sz w:val="36"/>
        </w:rPr>
      </w:pPr>
    </w:p>
    <w:p w14:paraId="40081AF0">
      <w:pPr>
        <w:keepNext w:val="0"/>
        <w:keepLines w:val="0"/>
        <w:widowControl/>
        <w:suppressLineNumbers w:val="0"/>
        <w:jc w:val="center"/>
        <w:rPr>
          <w:rFonts w:hint="eastAsia" w:ascii="黑体" w:hAnsi="黑体" w:eastAsia="黑体"/>
          <w:color w:val="000000" w:themeColor="text1"/>
          <w:kern w:val="0"/>
          <w:sz w:val="30"/>
          <w:szCs w:val="30"/>
          <w14:textFill>
            <w14:solidFill>
              <w14:schemeClr w14:val="tx1"/>
            </w14:solidFill>
          </w14:textFill>
        </w:rPr>
        <w:sectPr>
          <w:headerReference r:id="rId5" w:type="default"/>
          <w:footerReference r:id="rId6" w:type="default"/>
          <w:pgSz w:w="11906" w:h="16838"/>
          <w:pgMar w:top="1701" w:right="1417" w:bottom="1417" w:left="1417" w:header="851" w:footer="851" w:gutter="0"/>
          <w:cols w:space="720" w:num="1"/>
          <w:docGrid w:linePitch="312" w:charSpace="0"/>
        </w:sectPr>
      </w:pPr>
      <w:r>
        <w:rPr>
          <w:rFonts w:hint="eastAsia" w:ascii="楷体" w:eastAsia="楷体"/>
          <w:sz w:val="36"/>
        </w:rPr>
        <w:t>中华人民共和国生态环境部制</w:t>
      </w:r>
    </w:p>
    <w:p w14:paraId="1F401B48">
      <w:pPr>
        <w:pStyle w:val="48"/>
        <w:rPr>
          <w:color w:val="000000" w:themeColor="text1"/>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10A5848">
      <w:pPr>
        <w:spacing w:line="240" w:lineRule="auto"/>
        <w:ind w:firstLine="0" w:firstLineChars="0"/>
        <w:jc w:val="center"/>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目录</w:t>
      </w:r>
    </w:p>
    <w:p w14:paraId="49195D72">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TOC \o "1-3" \h \u </w:instrText>
      </w:r>
      <w:r>
        <w:rPr>
          <w:rFonts w:hint="eastAsia"/>
          <w:snapToGrid w:val="0"/>
          <w:color w:val="000000" w:themeColor="text1"/>
          <w:szCs w:val="32"/>
          <w14:textFill>
            <w14:solidFill>
              <w14:schemeClr w14:val="tx1"/>
            </w14:solidFill>
          </w14:textFill>
        </w:rPr>
        <w:fldChar w:fldCharType="separate"/>
      </w: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_Toc23560 </w:instrText>
      </w:r>
      <w:r>
        <w:rPr>
          <w:rFonts w:hint="eastAsia"/>
          <w:snapToGrid w:val="0"/>
          <w:color w:val="000000" w:themeColor="text1"/>
          <w:szCs w:val="32"/>
          <w14:textFill>
            <w14:solidFill>
              <w14:schemeClr w14:val="tx1"/>
            </w14:solidFill>
          </w14:textFill>
        </w:rPr>
        <w:fldChar w:fldCharType="separate"/>
      </w:r>
      <w:r>
        <w:rPr>
          <w:rFonts w:hint="eastAsia" w:ascii="Times New Roman" w:hAnsi="Times New Roman"/>
          <w:snapToGrid w:val="0"/>
          <w:color w:val="000000" w:themeColor="text1"/>
          <w:szCs w:val="30"/>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4FADF717">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_Toc29043 </w:instrText>
      </w:r>
      <w:r>
        <w:rPr>
          <w:rFonts w:hint="eastAsia"/>
          <w:snapToGrid w:val="0"/>
          <w:color w:val="000000" w:themeColor="text1"/>
          <w:szCs w:val="32"/>
          <w14:textFill>
            <w14:solidFill>
              <w14:schemeClr w14:val="tx1"/>
            </w14:solidFill>
          </w14:textFill>
        </w:rPr>
        <w:fldChar w:fldCharType="separate"/>
      </w:r>
      <w:r>
        <w:rPr>
          <w:rFonts w:hint="eastAsia" w:ascii="Times New Roman" w:hAnsi="Times New Roman"/>
          <w:snapToGrid w:val="0"/>
          <w:color w:val="000000" w:themeColor="text1"/>
          <w:szCs w:val="30"/>
          <w14:textFill>
            <w14:solidFill>
              <w14:schemeClr w14:val="tx1"/>
            </w14:solidFill>
          </w14:textFill>
        </w:rPr>
        <w:t>二、建设内容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40304488">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_Toc29695 </w:instrText>
      </w:r>
      <w:r>
        <w:rPr>
          <w:rFonts w:hint="eastAsia"/>
          <w:snapToGrid w:val="0"/>
          <w:color w:val="000000" w:themeColor="text1"/>
          <w:szCs w:val="32"/>
          <w14:textFill>
            <w14:solidFill>
              <w14:schemeClr w14:val="tx1"/>
            </w14:solidFill>
          </w14:textFill>
        </w:rPr>
        <w:fldChar w:fldCharType="separate"/>
      </w:r>
      <w:r>
        <w:rPr>
          <w:rFonts w:hint="eastAsia" w:ascii="Times New Roman" w:hAnsi="Times New Roman"/>
          <w:snapToGrid w:val="0"/>
          <w:color w:val="000000" w:themeColor="text1"/>
          <w:szCs w:val="30"/>
          <w14:textFill>
            <w14:solidFill>
              <w14:schemeClr w14:val="tx1"/>
            </w14:solidFill>
          </w14:textFill>
        </w:rPr>
        <w:t>三、生态环境现状、保护目标及评价标准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15AAFC9C">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_Toc26209 </w:instrText>
      </w:r>
      <w:r>
        <w:rPr>
          <w:rFonts w:hint="eastAsia"/>
          <w:snapToGrid w:val="0"/>
          <w:color w:val="000000" w:themeColor="text1"/>
          <w:szCs w:val="32"/>
          <w14:textFill>
            <w14:solidFill>
              <w14:schemeClr w14:val="tx1"/>
            </w14:solidFill>
          </w14:textFill>
        </w:rPr>
        <w:fldChar w:fldCharType="separate"/>
      </w:r>
      <w:r>
        <w:rPr>
          <w:rFonts w:hint="eastAsia"/>
          <w:snapToGrid w:val="0"/>
          <w:color w:val="000000" w:themeColor="text1"/>
          <w:spacing w:val="0"/>
          <w:kern w:val="0"/>
          <w:szCs w:val="30"/>
          <w:lang w:val="en-US"/>
          <w14:textFill>
            <w14:solidFill>
              <w14:schemeClr w14:val="tx1"/>
            </w14:solidFill>
          </w14:textFill>
        </w:rPr>
        <w:t>四、生态环境影响分析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1F41DD6E">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_Toc32332 </w:instrText>
      </w:r>
      <w:r>
        <w:rPr>
          <w:rFonts w:hint="eastAsia"/>
          <w:snapToGrid w:val="0"/>
          <w:color w:val="000000" w:themeColor="text1"/>
          <w:szCs w:val="32"/>
          <w14:textFill>
            <w14:solidFill>
              <w14:schemeClr w14:val="tx1"/>
            </w14:solidFill>
          </w14:textFill>
        </w:rPr>
        <w:fldChar w:fldCharType="separate"/>
      </w:r>
      <w:r>
        <w:rPr>
          <w:rFonts w:hint="eastAsia" w:ascii="Times New Roman" w:hAnsi="Times New Roman"/>
          <w:snapToGrid w:val="0"/>
          <w:color w:val="000000" w:themeColor="text1"/>
          <w:szCs w:val="30"/>
          <w14:textFill>
            <w14:solidFill>
              <w14:schemeClr w14:val="tx1"/>
            </w14:solidFill>
          </w14:textFill>
        </w:rPr>
        <w:t>五、主要生态环境保护措施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159</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1519521F">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_Toc21979 </w:instrText>
      </w:r>
      <w:r>
        <w:rPr>
          <w:rFonts w:hint="eastAsia"/>
          <w:snapToGrid w:val="0"/>
          <w:color w:val="000000" w:themeColor="text1"/>
          <w:szCs w:val="32"/>
          <w14:textFill>
            <w14:solidFill>
              <w14:schemeClr w14:val="tx1"/>
            </w14:solidFill>
          </w14:textFill>
        </w:rPr>
        <w:fldChar w:fldCharType="separate"/>
      </w:r>
      <w:r>
        <w:rPr>
          <w:rFonts w:hint="eastAsia" w:ascii="Times New Roman" w:hAnsi="Times New Roman"/>
          <w:snapToGrid w:val="0"/>
          <w:color w:val="000000" w:themeColor="text1"/>
          <w:szCs w:val="30"/>
          <w14:textFill>
            <w14:solidFill>
              <w14:schemeClr w14:val="tx1"/>
            </w14:solidFill>
          </w14:textFill>
        </w:rPr>
        <w:t>六、生态环境保护措施监督检查清单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176</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02E8778D">
      <w:pPr>
        <w:pStyle w:val="34"/>
        <w:tabs>
          <w:tab w:val="right" w:leader="dot" w:pos="8844"/>
        </w:tabs>
        <w:rPr>
          <w:color w:val="000000" w:themeColor="text1"/>
          <w14:textFill>
            <w14:solidFill>
              <w14:schemeClr w14:val="tx1"/>
            </w14:solidFill>
          </w14:textFill>
        </w:rPr>
      </w:pPr>
      <w:r>
        <w:rPr>
          <w:rFonts w:hint="eastAsia"/>
          <w:snapToGrid w:val="0"/>
          <w:color w:val="000000" w:themeColor="text1"/>
          <w:szCs w:val="32"/>
          <w14:textFill>
            <w14:solidFill>
              <w14:schemeClr w14:val="tx1"/>
            </w14:solidFill>
          </w14:textFill>
        </w:rPr>
        <w:fldChar w:fldCharType="begin"/>
      </w:r>
      <w:r>
        <w:rPr>
          <w:rFonts w:hint="eastAsia"/>
          <w:snapToGrid w:val="0"/>
          <w:color w:val="000000" w:themeColor="text1"/>
          <w:szCs w:val="32"/>
          <w14:textFill>
            <w14:solidFill>
              <w14:schemeClr w14:val="tx1"/>
            </w14:solidFill>
          </w14:textFill>
        </w:rPr>
        <w:instrText xml:space="preserve"> HYPERLINK \l _Toc27013 </w:instrText>
      </w:r>
      <w:r>
        <w:rPr>
          <w:rFonts w:hint="eastAsia"/>
          <w:snapToGrid w:val="0"/>
          <w:color w:val="000000" w:themeColor="text1"/>
          <w:szCs w:val="32"/>
          <w14:textFill>
            <w14:solidFill>
              <w14:schemeClr w14:val="tx1"/>
            </w14:solidFill>
          </w14:textFill>
        </w:rPr>
        <w:fldChar w:fldCharType="separate"/>
      </w:r>
      <w:r>
        <w:rPr>
          <w:rFonts w:hint="eastAsia" w:ascii="Times New Roman" w:hAnsi="Times New Roman"/>
          <w:snapToGrid w:val="0"/>
          <w:color w:val="000000" w:themeColor="text1"/>
          <w:szCs w:val="30"/>
          <w14:textFill>
            <w14:solidFill>
              <w14:schemeClr w14:val="tx1"/>
            </w14:solidFill>
          </w14:textFill>
        </w:rPr>
        <w:t>七、结论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180</w:t>
      </w:r>
      <w:r>
        <w:rPr>
          <w:color w:val="000000" w:themeColor="text1"/>
          <w14:textFill>
            <w14:solidFill>
              <w14:schemeClr w14:val="tx1"/>
            </w14:solidFill>
          </w14:textFill>
        </w:rPr>
        <w:fldChar w:fldCharType="end"/>
      </w:r>
      <w:r>
        <w:rPr>
          <w:rFonts w:hint="eastAsia"/>
          <w:snapToGrid w:val="0"/>
          <w:color w:val="000000" w:themeColor="text1"/>
          <w:szCs w:val="32"/>
          <w14:textFill>
            <w14:solidFill>
              <w14:schemeClr w14:val="tx1"/>
            </w14:solidFill>
          </w14:textFill>
        </w:rPr>
        <w:fldChar w:fldCharType="end"/>
      </w:r>
    </w:p>
    <w:p w14:paraId="323FCED5">
      <w:pPr>
        <w:adjustRightInd w:val="0"/>
        <w:snapToGrid w:val="0"/>
        <w:ind w:firstLine="0" w:firstLineChars="0"/>
        <w:rPr>
          <w:rFonts w:hint="eastAsia"/>
          <w:snapToGrid w:val="0"/>
          <w:color w:val="000000" w:themeColor="text1"/>
          <w:szCs w:val="32"/>
          <w14:textFill>
            <w14:solidFill>
              <w14:schemeClr w14:val="tx1"/>
            </w14:solidFill>
          </w14:textFill>
        </w:rPr>
        <w:sectPr>
          <w:footerReference r:id="rId1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snapToGrid w:val="0"/>
          <w:color w:val="000000" w:themeColor="text1"/>
          <w:szCs w:val="32"/>
          <w14:textFill>
            <w14:solidFill>
              <w14:schemeClr w14:val="tx1"/>
            </w14:solidFill>
          </w14:textFill>
        </w:rPr>
        <w:fldChar w:fldCharType="end"/>
      </w:r>
      <w:bookmarkStart w:id="1" w:name="_Toc21361"/>
      <w:bookmarkStart w:id="2" w:name="_Toc23560"/>
    </w:p>
    <w:p w14:paraId="67626924">
      <w:pPr>
        <w:pStyle w:val="37"/>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r>
        <w:rPr>
          <w:rFonts w:hint="eastAsia" w:ascii="Times New Roman" w:hAnsi="Times New Roman"/>
          <w:snapToGrid w:val="0"/>
          <w:color w:val="000000" w:themeColor="text1"/>
          <w:sz w:val="30"/>
          <w:szCs w:val="30"/>
          <w14:textFill>
            <w14:solidFill>
              <w14:schemeClr w14:val="tx1"/>
            </w14:solidFill>
          </w14:textFill>
        </w:rPr>
        <w:t>一、建设项目基本情况</w:t>
      </w:r>
      <w:bookmarkEnd w:id="1"/>
      <w:bookmarkEnd w:id="2"/>
    </w:p>
    <w:tbl>
      <w:tblPr>
        <w:tblStyle w:val="40"/>
        <w:tblW w:w="89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35"/>
        <w:gridCol w:w="1109"/>
        <w:gridCol w:w="1845"/>
        <w:gridCol w:w="2145"/>
        <w:gridCol w:w="2989"/>
      </w:tblGrid>
      <w:tr w14:paraId="40F82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44" w:type="dxa"/>
            <w:gridSpan w:val="2"/>
            <w:tcMar>
              <w:top w:w="16" w:type="dxa"/>
              <w:left w:w="16" w:type="dxa"/>
              <w:right w:w="16" w:type="dxa"/>
            </w:tcMar>
            <w:vAlign w:val="center"/>
          </w:tcPr>
          <w:p w14:paraId="45686664">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建设项目名称</w:t>
            </w:r>
          </w:p>
        </w:tc>
        <w:tc>
          <w:tcPr>
            <w:tcW w:w="6979" w:type="dxa"/>
            <w:gridSpan w:val="3"/>
            <w:vAlign w:val="center"/>
          </w:tcPr>
          <w:p w14:paraId="512CDBC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寻甸县常青树磷石膏库综合治</w:t>
            </w:r>
            <w:r>
              <w:rPr>
                <w:rFonts w:hint="eastAsia" w:eastAsia="宋体"/>
                <w:color w:val="000000" w:themeColor="text1"/>
                <w:szCs w:val="21"/>
                <w:highlight w:val="none"/>
                <w14:textFill>
                  <w14:solidFill>
                    <w14:schemeClr w14:val="tx1"/>
                  </w14:solidFill>
                </w14:textFill>
              </w:rPr>
              <w:t>理项目（塘子镇钟灵村委会令友采石场生态修复工程）</w:t>
            </w:r>
          </w:p>
        </w:tc>
      </w:tr>
      <w:tr w14:paraId="3249A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 w:hRule="atLeast"/>
        </w:trPr>
        <w:tc>
          <w:tcPr>
            <w:tcW w:w="1944" w:type="dxa"/>
            <w:gridSpan w:val="2"/>
            <w:tcMar>
              <w:top w:w="16" w:type="dxa"/>
              <w:left w:w="16" w:type="dxa"/>
              <w:right w:w="16" w:type="dxa"/>
            </w:tcMar>
            <w:vAlign w:val="center"/>
          </w:tcPr>
          <w:p w14:paraId="0ACE1DE3">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项目代码</w:t>
            </w:r>
          </w:p>
        </w:tc>
        <w:tc>
          <w:tcPr>
            <w:tcW w:w="6979" w:type="dxa"/>
            <w:gridSpan w:val="3"/>
            <w:vAlign w:val="center"/>
          </w:tcPr>
          <w:p w14:paraId="205D31BB">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4972D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4EF77F4B">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建设单位联系人</w:t>
            </w:r>
          </w:p>
        </w:tc>
        <w:tc>
          <w:tcPr>
            <w:tcW w:w="1845" w:type="dxa"/>
            <w:vAlign w:val="center"/>
          </w:tcPr>
          <w:p w14:paraId="07DB2F26">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p>
        </w:tc>
        <w:tc>
          <w:tcPr>
            <w:tcW w:w="2145" w:type="dxa"/>
            <w:vAlign w:val="center"/>
          </w:tcPr>
          <w:p w14:paraId="7EAC828B">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联系方式</w:t>
            </w:r>
          </w:p>
        </w:tc>
        <w:tc>
          <w:tcPr>
            <w:tcW w:w="2989" w:type="dxa"/>
            <w:vAlign w:val="center"/>
          </w:tcPr>
          <w:p w14:paraId="3B19021C">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p>
        </w:tc>
      </w:tr>
      <w:tr w14:paraId="16524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54B5A0A8">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建设地点</w:t>
            </w:r>
          </w:p>
        </w:tc>
        <w:tc>
          <w:tcPr>
            <w:tcW w:w="6979" w:type="dxa"/>
            <w:gridSpan w:val="3"/>
            <w:vAlign w:val="center"/>
          </w:tcPr>
          <w:p w14:paraId="56E124EC">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塘子镇钟灵村委会令友采石场</w:t>
            </w:r>
          </w:p>
        </w:tc>
      </w:tr>
      <w:tr w14:paraId="2BD2E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6E88F3CE">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地理坐标</w:t>
            </w:r>
          </w:p>
        </w:tc>
        <w:tc>
          <w:tcPr>
            <w:tcW w:w="6979" w:type="dxa"/>
            <w:gridSpan w:val="3"/>
            <w:vAlign w:val="center"/>
          </w:tcPr>
          <w:p w14:paraId="16FE10B0">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东经103°17′39.40934″，北纬</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5°23′58.21863″</w:t>
            </w:r>
          </w:p>
        </w:tc>
      </w:tr>
      <w:tr w14:paraId="2F3C7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1944" w:type="dxa"/>
            <w:gridSpan w:val="2"/>
            <w:tcMar>
              <w:top w:w="16" w:type="dxa"/>
              <w:left w:w="16" w:type="dxa"/>
              <w:right w:w="16" w:type="dxa"/>
            </w:tcMar>
            <w:vAlign w:val="center"/>
          </w:tcPr>
          <w:p w14:paraId="548DA9A0">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建设项目</w:t>
            </w:r>
          </w:p>
          <w:p w14:paraId="59B153C9">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行业类别</w:t>
            </w:r>
          </w:p>
        </w:tc>
        <w:tc>
          <w:tcPr>
            <w:tcW w:w="1845" w:type="dxa"/>
            <w:vAlign w:val="center"/>
          </w:tcPr>
          <w:p w14:paraId="02E83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snapToGrid w:val="0"/>
                <w:color w:val="000000" w:themeColor="text1"/>
                <w:kern w:val="0"/>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八、非金属矿采选业-11土砂石开采101（不含河道采砂项目）-其他</w:t>
            </w:r>
          </w:p>
        </w:tc>
        <w:tc>
          <w:tcPr>
            <w:tcW w:w="2145" w:type="dxa"/>
            <w:vAlign w:val="center"/>
          </w:tcPr>
          <w:p w14:paraId="22C9B6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用地（用海）面积（㎡）/长度（km）</w:t>
            </w:r>
          </w:p>
        </w:tc>
        <w:tc>
          <w:tcPr>
            <w:tcW w:w="2989" w:type="dxa"/>
            <w:vAlign w:val="center"/>
          </w:tcPr>
          <w:p w14:paraId="2F717905">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63132</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2</w:t>
            </w:r>
          </w:p>
        </w:tc>
      </w:tr>
      <w:tr w14:paraId="76A6D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3D991E7A">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建设性质</w:t>
            </w:r>
          </w:p>
        </w:tc>
        <w:tc>
          <w:tcPr>
            <w:tcW w:w="1845" w:type="dxa"/>
            <w:vAlign w:val="center"/>
          </w:tcPr>
          <w:p w14:paraId="3632FC19">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新建（迁建）</w:t>
            </w:r>
          </w:p>
          <w:p w14:paraId="5CFE1363">
            <w:pPr>
              <w:adjustRightInd w:val="0"/>
              <w:snapToGrid w:val="0"/>
              <w:spacing w:line="240" w:lineRule="auto"/>
              <w:ind w:firstLine="240" w:firstLineChars="1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□改建</w:t>
            </w:r>
          </w:p>
          <w:p w14:paraId="1A3AA1AC">
            <w:pPr>
              <w:adjustRightInd w:val="0"/>
              <w:snapToGrid w:val="0"/>
              <w:spacing w:line="240" w:lineRule="auto"/>
              <w:ind w:firstLine="240" w:firstLineChars="1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□扩建</w:t>
            </w:r>
          </w:p>
          <w:p w14:paraId="5658FBC1">
            <w:pPr>
              <w:adjustRightInd w:val="0"/>
              <w:snapToGrid w:val="0"/>
              <w:spacing w:line="240" w:lineRule="auto"/>
              <w:ind w:firstLine="240" w:firstLineChars="1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□技术改造</w:t>
            </w:r>
          </w:p>
        </w:tc>
        <w:tc>
          <w:tcPr>
            <w:tcW w:w="2145" w:type="dxa"/>
            <w:vAlign w:val="center"/>
          </w:tcPr>
          <w:p w14:paraId="2EBF04C3">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建设项目</w:t>
            </w:r>
          </w:p>
          <w:p w14:paraId="71268B0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申报情形</w:t>
            </w:r>
          </w:p>
        </w:tc>
        <w:tc>
          <w:tcPr>
            <w:tcW w:w="2989" w:type="dxa"/>
            <w:vAlign w:val="center"/>
          </w:tcPr>
          <w:p w14:paraId="6EB04B61">
            <w:pPr>
              <w:adjustRightInd w:val="0"/>
              <w:snapToGrid w:val="0"/>
              <w:spacing w:line="240" w:lineRule="auto"/>
              <w:ind w:firstLine="0" w:firstLineChars="0"/>
              <w:jc w:val="left"/>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sym w:font="Wingdings 2" w:char="0052"/>
            </w:r>
            <w:r>
              <w:rPr>
                <w:rFonts w:hint="eastAsia"/>
                <w:snapToGrid w:val="0"/>
                <w:color w:val="000000" w:themeColor="text1"/>
                <w:kern w:val="0"/>
                <w:highlight w:val="none"/>
                <w14:textFill>
                  <w14:solidFill>
                    <w14:schemeClr w14:val="tx1"/>
                  </w14:solidFill>
                </w14:textFill>
              </w:rPr>
              <w:t>首次申报项目</w:t>
            </w:r>
          </w:p>
          <w:p w14:paraId="7C48BF25">
            <w:pPr>
              <w:adjustRightInd w:val="0"/>
              <w:snapToGrid w:val="0"/>
              <w:spacing w:line="240" w:lineRule="auto"/>
              <w:ind w:firstLine="0" w:firstLineChars="0"/>
              <w:jc w:val="left"/>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□不予批准后再次申报项目</w:t>
            </w:r>
          </w:p>
          <w:p w14:paraId="0DD9F8D6">
            <w:pPr>
              <w:adjustRightInd w:val="0"/>
              <w:snapToGrid w:val="0"/>
              <w:spacing w:line="240" w:lineRule="auto"/>
              <w:ind w:firstLine="0" w:firstLineChars="0"/>
              <w:jc w:val="left"/>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□超五年重新审核项目</w:t>
            </w:r>
          </w:p>
          <w:p w14:paraId="7E2BF019">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□重大变动重新报批项目</w:t>
            </w:r>
          </w:p>
        </w:tc>
      </w:tr>
      <w:tr w14:paraId="3B62F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944" w:type="dxa"/>
            <w:gridSpan w:val="2"/>
            <w:tcMar>
              <w:top w:w="16" w:type="dxa"/>
              <w:left w:w="16" w:type="dxa"/>
              <w:right w:w="16" w:type="dxa"/>
            </w:tcMar>
            <w:vAlign w:val="center"/>
          </w:tcPr>
          <w:p w14:paraId="7AAFD270">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项目审批（核准</w:t>
            </w:r>
            <w:r>
              <w:rPr>
                <w:color w:val="000000" w:themeColor="text1"/>
                <w:szCs w:val="21"/>
                <w:highlight w:val="none"/>
                <w14:textFill>
                  <w14:solidFill>
                    <w14:schemeClr w14:val="tx1"/>
                  </w14:solidFill>
                </w14:textFill>
              </w:rPr>
              <w:t>/</w:t>
            </w:r>
          </w:p>
          <w:p w14:paraId="4629009B">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备案）部门（选填）</w:t>
            </w:r>
          </w:p>
        </w:tc>
        <w:tc>
          <w:tcPr>
            <w:tcW w:w="1845" w:type="dxa"/>
            <w:vAlign w:val="center"/>
          </w:tcPr>
          <w:p w14:paraId="2E092622">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寻甸回族彝族自治县发展和改革局</w:t>
            </w:r>
          </w:p>
        </w:tc>
        <w:tc>
          <w:tcPr>
            <w:tcW w:w="2145" w:type="dxa"/>
            <w:vAlign w:val="center"/>
          </w:tcPr>
          <w:p w14:paraId="3008A871">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项目审批（核准</w:t>
            </w:r>
            <w:r>
              <w:rPr>
                <w:color w:val="000000" w:themeColor="text1"/>
                <w:szCs w:val="21"/>
                <w:highlight w:val="none"/>
                <w14:textFill>
                  <w14:solidFill>
                    <w14:schemeClr w14:val="tx1"/>
                  </w14:solidFill>
                </w14:textFill>
              </w:rPr>
              <w:t>/</w:t>
            </w:r>
          </w:p>
          <w:p w14:paraId="5732B278">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备案）文号（选填）</w:t>
            </w:r>
          </w:p>
        </w:tc>
        <w:tc>
          <w:tcPr>
            <w:tcW w:w="2989" w:type="dxa"/>
            <w:vAlign w:val="center"/>
          </w:tcPr>
          <w:p w14:paraId="4EF58101">
            <w:pPr>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寻发改投资[2025]1号</w:t>
            </w:r>
          </w:p>
        </w:tc>
      </w:tr>
      <w:tr w14:paraId="1AB56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44" w:type="dxa"/>
            <w:gridSpan w:val="2"/>
            <w:tcMar>
              <w:top w:w="16" w:type="dxa"/>
              <w:left w:w="16" w:type="dxa"/>
              <w:right w:w="16" w:type="dxa"/>
            </w:tcMar>
            <w:vAlign w:val="center"/>
          </w:tcPr>
          <w:p w14:paraId="5E423DBB">
            <w:pPr>
              <w:adjustRightInd w:val="0"/>
              <w:snapToGrid w:val="0"/>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总投资（万元）</w:t>
            </w:r>
          </w:p>
        </w:tc>
        <w:tc>
          <w:tcPr>
            <w:tcW w:w="1845" w:type="dxa"/>
            <w:vAlign w:val="center"/>
          </w:tcPr>
          <w:p w14:paraId="2E470507">
            <w:pPr>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6373.87</w:t>
            </w:r>
          </w:p>
        </w:tc>
        <w:tc>
          <w:tcPr>
            <w:tcW w:w="2145" w:type="dxa"/>
            <w:tcMar>
              <w:top w:w="16" w:type="dxa"/>
              <w:left w:w="16" w:type="dxa"/>
              <w:right w:w="16" w:type="dxa"/>
            </w:tcMar>
            <w:vAlign w:val="center"/>
          </w:tcPr>
          <w:p w14:paraId="7598AC11">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环保投资（万元）</w:t>
            </w:r>
          </w:p>
        </w:tc>
        <w:tc>
          <w:tcPr>
            <w:tcW w:w="2989" w:type="dxa"/>
            <w:vAlign w:val="center"/>
          </w:tcPr>
          <w:p w14:paraId="7D0DEFCC">
            <w:pPr>
              <w:adjustRightInd w:val="0"/>
              <w:snapToGrid w:val="0"/>
              <w:spacing w:line="240" w:lineRule="auto"/>
              <w:ind w:firstLine="0" w:firstLineChars="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1164.5</w:t>
            </w:r>
          </w:p>
        </w:tc>
      </w:tr>
      <w:tr w14:paraId="0BD69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944" w:type="dxa"/>
            <w:gridSpan w:val="2"/>
            <w:tcMar>
              <w:top w:w="16" w:type="dxa"/>
              <w:left w:w="16" w:type="dxa"/>
              <w:right w:w="16" w:type="dxa"/>
            </w:tcMar>
            <w:vAlign w:val="center"/>
          </w:tcPr>
          <w:p w14:paraId="3D32F1D8">
            <w:pPr>
              <w:adjustRightInd w:val="0"/>
              <w:snapToGrid w:val="0"/>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环保投资占比（</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w:t>
            </w:r>
          </w:p>
        </w:tc>
        <w:tc>
          <w:tcPr>
            <w:tcW w:w="1845" w:type="dxa"/>
            <w:vAlign w:val="center"/>
          </w:tcPr>
          <w:p w14:paraId="6674B4BF">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18.27</w:t>
            </w:r>
          </w:p>
        </w:tc>
        <w:tc>
          <w:tcPr>
            <w:tcW w:w="2145" w:type="dxa"/>
            <w:tcMar>
              <w:top w:w="16" w:type="dxa"/>
              <w:left w:w="16" w:type="dxa"/>
              <w:right w:w="16" w:type="dxa"/>
            </w:tcMar>
            <w:vAlign w:val="center"/>
          </w:tcPr>
          <w:p w14:paraId="2646F5F4">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施工工期</w:t>
            </w:r>
          </w:p>
        </w:tc>
        <w:tc>
          <w:tcPr>
            <w:tcW w:w="2989" w:type="dxa"/>
            <w:vAlign w:val="center"/>
          </w:tcPr>
          <w:p w14:paraId="0B566111">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总工期30个月</w:t>
            </w:r>
          </w:p>
        </w:tc>
      </w:tr>
      <w:tr w14:paraId="4C5F7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944" w:type="dxa"/>
            <w:gridSpan w:val="2"/>
            <w:tcMar>
              <w:top w:w="16" w:type="dxa"/>
              <w:left w:w="16" w:type="dxa"/>
              <w:right w:w="16" w:type="dxa"/>
            </w:tcMar>
          </w:tcPr>
          <w:p w14:paraId="419240A5">
            <w:pPr>
              <w:adjustRightInd w:val="0"/>
              <w:snapToGrid w:val="0"/>
              <w:ind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是否开工建设</w:t>
            </w:r>
          </w:p>
        </w:tc>
        <w:tc>
          <w:tcPr>
            <w:tcW w:w="6979" w:type="dxa"/>
            <w:gridSpan w:val="3"/>
            <w:vAlign w:val="center"/>
          </w:tcPr>
          <w:p w14:paraId="22C6E0D2">
            <w:pPr>
              <w:adjustRightInd w:val="0"/>
              <w:snapToGrid w:val="0"/>
              <w:spacing w:line="240" w:lineRule="auto"/>
              <w:ind w:firstLine="480"/>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否</w:t>
            </w:r>
          </w:p>
          <w:p w14:paraId="42AB9AD3">
            <w:pPr>
              <w:adjustRightInd w:val="0"/>
              <w:snapToGrid w:val="0"/>
              <w:spacing w:line="240" w:lineRule="auto"/>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1911F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8" w:hRule="atLeast"/>
        </w:trPr>
        <w:tc>
          <w:tcPr>
            <w:tcW w:w="1944" w:type="dxa"/>
            <w:gridSpan w:val="2"/>
            <w:tcMar>
              <w:top w:w="16" w:type="dxa"/>
              <w:left w:w="16" w:type="dxa"/>
              <w:right w:w="16" w:type="dxa"/>
            </w:tcMar>
            <w:vAlign w:val="center"/>
          </w:tcPr>
          <w:p w14:paraId="053A21CB">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专项评价设置情况</w:t>
            </w:r>
          </w:p>
        </w:tc>
        <w:tc>
          <w:tcPr>
            <w:tcW w:w="6979" w:type="dxa"/>
            <w:gridSpan w:val="3"/>
            <w:tcMar>
              <w:top w:w="16" w:type="dxa"/>
              <w:left w:w="16" w:type="dxa"/>
              <w:right w:w="16" w:type="dxa"/>
            </w:tcMar>
            <w:vAlign w:val="center"/>
          </w:tcPr>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470"/>
              <w:gridCol w:w="2313"/>
            </w:tblGrid>
            <w:tr w14:paraId="0041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54" w:type="dxa"/>
                  <w:vAlign w:val="center"/>
                </w:tcPr>
                <w:p w14:paraId="222F0F30">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专项类别</w:t>
                  </w:r>
                </w:p>
              </w:tc>
              <w:tc>
                <w:tcPr>
                  <w:tcW w:w="3470" w:type="dxa"/>
                  <w:vAlign w:val="center"/>
                </w:tcPr>
                <w:p w14:paraId="02665EE3">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涉及项目类别</w:t>
                  </w:r>
                </w:p>
              </w:tc>
              <w:tc>
                <w:tcPr>
                  <w:tcW w:w="2313" w:type="dxa"/>
                  <w:vAlign w:val="center"/>
                </w:tcPr>
                <w:p w14:paraId="2C52D1A7">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项目情况</w:t>
                  </w:r>
                </w:p>
              </w:tc>
            </w:tr>
            <w:tr w14:paraId="105A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7772FD07">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地表水</w:t>
                  </w:r>
                </w:p>
              </w:tc>
              <w:tc>
                <w:tcPr>
                  <w:tcW w:w="3470" w:type="dxa"/>
                  <w:vAlign w:val="center"/>
                </w:tcPr>
                <w:p w14:paraId="1161F05B">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水力发电：引水式发电、涉及调峰发电的项目；</w:t>
                  </w:r>
                </w:p>
                <w:p w14:paraId="754E89D4">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人工湖、人工湿地：全部；</w:t>
                  </w:r>
                </w:p>
                <w:p w14:paraId="610A81C0">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水库：全部；</w:t>
                  </w:r>
                </w:p>
                <w:p w14:paraId="6B2086C7">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引水工程：全部（配套的管线工程等除外）；</w:t>
                  </w:r>
                </w:p>
                <w:p w14:paraId="59DF6CF0">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防洪除涝工程：包含水库的项目；</w:t>
                  </w:r>
                </w:p>
                <w:p w14:paraId="6B631BB6">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河湖整治：涉及清淤且底泥存在重金属污染的项目</w:t>
                  </w:r>
                </w:p>
              </w:tc>
              <w:tc>
                <w:tcPr>
                  <w:tcW w:w="2313" w:type="dxa"/>
                  <w:vAlign w:val="center"/>
                </w:tcPr>
                <w:p w14:paraId="542AFDDE">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w:t>
                  </w:r>
                  <w:r>
                    <w:rPr>
                      <w:rFonts w:hint="eastAsia"/>
                      <w:color w:val="000000" w:themeColor="text1"/>
                      <w:sz w:val="21"/>
                      <w:szCs w:val="21"/>
                      <w:highlight w:val="none"/>
                      <w14:textFill>
                        <w14:solidFill>
                          <w14:schemeClr w14:val="tx1"/>
                        </w14:solidFill>
                      </w14:textFill>
                    </w:rPr>
                    <w:t>废弃矿坑生态修复项目，不涉及水力发电、饮水工程等地表水专项设置项目内容。不设地表水专项评价。</w:t>
                  </w:r>
                </w:p>
              </w:tc>
            </w:tr>
            <w:tr w14:paraId="080C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68821C38">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地下水</w:t>
                  </w:r>
                </w:p>
              </w:tc>
              <w:tc>
                <w:tcPr>
                  <w:tcW w:w="3470" w:type="dxa"/>
                  <w:vAlign w:val="center"/>
                </w:tcPr>
                <w:p w14:paraId="62817A84">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陆地石油和天然气开采：全部；</w:t>
                  </w:r>
                </w:p>
                <w:p w14:paraId="1C46028E">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地下水（含矿泉水）开采：全部；</w:t>
                  </w:r>
                </w:p>
                <w:p w14:paraId="44DCCAF1">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水利、水电、交通等：含穿越可溶岩地层隧道的项目</w:t>
                  </w:r>
                </w:p>
              </w:tc>
              <w:tc>
                <w:tcPr>
                  <w:tcW w:w="2313" w:type="dxa"/>
                  <w:vAlign w:val="center"/>
                </w:tcPr>
                <w:p w14:paraId="656252B8">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w:t>
                  </w:r>
                  <w:r>
                    <w:rPr>
                      <w:rFonts w:hint="eastAsia"/>
                      <w:color w:val="000000" w:themeColor="text1"/>
                      <w:sz w:val="21"/>
                      <w:szCs w:val="21"/>
                      <w:highlight w:val="none"/>
                      <w14:textFill>
                        <w14:solidFill>
                          <w14:schemeClr w14:val="tx1"/>
                        </w14:solidFill>
                      </w14:textFill>
                    </w:rPr>
                    <w:t>废弃矿坑生态修复项目，不涉及陆地石油和天然气开采、地下水开采、</w:t>
                  </w:r>
                  <w:r>
                    <w:rPr>
                      <w:rFonts w:hint="eastAsia"/>
                      <w:color w:val="000000" w:themeColor="text1"/>
                      <w:kern w:val="0"/>
                      <w:sz w:val="21"/>
                      <w:szCs w:val="21"/>
                      <w:highlight w:val="none"/>
                      <w:lang w:bidi="ar"/>
                      <w14:textFill>
                        <w14:solidFill>
                          <w14:schemeClr w14:val="tx1"/>
                        </w14:solidFill>
                      </w14:textFill>
                    </w:rPr>
                    <w:t>水利、水电、交通等穿越可溶岩地层隧道的项目内容。不</w:t>
                  </w:r>
                  <w:r>
                    <w:rPr>
                      <w:rFonts w:hint="eastAsia"/>
                      <w:color w:val="000000" w:themeColor="text1"/>
                      <w:sz w:val="21"/>
                      <w:szCs w:val="21"/>
                      <w:highlight w:val="none"/>
                      <w14:textFill>
                        <w14:solidFill>
                          <w14:schemeClr w14:val="tx1"/>
                        </w14:solidFill>
                      </w14:textFill>
                    </w:rPr>
                    <w:t>设置地下水专项评价。</w:t>
                  </w:r>
                </w:p>
              </w:tc>
            </w:tr>
            <w:tr w14:paraId="6D78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5B2CC01E">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生态</w:t>
                  </w:r>
                </w:p>
              </w:tc>
              <w:tc>
                <w:tcPr>
                  <w:tcW w:w="3470" w:type="dxa"/>
                  <w:vAlign w:val="center"/>
                </w:tcPr>
                <w:p w14:paraId="5ED33881">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涉及环境敏感区（不包括饮用水水源保护区，以居住、医疗卫生、文化教育、科研、行政办公为主要功能的区域，以及文物保护单位）的项目</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682BA57F">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项目修复区不涉及环境敏感区，不设生态专项评价。</w:t>
                  </w:r>
                </w:p>
              </w:tc>
            </w:tr>
            <w:tr w14:paraId="3B59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51CC3544">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大气</w:t>
                  </w:r>
                </w:p>
              </w:tc>
              <w:tc>
                <w:tcPr>
                  <w:tcW w:w="3470" w:type="dxa"/>
                  <w:vAlign w:val="center"/>
                </w:tcPr>
                <w:p w14:paraId="22244074">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油气、液体化工码头：全部；</w:t>
                  </w:r>
                </w:p>
                <w:p w14:paraId="63C9784E">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干散货（含煤炭、矿石）、件杂、多用途、通用码头：涉及粉尘、挥发性有机物排放的项目</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43194431">
                  <w:pPr>
                    <w:adjustRightInd w:val="0"/>
                    <w:snapToGrid w:val="0"/>
                    <w:spacing w:line="240" w:lineRule="auto"/>
                    <w:ind w:firstLine="0" w:firstLineChars="0"/>
                    <w:jc w:val="both"/>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废弃矿坑生态修复项目，不涉及码头项目，不设大气专项评价。</w:t>
                  </w:r>
                </w:p>
              </w:tc>
            </w:tr>
            <w:tr w14:paraId="0939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043E6592">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噪声</w:t>
                  </w:r>
                </w:p>
              </w:tc>
              <w:tc>
                <w:tcPr>
                  <w:tcW w:w="3470" w:type="dxa"/>
                  <w:vAlign w:val="center"/>
                </w:tcPr>
                <w:p w14:paraId="68CB4A88">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公路、铁路、机场等交通运输业涉及环境敏感区（以居住、医疗卫生、文化教育、科研、行政办公为主要功能的区域）的项目；</w:t>
                  </w:r>
                </w:p>
                <w:p w14:paraId="59F741F5">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城市道路（不含维护，不含支路、人行天桥、人行地道）：全部</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7DAA4C2F">
                  <w:pPr>
                    <w:adjustRightInd w:val="0"/>
                    <w:snapToGrid w:val="0"/>
                    <w:spacing w:line="240" w:lineRule="auto"/>
                    <w:ind w:firstLine="0" w:firstLineChars="0"/>
                    <w:jc w:val="both"/>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废弃矿坑生态修复项目，不涉及交通运输业项目，不设噪声专项评价。</w:t>
                  </w:r>
                </w:p>
              </w:tc>
            </w:tr>
            <w:tr w14:paraId="393E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05D88944">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环境风险</w:t>
                  </w:r>
                </w:p>
              </w:tc>
              <w:tc>
                <w:tcPr>
                  <w:tcW w:w="3470" w:type="dxa"/>
                  <w:vAlign w:val="center"/>
                </w:tcPr>
                <w:p w14:paraId="5F16A2CF">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石油和天然气开采：全部；</w:t>
                  </w:r>
                </w:p>
                <w:p w14:paraId="0270C661">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油气、液体化工码头：全部；</w:t>
                  </w:r>
                </w:p>
                <w:p w14:paraId="3B772F49">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原油、成品油、天然气管线（不含城镇天然气管线、企业厂区内管线），危险化学品输送管线（不含企业厂区内管线）：全部</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665DD844">
                  <w:pPr>
                    <w:adjustRightInd w:val="0"/>
                    <w:snapToGrid w:val="0"/>
                    <w:spacing w:line="240" w:lineRule="auto"/>
                    <w:ind w:firstLine="0" w:firstLineChars="0"/>
                    <w:jc w:val="both"/>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废弃矿坑生态修复项目，不涉及指南规定的情况，不设环境风险专项评价。</w:t>
                  </w:r>
                </w:p>
              </w:tc>
            </w:tr>
            <w:tr w14:paraId="4BF2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7" w:type="dxa"/>
                  <w:gridSpan w:val="3"/>
                  <w:tcBorders>
                    <w:left w:val="nil"/>
                    <w:bottom w:val="nil"/>
                    <w:right w:val="nil"/>
                  </w:tcBorders>
                  <w:vAlign w:val="center"/>
                </w:tcPr>
                <w:p w14:paraId="2E569DD7">
                  <w:pPr>
                    <w:adjustRightInd w:val="0"/>
                    <w:snapToGrid w:val="0"/>
                    <w:spacing w:line="240" w:lineRule="auto"/>
                    <w:ind w:firstLine="42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highlight w:val="none"/>
                      <w:lang w:val="en-US" w:eastAsia="zh-CN" w:bidi="ar"/>
                      <w14:textFill>
                        <w14:solidFill>
                          <w14:schemeClr w14:val="tx1"/>
                        </w14:solidFill>
                      </w14:textFill>
                    </w:rPr>
                    <w:t>综上所述：本项目不设置专项评价。</w:t>
                  </w:r>
                </w:p>
              </w:tc>
            </w:tr>
          </w:tbl>
          <w:p w14:paraId="225103F8">
            <w:pPr>
              <w:adjustRightInd w:val="0"/>
              <w:snapToGrid w:val="0"/>
              <w:spacing w:line="240" w:lineRule="auto"/>
              <w:ind w:firstLine="0" w:firstLineChars="0"/>
              <w:jc w:val="center"/>
              <w:rPr>
                <w:color w:val="000000" w:themeColor="text1"/>
                <w:kern w:val="0"/>
                <w:szCs w:val="21"/>
                <w:highlight w:val="none"/>
                <w:lang w:bidi="ar"/>
                <w14:textFill>
                  <w14:solidFill>
                    <w14:schemeClr w14:val="tx1"/>
                  </w14:solidFill>
                </w14:textFill>
              </w:rPr>
            </w:pPr>
          </w:p>
        </w:tc>
      </w:tr>
      <w:tr w14:paraId="25F3F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60C39801">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规划情况</w:t>
            </w:r>
          </w:p>
        </w:tc>
        <w:tc>
          <w:tcPr>
            <w:tcW w:w="6979" w:type="dxa"/>
            <w:gridSpan w:val="3"/>
            <w:tcMar>
              <w:top w:w="16" w:type="dxa"/>
              <w:left w:w="16" w:type="dxa"/>
              <w:right w:w="16" w:type="dxa"/>
            </w:tcMar>
            <w:vAlign w:val="center"/>
          </w:tcPr>
          <w:p w14:paraId="4AAB3A9A">
            <w:pPr>
              <w:adjustRightInd w:val="0"/>
              <w:snapToGrid w:val="0"/>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r>
      <w:tr w14:paraId="2F458A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1A5B4E35">
            <w:pPr>
              <w:autoSpaceDE w:val="0"/>
              <w:autoSpaceDN w:val="0"/>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规划环境影响</w:t>
            </w:r>
          </w:p>
          <w:p w14:paraId="3BD3FB1B">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评价情况</w:t>
            </w:r>
          </w:p>
        </w:tc>
        <w:tc>
          <w:tcPr>
            <w:tcW w:w="6979" w:type="dxa"/>
            <w:gridSpan w:val="3"/>
            <w:tcMar>
              <w:top w:w="16" w:type="dxa"/>
              <w:left w:w="16" w:type="dxa"/>
              <w:right w:w="16" w:type="dxa"/>
            </w:tcMar>
            <w:vAlign w:val="center"/>
          </w:tcPr>
          <w:p w14:paraId="4E5508F5">
            <w:pPr>
              <w:adjustRightInd w:val="0"/>
              <w:snapToGrid w:val="0"/>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r>
      <w:tr w14:paraId="3CD5B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35" w:type="dxa"/>
            <w:tcMar>
              <w:top w:w="16" w:type="dxa"/>
              <w:left w:w="16" w:type="dxa"/>
              <w:right w:w="16" w:type="dxa"/>
            </w:tcMar>
            <w:vAlign w:val="center"/>
          </w:tcPr>
          <w:p w14:paraId="19D1CA45">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规划及</w:t>
            </w:r>
            <w:r>
              <w:rPr>
                <w:rFonts w:hint="eastAsia"/>
                <w:color w:val="000000" w:themeColor="text1"/>
                <w:szCs w:val="21"/>
                <w:highlight w:val="none"/>
                <w14:textFill>
                  <w14:solidFill>
                    <w14:schemeClr w14:val="tx1"/>
                  </w14:solidFill>
                </w14:textFill>
              </w:rPr>
              <w:t>规划环境影响评价</w:t>
            </w:r>
            <w:r>
              <w:rPr>
                <w:rFonts w:hint="eastAsia"/>
                <w:color w:val="000000" w:themeColor="text1"/>
                <w:kern w:val="0"/>
                <w:szCs w:val="21"/>
                <w:highlight w:val="none"/>
                <w14:textFill>
                  <w14:solidFill>
                    <w14:schemeClr w14:val="tx1"/>
                  </w14:solidFill>
                </w14:textFill>
              </w:rPr>
              <w:t>符合性分析</w:t>
            </w:r>
          </w:p>
        </w:tc>
        <w:tc>
          <w:tcPr>
            <w:tcW w:w="8088" w:type="dxa"/>
            <w:gridSpan w:val="4"/>
            <w:tcMar>
              <w:top w:w="16" w:type="dxa"/>
              <w:left w:w="16" w:type="dxa"/>
              <w:right w:w="16" w:type="dxa"/>
            </w:tcMar>
            <w:vAlign w:val="center"/>
          </w:tcPr>
          <w:p w14:paraId="20497337">
            <w:pPr>
              <w:adjustRightInd w:val="0"/>
              <w:snapToGrid w:val="0"/>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r>
      <w:tr w14:paraId="7E636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35" w:type="dxa"/>
            <w:tcMar>
              <w:top w:w="16" w:type="dxa"/>
              <w:left w:w="16" w:type="dxa"/>
              <w:right w:w="16" w:type="dxa"/>
            </w:tcMar>
            <w:vAlign w:val="center"/>
          </w:tcPr>
          <w:p w14:paraId="6DCD3547">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bookmarkStart w:id="3" w:name="_Hlk56690880"/>
            <w:r>
              <w:rPr>
                <w:rFonts w:hint="eastAsia"/>
                <w:color w:val="000000" w:themeColor="text1"/>
                <w:kern w:val="0"/>
                <w:szCs w:val="21"/>
                <w:highlight w:val="none"/>
                <w14:textFill>
                  <w14:solidFill>
                    <w14:schemeClr w14:val="tx1"/>
                  </w14:solidFill>
                </w14:textFill>
              </w:rPr>
              <w:t>其他符合性分析</w:t>
            </w:r>
            <w:bookmarkEnd w:id="3"/>
          </w:p>
        </w:tc>
        <w:tc>
          <w:tcPr>
            <w:tcW w:w="8088" w:type="dxa"/>
            <w:gridSpan w:val="4"/>
            <w:tcMar>
              <w:top w:w="16" w:type="dxa"/>
              <w:left w:w="16" w:type="dxa"/>
              <w:right w:w="16" w:type="dxa"/>
            </w:tcMar>
            <w:vAlign w:val="center"/>
          </w:tcPr>
          <w:p w14:paraId="7481D45C">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1、产业政策符合性分析</w:t>
            </w:r>
          </w:p>
          <w:p w14:paraId="33BCB918">
            <w:pPr>
              <w:widowControl/>
              <w:ind w:firstLine="480"/>
              <w:jc w:val="left"/>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对照中华人民共和国国家发展和改革委员会令第7号《产业结构调整指导目录（2024年本）》，本项目属于鼓励类“第四十二项、环境保护与资源节约综合利用”第2条“生态环境修复和资源利用：矿山生态环境恢复工程”。</w:t>
            </w:r>
          </w:p>
          <w:p w14:paraId="26235641">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2、项目与昆明市生态环境分区管控成果动态更新方案符合性分析</w:t>
            </w:r>
          </w:p>
          <w:p w14:paraId="34B0B60F">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昆明市生态环境局于2024年11月12日发布了《昆明市生态环境分区管控动态更新方案（2023年）》。项目与《昆明市生态环境分区管控动态更新方案（2023年）》的符合性分析如下。</w:t>
            </w:r>
          </w:p>
          <w:p w14:paraId="7A452AFF">
            <w:pPr>
              <w:pStyle w:val="5"/>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表1-2</w:t>
            </w:r>
            <w:r>
              <w:rPr>
                <w:rFonts w:hint="eastAsia"/>
                <w:b/>
                <w:bCs/>
                <w:color w:val="000000" w:themeColor="text1"/>
                <w:sz w:val="21"/>
                <w:szCs w:val="21"/>
                <w:highlight w:val="none"/>
                <w:lang w:val="en-US" w:eastAsia="zh-CN"/>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项目与昆明市生态环境分区管控成果动态更新方案符合性分析</w:t>
            </w:r>
          </w:p>
          <w:tbl>
            <w:tblPr>
              <w:tblStyle w:val="41"/>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4109"/>
              <w:gridCol w:w="2528"/>
              <w:gridCol w:w="428"/>
            </w:tblGrid>
            <w:tr w14:paraId="6772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4A8F78C4">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2575" w:type="pct"/>
                  <w:vAlign w:val="center"/>
                </w:tcPr>
                <w:p w14:paraId="7D18C20E">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管控要求</w:t>
                  </w:r>
                </w:p>
              </w:tc>
              <w:tc>
                <w:tcPr>
                  <w:tcW w:w="1584" w:type="pct"/>
                  <w:vAlign w:val="center"/>
                </w:tcPr>
                <w:p w14:paraId="39D97E89">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项目情况</w:t>
                  </w:r>
                </w:p>
              </w:tc>
              <w:tc>
                <w:tcPr>
                  <w:tcW w:w="268" w:type="pct"/>
                  <w:vAlign w:val="center"/>
                </w:tcPr>
                <w:p w14:paraId="67D81387">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7A70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1B76F7AA">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生态保护红线及一般生态空间更新结果</w:t>
                  </w:r>
                </w:p>
              </w:tc>
              <w:tc>
                <w:tcPr>
                  <w:tcW w:w="2575" w:type="pct"/>
                  <w:vAlign w:val="center"/>
                </w:tcPr>
                <w:p w14:paraId="3E07EB4E">
                  <w:pPr>
                    <w:adjustRightInd w:val="0"/>
                    <w:snapToGrid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1584" w:type="pct"/>
                  <w:vAlign w:val="center"/>
                </w:tcPr>
                <w:p w14:paraId="50DAF22A">
                  <w:pPr>
                    <w:widowControl/>
                    <w:adjustRightInd w:val="0"/>
                    <w:snapToGrid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项目位于云南省昆明市寻甸县</w:t>
                  </w:r>
                  <w:r>
                    <w:rPr>
                      <w:rFonts w:hint="eastAsia"/>
                      <w:color w:val="000000" w:themeColor="text1"/>
                      <w:kern w:val="0"/>
                      <w:sz w:val="21"/>
                      <w:szCs w:val="21"/>
                      <w:highlight w:val="none"/>
                      <w:lang w:eastAsia="zh-CN" w:bidi="ar"/>
                      <w14:textFill>
                        <w14:solidFill>
                          <w14:schemeClr w14:val="tx1"/>
                        </w14:solidFill>
                      </w14:textFill>
                    </w:rPr>
                    <w:t>塘子镇钟灵村委会令友采石场</w:t>
                  </w:r>
                  <w:r>
                    <w:rPr>
                      <w:rFonts w:hint="eastAsia"/>
                      <w:color w:val="000000" w:themeColor="text1"/>
                      <w:kern w:val="0"/>
                      <w:sz w:val="21"/>
                      <w:szCs w:val="21"/>
                      <w:highlight w:val="none"/>
                      <w:lang w:bidi="ar"/>
                      <w14:textFill>
                        <w14:solidFill>
                          <w14:schemeClr w14:val="tx1"/>
                        </w14:solidFill>
                      </w14:textFill>
                    </w:rPr>
                    <w:t>，根据自然资源局查询意见，项目未占用生态保护红线。</w:t>
                  </w:r>
                </w:p>
              </w:tc>
              <w:tc>
                <w:tcPr>
                  <w:tcW w:w="268" w:type="pct"/>
                  <w:vAlign w:val="center"/>
                </w:tcPr>
                <w:p w14:paraId="7A89257F">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1A6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487B89E3">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环境质量底线及资源利用上线更新结果</w:t>
                  </w:r>
                </w:p>
              </w:tc>
              <w:tc>
                <w:tcPr>
                  <w:tcW w:w="2575" w:type="pct"/>
                  <w:vAlign w:val="center"/>
                </w:tcPr>
                <w:p w14:paraId="46659BA9">
                  <w:pPr>
                    <w:pStyle w:val="88"/>
                    <w:adjustRightInd w:val="0"/>
                    <w:snapToGrid w:val="0"/>
                    <w:spacing w:before="0" w:beforeAutospacing="0" w:after="0" w:line="240" w:lineRule="auto"/>
                    <w:ind w:left="0" w:leftChars="0" w:firstLine="0" w:firstLineChars="0"/>
                    <w:jc w:val="center"/>
                    <w:rPr>
                      <w:rFonts w:ascii="Times New Roman" w:hAnsi="Times New Roman"/>
                      <w:color w:val="000000" w:themeColor="text1"/>
                      <w:kern w:val="0"/>
                      <w:sz w:val="21"/>
                      <w:szCs w:val="21"/>
                      <w:highlight w:val="none"/>
                      <w:lang w:bidi="ar"/>
                      <w14:textFill>
                        <w14:solidFill>
                          <w14:schemeClr w14:val="tx1"/>
                        </w14:solidFill>
                      </w14:textFill>
                    </w:rPr>
                  </w:pPr>
                  <w:r>
                    <w:rPr>
                      <w:rFonts w:hint="eastAsia" w:ascii="Times New Roman" w:hAnsi="Times New Roman"/>
                      <w:color w:val="000000" w:themeColor="text1"/>
                      <w:kern w:val="0"/>
                      <w:sz w:val="21"/>
                      <w:szCs w:val="21"/>
                      <w:highlight w:val="none"/>
                      <w:lang w:bidi="ar"/>
                      <w14:textFill>
                        <w14:solidFill>
                          <w14:schemeClr w14:val="tx1"/>
                        </w14:solidFill>
                      </w14:textFill>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12562A46">
                  <w:pPr>
                    <w:pStyle w:val="88"/>
                    <w:adjustRightInd w:val="0"/>
                    <w:snapToGrid w:val="0"/>
                    <w:spacing w:before="0" w:beforeAutospacing="0" w:after="0" w:line="240" w:lineRule="auto"/>
                    <w:ind w:left="0" w:leftChars="0" w:firstLine="0" w:firstLineChars="0"/>
                    <w:jc w:val="center"/>
                    <w:rPr>
                      <w:rFonts w:ascii="Times New Roman" w:hAnsi="Times New Roman"/>
                      <w:color w:val="000000" w:themeColor="text1"/>
                      <w:kern w:val="0"/>
                      <w:sz w:val="21"/>
                      <w:szCs w:val="21"/>
                      <w:highlight w:val="none"/>
                      <w:lang w:bidi="ar"/>
                      <w14:textFill>
                        <w14:solidFill>
                          <w14:schemeClr w14:val="tx1"/>
                        </w14:solidFill>
                      </w14:textFill>
                    </w:rPr>
                  </w:pPr>
                  <w:r>
                    <w:rPr>
                      <w:rFonts w:hint="eastAsia" w:ascii="Times New Roman" w:hAnsi="Times New Roman"/>
                      <w:color w:val="000000" w:themeColor="text1"/>
                      <w:kern w:val="0"/>
                      <w:sz w:val="21"/>
                      <w:szCs w:val="21"/>
                      <w:highlight w:val="none"/>
                      <w:lang w:bidi="ar"/>
                      <w14:textFill>
                        <w14:solidFill>
                          <w14:schemeClr w14:val="tx1"/>
                        </w14:solidFill>
                      </w14:textFill>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1584" w:type="pct"/>
                  <w:vAlign w:val="center"/>
                </w:tcPr>
                <w:p w14:paraId="0EA06772">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根据《2023年度昆明市生态环境状况公报》，各县（市）区环境空气质量总体保持良好，各项污染物平均浓度均达到二级空气质量标准。该项目为废弃矿坑生态修复项目，项目施工期采取洒水降尘等措施，项目对区域空气质量影响较小。项目施工期废水经沉淀池沉淀后回用于场地降尘，运营期无废水产生，不会对周围地表水造成影响。根据本次环评土壤监测结果，项目修复范围及周边采集到的所有土壤监测样品均满足《土壤环境质量建设用地土壤污染风险管控标准（试行）（GB36600—2018)》筛选值要求。</w:t>
                  </w:r>
                </w:p>
              </w:tc>
              <w:tc>
                <w:tcPr>
                  <w:tcW w:w="268" w:type="pct"/>
                  <w:vAlign w:val="center"/>
                </w:tcPr>
                <w:p w14:paraId="3AAD33BE">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D09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15B0CB1C">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生态环境准入清单调整结果</w:t>
                  </w:r>
                </w:p>
              </w:tc>
              <w:tc>
                <w:tcPr>
                  <w:tcW w:w="2575" w:type="pct"/>
                  <w:vAlign w:val="center"/>
                </w:tcPr>
                <w:p w14:paraId="3A6CBEA6">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结合昆明市不同生态环境管控单元的生态环境主要特征、突出问题和环境质量目标，提出以改善生态环境质量为导向、对应到各环境管控单元、可操作的管控要求。</w:t>
                  </w:r>
                </w:p>
                <w:p w14:paraId="78DAB919">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昆明市的优先保护单元和一般管控单元管控要求以共性要求为基础，对存在的个例问题制定相应的管控要求。重点管控单元聚焦单元突出的环境问题，以解决现状环境问题为目的</w:t>
                  </w:r>
                  <w:r>
                    <w:rPr>
                      <w:rFonts w:hint="eastAsia"/>
                      <w:color w:val="000000" w:themeColor="text1"/>
                      <w:kern w:val="0"/>
                      <w:sz w:val="21"/>
                      <w:szCs w:val="21"/>
                      <w:highlight w:val="none"/>
                      <w:lang w:eastAsia="zh-CN" w:bidi="ar"/>
                      <w14:textFill>
                        <w14:solidFill>
                          <w14:schemeClr w14:val="tx1"/>
                        </w14:solidFill>
                      </w14:textFill>
                    </w:rPr>
                    <w:t>提出</w:t>
                  </w:r>
                  <w:r>
                    <w:rPr>
                      <w:rFonts w:hint="eastAsia"/>
                      <w:color w:val="000000" w:themeColor="text1"/>
                      <w:kern w:val="0"/>
                      <w:sz w:val="21"/>
                      <w:szCs w:val="21"/>
                      <w:highlight w:val="none"/>
                      <w:lang w:bidi="ar"/>
                      <w14:textFill>
                        <w14:solidFill>
                          <w14:schemeClr w14:val="tx1"/>
                        </w14:solidFill>
                      </w14:textFill>
                    </w:rPr>
                    <w:t>管控要求，增补了减污降碳协同管控相关要求，调整了重点管控单元相应的管控内容。</w:t>
                  </w:r>
                </w:p>
              </w:tc>
              <w:tc>
                <w:tcPr>
                  <w:tcW w:w="1584" w:type="pct"/>
                  <w:vAlign w:val="center"/>
                </w:tcPr>
                <w:p w14:paraId="79FBE944">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w:t>
                  </w:r>
                  <w:r>
                    <w:rPr>
                      <w:rFonts w:hint="eastAsia"/>
                      <w:color w:val="000000" w:themeColor="text1"/>
                      <w:kern w:val="0"/>
                      <w:sz w:val="21"/>
                      <w:szCs w:val="21"/>
                      <w:highlight w:val="none"/>
                      <w:lang w:bidi="ar"/>
                      <w14:textFill>
                        <w14:solidFill>
                          <w14:schemeClr w14:val="tx1"/>
                        </w14:solidFill>
                      </w14:textFill>
                    </w:rPr>
                    <w:t>在原有矿区范围内施工，不新增占地，符合一般管控单元相关要求。</w:t>
                  </w:r>
                </w:p>
              </w:tc>
              <w:tc>
                <w:tcPr>
                  <w:tcW w:w="268" w:type="pct"/>
                  <w:vAlign w:val="center"/>
                </w:tcPr>
                <w:p w14:paraId="5030D934">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CA4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restart"/>
                  <w:vAlign w:val="center"/>
                </w:tcPr>
                <w:p w14:paraId="6E4DDB16">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t>寻甸回族彝族自治县</w:t>
                  </w:r>
                  <w:r>
                    <w:rPr>
                      <w:rFonts w:hint="eastAsia"/>
                      <w:color w:val="000000" w:themeColor="text1"/>
                      <w:highlight w:val="none"/>
                      <w:lang w:val="en-US" w:eastAsia="zh-CN"/>
                      <w14:textFill>
                        <w14:solidFill>
                          <w14:schemeClr w14:val="tx1"/>
                        </w14:solidFill>
                      </w14:textFill>
                    </w:rPr>
                    <w:t>一般</w:t>
                  </w:r>
                  <w:r>
                    <w:rPr>
                      <w:color w:val="000000" w:themeColor="text1"/>
                      <w:highlight w:val="none"/>
                      <w14:textFill>
                        <w14:solidFill>
                          <w14:schemeClr w14:val="tx1"/>
                        </w14:solidFill>
                      </w14:textFill>
                    </w:rPr>
                    <w:t>管控单元</w:t>
                  </w:r>
                </w:p>
              </w:tc>
              <w:tc>
                <w:tcPr>
                  <w:tcW w:w="285" w:type="pct"/>
                  <w:vAlign w:val="center"/>
                </w:tcPr>
                <w:p w14:paraId="3BDADC18">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空间布局约束</w:t>
                  </w:r>
                </w:p>
              </w:tc>
              <w:tc>
                <w:tcPr>
                  <w:tcW w:w="2575" w:type="pct"/>
                  <w:vAlign w:val="center"/>
                </w:tcPr>
                <w:p w14:paraId="49799F1E">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1.禁止在林地、河湖管理范围内新建、改建、扩建房地产开发项目。</w:t>
                  </w:r>
                </w:p>
                <w:p w14:paraId="766DAC50">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2.禁止围湖造田和侵占江河滩地。</w:t>
                  </w:r>
                </w:p>
                <w:p w14:paraId="22F64EC6">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3.禁止企业向滩涂、沼泽、荒地等未利用地非法排污、倾倒有毒有害物质。</w:t>
                  </w:r>
                </w:p>
              </w:tc>
              <w:tc>
                <w:tcPr>
                  <w:tcW w:w="1584" w:type="pct"/>
                  <w:vAlign w:val="center"/>
                </w:tcPr>
                <w:p w14:paraId="28C2E0CA">
                  <w:pPr>
                    <w:widowControl/>
                    <w:adjustRightInd w:val="0"/>
                    <w:snapToGrid w:val="0"/>
                    <w:spacing w:line="240" w:lineRule="auto"/>
                    <w:ind w:firstLine="0" w:firstLineChars="0"/>
                    <w:jc w:val="left"/>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项目属于废弃矿坑生态修复项目，不涉及在林地、河湖管理范围内新建、改建、扩建房地产开发项目</w:t>
                  </w:r>
                  <w:r>
                    <w:rPr>
                      <w:rFonts w:hint="eastAsia"/>
                      <w:color w:val="000000" w:themeColor="text1"/>
                      <w:kern w:val="0"/>
                      <w:sz w:val="21"/>
                      <w:szCs w:val="21"/>
                      <w:highlight w:val="none"/>
                      <w:lang w:eastAsia="zh-CN" w:bidi="ar"/>
                      <w14:textFill>
                        <w14:solidFill>
                          <w14:schemeClr w14:val="tx1"/>
                        </w14:solidFill>
                      </w14:textFill>
                    </w:rPr>
                    <w:t>。</w:t>
                  </w:r>
                  <w:r>
                    <w:rPr>
                      <w:rFonts w:hint="eastAsia"/>
                      <w:color w:val="000000" w:themeColor="text1"/>
                      <w:kern w:val="0"/>
                      <w:sz w:val="21"/>
                      <w:szCs w:val="21"/>
                      <w:highlight w:val="none"/>
                      <w:lang w:val="en-US" w:eastAsia="zh-CN" w:bidi="ar"/>
                      <w14:textFill>
                        <w14:solidFill>
                          <w14:schemeClr w14:val="tx1"/>
                        </w14:solidFill>
                      </w14:textFill>
                    </w:rPr>
                    <w:t>2、不涉及；</w:t>
                  </w:r>
                </w:p>
                <w:p w14:paraId="2CA38227">
                  <w:pPr>
                    <w:widowControl/>
                    <w:adjustRightInd w:val="0"/>
                    <w:snapToGrid w:val="0"/>
                    <w:spacing w:line="240" w:lineRule="auto"/>
                    <w:ind w:firstLine="0" w:firstLineChars="0"/>
                    <w:jc w:val="left"/>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3、不涉及。</w:t>
                  </w:r>
                </w:p>
              </w:tc>
              <w:tc>
                <w:tcPr>
                  <w:tcW w:w="268" w:type="pct"/>
                  <w:vAlign w:val="center"/>
                </w:tcPr>
                <w:p w14:paraId="1959948B">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D78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14:paraId="17A33366">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285" w:type="pct"/>
                  <w:vAlign w:val="center"/>
                </w:tcPr>
                <w:p w14:paraId="1BC6B06E">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color w:val="000000" w:themeColor="text1"/>
                      <w:highlight w:val="none"/>
                      <w14:textFill>
                        <w14:solidFill>
                          <w14:schemeClr w14:val="tx1"/>
                        </w14:solidFill>
                      </w14:textFill>
                    </w:rPr>
                    <w:t>污染物排放管控</w:t>
                  </w:r>
                </w:p>
              </w:tc>
              <w:tc>
                <w:tcPr>
                  <w:tcW w:w="2575" w:type="pct"/>
                  <w:vAlign w:val="center"/>
                </w:tcPr>
                <w:p w14:paraId="65C66733">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1.严格控制“两高”行业新增产能，新、改、扩建项目要实行产能等量或减量置换。</w:t>
                  </w:r>
                  <w:r>
                    <w:rPr>
                      <w:rFonts w:hint="eastAsia"/>
                      <w:color w:val="000000" w:themeColor="text1"/>
                      <w:kern w:val="0"/>
                      <w:sz w:val="21"/>
                      <w:szCs w:val="21"/>
                      <w:highlight w:val="none"/>
                      <w:lang w:bidi="ar"/>
                      <w14:textFill>
                        <w14:solidFill>
                          <w14:schemeClr w14:val="tx1"/>
                        </w14:solidFill>
                      </w14:textFill>
                    </w:rPr>
                    <w:br w:type="textWrapping"/>
                  </w:r>
                  <w:r>
                    <w:rPr>
                      <w:rFonts w:hint="eastAsia"/>
                      <w:color w:val="000000" w:themeColor="text1"/>
                      <w:kern w:val="0"/>
                      <w:sz w:val="21"/>
                      <w:szCs w:val="21"/>
                      <w:highlight w:val="none"/>
                      <w:lang w:bidi="ar"/>
                      <w14:textFill>
                        <w14:solidFill>
                          <w14:schemeClr w14:val="tx1"/>
                        </w14:solidFill>
                      </w14:textFill>
                    </w:rPr>
                    <w:t>2.严格用地准入，工业用地及商业用地供地前，自然资源部门需对拟供地块进行土壤环境状况调查，评估环境污染风险后方可供地。</w:t>
                  </w:r>
                  <w:r>
                    <w:rPr>
                      <w:rFonts w:hint="eastAsia"/>
                      <w:color w:val="000000" w:themeColor="text1"/>
                      <w:kern w:val="0"/>
                      <w:sz w:val="21"/>
                      <w:szCs w:val="21"/>
                      <w:highlight w:val="none"/>
                      <w:lang w:bidi="ar"/>
                      <w14:textFill>
                        <w14:solidFill>
                          <w14:schemeClr w14:val="tx1"/>
                        </w14:solidFill>
                      </w14:textFill>
                    </w:rPr>
                    <w:br w:type="textWrapping"/>
                  </w:r>
                  <w:r>
                    <w:rPr>
                      <w:rFonts w:hint="eastAsia"/>
                      <w:color w:val="000000" w:themeColor="text1"/>
                      <w:kern w:val="0"/>
                      <w:sz w:val="21"/>
                      <w:szCs w:val="21"/>
                      <w:highlight w:val="none"/>
                      <w:lang w:bidi="ar"/>
                      <w14:textFill>
                        <w14:solidFill>
                          <w14:schemeClr w14:val="tx1"/>
                        </w14:solidFill>
                      </w14:textFill>
                    </w:rPr>
                    <w:t>3.禁止使用炸鱼、毒鱼、电鱼等破坏渔业资源方法进行捕捞。</w:t>
                  </w:r>
                  <w:r>
                    <w:rPr>
                      <w:rFonts w:hint="eastAsia"/>
                      <w:color w:val="000000" w:themeColor="text1"/>
                      <w:kern w:val="0"/>
                      <w:sz w:val="21"/>
                      <w:szCs w:val="21"/>
                      <w:highlight w:val="none"/>
                      <w:lang w:bidi="ar"/>
                      <w14:textFill>
                        <w14:solidFill>
                          <w14:schemeClr w14:val="tx1"/>
                        </w14:solidFill>
                      </w14:textFill>
                    </w:rPr>
                    <w:br w:type="textWrapping"/>
                  </w:r>
                  <w:r>
                    <w:rPr>
                      <w:rFonts w:hint="eastAsia"/>
                      <w:color w:val="000000" w:themeColor="text1"/>
                      <w:kern w:val="0"/>
                      <w:sz w:val="21"/>
                      <w:szCs w:val="21"/>
                      <w:highlight w:val="none"/>
                      <w:lang w:bidi="ar"/>
                      <w14:textFill>
                        <w14:solidFill>
                          <w14:schemeClr w14:val="tx1"/>
                        </w14:solidFill>
                      </w14:textFill>
                    </w:rPr>
                    <w:t>4.禁止在禁渔区、禁渔期进行捕捞。禁止使用小于最小网目尺寸的网具进行捕捞，未依法取得捕捞许可证擅自捕捞。</w:t>
                  </w:r>
                </w:p>
              </w:tc>
              <w:tc>
                <w:tcPr>
                  <w:tcW w:w="1584" w:type="pct"/>
                  <w:vAlign w:val="center"/>
                </w:tcPr>
                <w:p w14:paraId="2685D87D">
                  <w:pPr>
                    <w:widowControl/>
                    <w:adjustRightInd w:val="0"/>
                    <w:snapToGrid w:val="0"/>
                    <w:spacing w:line="240" w:lineRule="auto"/>
                    <w:ind w:firstLine="0" w:firstLineChars="0"/>
                    <w:jc w:val="left"/>
                    <w:rPr>
                      <w:rFonts w:hint="eastAsia"/>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项目属于废弃矿坑生态修复项目，</w:t>
                  </w:r>
                  <w:r>
                    <w:rPr>
                      <w:rFonts w:hint="eastAsia"/>
                      <w:color w:val="000000" w:themeColor="text1"/>
                      <w:kern w:val="0"/>
                      <w:sz w:val="21"/>
                      <w:szCs w:val="21"/>
                      <w:highlight w:val="none"/>
                      <w:lang w:val="en-US" w:eastAsia="zh-CN" w:bidi="ar"/>
                      <w14:textFill>
                        <w14:solidFill>
                          <w14:schemeClr w14:val="tx1"/>
                        </w14:solidFill>
                      </w14:textFill>
                    </w:rPr>
                    <w:t>不属于</w:t>
                  </w:r>
                  <w:r>
                    <w:rPr>
                      <w:rFonts w:hint="eastAsia"/>
                      <w:color w:val="000000" w:themeColor="text1"/>
                      <w:kern w:val="0"/>
                      <w:sz w:val="21"/>
                      <w:szCs w:val="21"/>
                      <w:highlight w:val="none"/>
                      <w:lang w:bidi="ar"/>
                      <w14:textFill>
                        <w14:solidFill>
                          <w14:schemeClr w14:val="tx1"/>
                        </w14:solidFill>
                      </w14:textFill>
                    </w:rPr>
                    <w:t>“两高”行业</w:t>
                  </w:r>
                  <w:r>
                    <w:rPr>
                      <w:rFonts w:hint="eastAsia"/>
                      <w:color w:val="000000" w:themeColor="text1"/>
                      <w:kern w:val="0"/>
                      <w:sz w:val="21"/>
                      <w:szCs w:val="21"/>
                      <w:highlight w:val="none"/>
                      <w:lang w:eastAsia="zh-CN" w:bidi="ar"/>
                      <w14:textFill>
                        <w14:solidFill>
                          <w14:schemeClr w14:val="tx1"/>
                        </w14:solidFill>
                      </w14:textFill>
                    </w:rPr>
                    <w:t>；</w:t>
                  </w:r>
                </w:p>
                <w:p w14:paraId="19367A44">
                  <w:pPr>
                    <w:widowControl/>
                    <w:adjustRightInd w:val="0"/>
                    <w:snapToGrid w:val="0"/>
                    <w:spacing w:line="240" w:lineRule="auto"/>
                    <w:ind w:firstLine="0" w:firstLineChars="0"/>
                    <w:jc w:val="left"/>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2、</w:t>
                  </w:r>
                  <w:r>
                    <w:rPr>
                      <w:rFonts w:hint="eastAsia"/>
                      <w:color w:val="000000" w:themeColor="text1"/>
                      <w:kern w:val="0"/>
                      <w:sz w:val="21"/>
                      <w:szCs w:val="21"/>
                      <w:highlight w:val="none"/>
                      <w:lang w:bidi="ar"/>
                      <w14:textFill>
                        <w14:solidFill>
                          <w14:schemeClr w14:val="tx1"/>
                        </w14:solidFill>
                      </w14:textFill>
                    </w:rPr>
                    <w:t>项目属于废弃矿坑生态修复项目，</w:t>
                  </w:r>
                  <w:r>
                    <w:rPr>
                      <w:rFonts w:hint="eastAsia"/>
                      <w:color w:val="000000" w:themeColor="text1"/>
                      <w:kern w:val="0"/>
                      <w:sz w:val="21"/>
                      <w:szCs w:val="21"/>
                      <w:highlight w:val="none"/>
                      <w:lang w:val="en-US" w:eastAsia="zh-CN" w:bidi="ar"/>
                      <w14:textFill>
                        <w14:solidFill>
                          <w14:schemeClr w14:val="tx1"/>
                        </w14:solidFill>
                      </w14:textFill>
                    </w:rPr>
                    <w:t>不新增占地；</w:t>
                  </w:r>
                </w:p>
                <w:p w14:paraId="2A10A70F">
                  <w:pPr>
                    <w:widowControl/>
                    <w:adjustRightInd w:val="0"/>
                    <w:snapToGrid w:val="0"/>
                    <w:spacing w:line="240" w:lineRule="auto"/>
                    <w:ind w:firstLine="0" w:firstLineChars="0"/>
                    <w:jc w:val="left"/>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3、不涉及；</w:t>
                  </w:r>
                </w:p>
                <w:p w14:paraId="4FAB40F8">
                  <w:pPr>
                    <w:widowControl/>
                    <w:adjustRightInd w:val="0"/>
                    <w:snapToGrid w:val="0"/>
                    <w:spacing w:line="240" w:lineRule="auto"/>
                    <w:ind w:firstLine="0" w:firstLineChars="0"/>
                    <w:jc w:val="left"/>
                    <w:rPr>
                      <w:rFonts w:hint="default"/>
                      <w:color w:val="000000" w:themeColor="text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4、不涉及。</w:t>
                  </w:r>
                </w:p>
              </w:tc>
              <w:tc>
                <w:tcPr>
                  <w:tcW w:w="268" w:type="pct"/>
                  <w:vAlign w:val="center"/>
                </w:tcPr>
                <w:p w14:paraId="0522D575">
                  <w:pPr>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p>
              </w:tc>
            </w:tr>
            <w:tr w14:paraId="4287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14:paraId="0AD50BF4">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285" w:type="pct"/>
                  <w:vAlign w:val="center"/>
                </w:tcPr>
                <w:p w14:paraId="0F53B2C3">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环境风险防控</w:t>
                  </w:r>
                </w:p>
              </w:tc>
              <w:tc>
                <w:tcPr>
                  <w:tcW w:w="2575" w:type="pct"/>
                  <w:vAlign w:val="center"/>
                </w:tcPr>
                <w:p w14:paraId="2F798D1C">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1.严格限制《环境保护综合名录》（2021年版）中“高污染、高环境风险”产品与工艺装备。</w:t>
                  </w:r>
                </w:p>
                <w:p w14:paraId="64DB9583">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2.禁止使用剧毒、高残留以及可能二次中毒的农药。</w:t>
                  </w:r>
                </w:p>
                <w:p w14:paraId="047572F9">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3.严格污染场地开发利用和流转审批，在影响健康地块修复达标之前，禁止建设居民区、学校、医疗和养老机构。</w:t>
                  </w:r>
                </w:p>
              </w:tc>
              <w:tc>
                <w:tcPr>
                  <w:tcW w:w="1584" w:type="pct"/>
                  <w:vAlign w:val="center"/>
                </w:tcPr>
                <w:p w14:paraId="08316161">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本项目属于废弃矿坑生态修复项目，项目不涉及</w:t>
                  </w:r>
                  <w:r>
                    <w:rPr>
                      <w:color w:val="000000" w:themeColor="text1"/>
                      <w:kern w:val="0"/>
                      <w:sz w:val="21"/>
                      <w:szCs w:val="21"/>
                      <w:highlight w:val="none"/>
                      <w:lang w:bidi="ar"/>
                      <w14:textFill>
                        <w14:solidFill>
                          <w14:schemeClr w14:val="tx1"/>
                        </w14:solidFill>
                      </w14:textFill>
                    </w:rPr>
                    <w:t>高污染、高环境风险”产品与工艺装备</w:t>
                  </w:r>
                  <w:r>
                    <w:rPr>
                      <w:rFonts w:hint="eastAsia"/>
                      <w:color w:val="000000" w:themeColor="text1"/>
                      <w:kern w:val="0"/>
                      <w:sz w:val="21"/>
                      <w:szCs w:val="21"/>
                      <w:highlight w:val="none"/>
                      <w:lang w:bidi="ar"/>
                      <w14:textFill>
                        <w14:solidFill>
                          <w14:schemeClr w14:val="tx1"/>
                        </w14:solidFill>
                      </w14:textFill>
                    </w:rPr>
                    <w:t>；不涉及农药使用；为废弃矿坑生态修复，非开发项目。</w:t>
                  </w:r>
                </w:p>
              </w:tc>
              <w:tc>
                <w:tcPr>
                  <w:tcW w:w="268" w:type="pct"/>
                  <w:vAlign w:val="center"/>
                </w:tcPr>
                <w:p w14:paraId="697181A7">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r>
          </w:tbl>
          <w:p w14:paraId="1A756DB2">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由上表可知，本项目建设符合</w:t>
            </w:r>
            <w:r>
              <w:rPr>
                <w:rFonts w:hint="eastAsia"/>
                <w:color w:val="000000" w:themeColor="text1"/>
                <w:kern w:val="0"/>
                <w:highlight w:val="none"/>
                <w:lang w:bidi="ar"/>
                <w14:textFill>
                  <w14:solidFill>
                    <w14:schemeClr w14:val="tx1"/>
                  </w14:solidFill>
                </w14:textFill>
              </w:rPr>
              <w:t>昆明市生态环境分区管控成果动态更新方案</w:t>
            </w:r>
            <w:r>
              <w:rPr>
                <w:color w:val="000000" w:themeColor="text1"/>
                <w:highlight w:val="none"/>
                <w14:textFill>
                  <w14:solidFill>
                    <w14:schemeClr w14:val="tx1"/>
                  </w14:solidFill>
                </w14:textFill>
              </w:rPr>
              <w:t>中相关要求</w:t>
            </w:r>
            <w:r>
              <w:rPr>
                <w:rFonts w:hint="eastAsia"/>
                <w:color w:val="000000" w:themeColor="text1"/>
                <w:highlight w:val="none"/>
                <w14:textFill>
                  <w14:solidFill>
                    <w14:schemeClr w14:val="tx1"/>
                  </w14:solidFill>
                </w14:textFill>
              </w:rPr>
              <w:t>。</w:t>
            </w:r>
          </w:p>
          <w:p w14:paraId="25FE0521">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3、项目与《中华人民共和国长江保护法》符合性分析</w:t>
            </w:r>
          </w:p>
          <w:p w14:paraId="1D17970F">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为了加强长江流域生态环境保护和修复，促进资源合理高效利用，保障生态安全，实现人与自然和谐共生、中华民族永续发展制定的法律。</w:t>
            </w:r>
          </w:p>
          <w:p w14:paraId="2D0AECA6">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2020年12月26日，中华人民共和国第十三届全国人民代表大会常务委员会第二十四次会议通过《中华人民共和国长江保护法》。项目与《中华人民共和国长江保护法》符合性分析见下表。</w:t>
            </w:r>
          </w:p>
          <w:p w14:paraId="172559C0">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表1-3  项目与《中华人民共和国长江保护法》的符合性分析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7"/>
              <w:gridCol w:w="2140"/>
              <w:gridCol w:w="639"/>
            </w:tblGrid>
            <w:tr w14:paraId="1773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0EF0CC22">
                  <w:pPr>
                    <w:pStyle w:val="5"/>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长江保护法相关规定</w:t>
                  </w:r>
                </w:p>
              </w:tc>
              <w:tc>
                <w:tcPr>
                  <w:tcW w:w="2145" w:type="dxa"/>
                  <w:vAlign w:val="center"/>
                </w:tcPr>
                <w:p w14:paraId="46D3DC5D">
                  <w:pPr>
                    <w:pStyle w:val="5"/>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项目情况</w:t>
                  </w:r>
                </w:p>
              </w:tc>
              <w:tc>
                <w:tcPr>
                  <w:tcW w:w="640" w:type="dxa"/>
                  <w:vAlign w:val="center"/>
                </w:tcPr>
                <w:p w14:paraId="48B9B579">
                  <w:pPr>
                    <w:pStyle w:val="5"/>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149E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508E73B8">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第二十六条、</w:t>
                  </w:r>
                  <w:r>
                    <w:rPr>
                      <w:rFonts w:hint="eastAsia"/>
                      <w:color w:val="000000" w:themeColor="text1"/>
                      <w:kern w:val="0"/>
                      <w:sz w:val="21"/>
                      <w:szCs w:val="21"/>
                      <w:highlight w:val="none"/>
                      <w:lang w:bidi="ar"/>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145" w:type="dxa"/>
                  <w:vAlign w:val="center"/>
                </w:tcPr>
                <w:p w14:paraId="03FA2753">
                  <w:pPr>
                    <w:pStyle w:val="5"/>
                    <w:adjustRightInd w:val="0"/>
                    <w:spacing w:before="0" w:after="0" w:line="240" w:lineRule="auto"/>
                    <w:ind w:right="0"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本项目为废弃矿坑生态修复项目，不属于化工园区和化工项目、尾矿库项目，不涉及此条禁止的行为。</w:t>
                  </w:r>
                </w:p>
              </w:tc>
              <w:tc>
                <w:tcPr>
                  <w:tcW w:w="640" w:type="dxa"/>
                  <w:vAlign w:val="center"/>
                </w:tcPr>
                <w:p w14:paraId="2EC34796">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2CB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0F7E449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第二十八条、禁止在长江流域禁止采砂区和止采砂期从事采砂活动。</w:t>
                  </w:r>
                </w:p>
              </w:tc>
              <w:tc>
                <w:tcPr>
                  <w:tcW w:w="2145" w:type="dxa"/>
                  <w:vAlign w:val="center"/>
                </w:tcPr>
                <w:p w14:paraId="7A1919A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本项目不涉及采砂活动，不涉及此条禁止的行为。</w:t>
                  </w:r>
                </w:p>
              </w:tc>
              <w:tc>
                <w:tcPr>
                  <w:tcW w:w="640" w:type="dxa"/>
                  <w:vAlign w:val="center"/>
                </w:tcPr>
                <w:p w14:paraId="2FFB3274">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8C2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60D1D75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第三十八条、完善规划和建设项目水资源论证制度；加强对高耗水行业重点用水单位的用水定额管理，严格控制高耗水项目建设。</w:t>
                  </w:r>
                </w:p>
              </w:tc>
              <w:tc>
                <w:tcPr>
                  <w:tcW w:w="2145" w:type="dxa"/>
                  <w:vAlign w:val="center"/>
                </w:tcPr>
                <w:p w14:paraId="6D3E3AB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本项目不属于高耗水项目。</w:t>
                  </w:r>
                </w:p>
              </w:tc>
              <w:tc>
                <w:tcPr>
                  <w:tcW w:w="640" w:type="dxa"/>
                  <w:vAlign w:val="center"/>
                </w:tcPr>
                <w:p w14:paraId="075FFEE4">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C79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188AB1F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七条、在长江流域江河、湖泊新设、改设或者扩大排污，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2145" w:type="dxa"/>
                  <w:vAlign w:val="center"/>
                </w:tcPr>
                <w:p w14:paraId="1BD94BBC">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本项目无废水外排，不设置排污口。</w:t>
                  </w:r>
                </w:p>
              </w:tc>
              <w:tc>
                <w:tcPr>
                  <w:tcW w:w="640" w:type="dxa"/>
                  <w:vAlign w:val="center"/>
                </w:tcPr>
                <w:p w14:paraId="7A3B3553">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4D3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707C657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第四十九条、禁止在长江流域河湖管理范围内倾倒、填埋、堆放、弃置、处理固体废物。</w:t>
                  </w:r>
                </w:p>
              </w:tc>
              <w:tc>
                <w:tcPr>
                  <w:tcW w:w="2145" w:type="dxa"/>
                  <w:vAlign w:val="center"/>
                </w:tcPr>
                <w:p w14:paraId="6F4EB25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本项目固体废物处置率100%，不涉及此条禁止行为。</w:t>
                  </w:r>
                </w:p>
              </w:tc>
              <w:tc>
                <w:tcPr>
                  <w:tcW w:w="640" w:type="dxa"/>
                  <w:vAlign w:val="center"/>
                </w:tcPr>
                <w:p w14:paraId="391DBC75">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030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040E631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第五十一条、禁止在长江流域水上运输剧毒化学品和国家规定禁止通过内河运输的其他危险化学品。</w:t>
                  </w:r>
                </w:p>
              </w:tc>
              <w:tc>
                <w:tcPr>
                  <w:tcW w:w="2145" w:type="dxa"/>
                  <w:vAlign w:val="center"/>
                </w:tcPr>
                <w:p w14:paraId="36FC6CB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本项目不涉及此条禁止行为。</w:t>
                  </w:r>
                </w:p>
              </w:tc>
              <w:tc>
                <w:tcPr>
                  <w:tcW w:w="640" w:type="dxa"/>
                  <w:vAlign w:val="center"/>
                </w:tcPr>
                <w:p w14:paraId="0CE31F31">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F17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5AF52BE8">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五十二条、国家对长江流域生态系统实行自然恢复为主、自然恢复与人工修复相结合的系统治理。国务院自然资源主管部门会同国务院有关部门编制长江流域生态环境修复规划，组织实施重大生态环境修复工程，统筹推进长江流域各项生态环境修复工作。</w:t>
                  </w:r>
                </w:p>
              </w:tc>
              <w:tc>
                <w:tcPr>
                  <w:tcW w:w="2145" w:type="dxa"/>
                  <w:vAlign w:val="center"/>
                </w:tcPr>
                <w:p w14:paraId="0AA25AF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本项目为废弃矿坑生态修复项目，符合相关要求。</w:t>
                  </w:r>
                </w:p>
              </w:tc>
              <w:tc>
                <w:tcPr>
                  <w:tcW w:w="640" w:type="dxa"/>
                  <w:vAlign w:val="center"/>
                </w:tcPr>
                <w:p w14:paraId="1187BAD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366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7519C0E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第六十一条、禁止在长江流域水土流失严重、生态脆弱的区域开展可能造成水土流失的生产建设活动。</w:t>
                  </w:r>
                </w:p>
              </w:tc>
              <w:tc>
                <w:tcPr>
                  <w:tcW w:w="2145" w:type="dxa"/>
                  <w:vAlign w:val="center"/>
                </w:tcPr>
                <w:p w14:paraId="780AA9C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本项目位于云南省昆明市寻甸县</w:t>
                  </w:r>
                  <w:r>
                    <w:rPr>
                      <w:rFonts w:hint="eastAsia"/>
                      <w:color w:val="000000" w:themeColor="text1"/>
                      <w:sz w:val="21"/>
                      <w:szCs w:val="21"/>
                      <w:highlight w:val="none"/>
                      <w:lang w:eastAsia="zh-CN"/>
                      <w14:textFill>
                        <w14:solidFill>
                          <w14:schemeClr w14:val="tx1"/>
                        </w14:solidFill>
                      </w14:textFill>
                    </w:rPr>
                    <w:t>塘子镇钟灵村委会令友采石场</w:t>
                  </w:r>
                  <w:r>
                    <w:rPr>
                      <w:rFonts w:hint="eastAsia"/>
                      <w:color w:val="000000" w:themeColor="text1"/>
                      <w:sz w:val="21"/>
                      <w:szCs w:val="21"/>
                      <w:highlight w:val="none"/>
                      <w14:textFill>
                        <w14:solidFill>
                          <w14:schemeClr w14:val="tx1"/>
                        </w14:solidFill>
                      </w14:textFill>
                    </w:rPr>
                    <w:t>，不位于长江流域水土流失严重、生态脆弱区域。</w:t>
                  </w:r>
                </w:p>
              </w:tc>
              <w:tc>
                <w:tcPr>
                  <w:tcW w:w="640" w:type="dxa"/>
                  <w:vAlign w:val="center"/>
                </w:tcPr>
                <w:p w14:paraId="4C20DA64">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24F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40D400C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六十二条、长江流域县级以上地方人民政府应当因地制宜采取消除地质灾害隐患、土地复垦、恢复植被、防治污染等措施，加快历史遗留矿山生态环境修复工作，并加强对在建和运行中矿山的监督管理，督促采矿权人切实履行矿山污染防治和生态环境修复责任。</w:t>
                  </w:r>
                </w:p>
              </w:tc>
              <w:tc>
                <w:tcPr>
                  <w:tcW w:w="2145" w:type="dxa"/>
                  <w:vAlign w:val="center"/>
                </w:tcPr>
                <w:p w14:paraId="202E0BC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本项目属于废弃矿坑生态修复项目，符合相关要求。</w:t>
                  </w:r>
                </w:p>
              </w:tc>
              <w:tc>
                <w:tcPr>
                  <w:tcW w:w="640" w:type="dxa"/>
                  <w:vAlign w:val="center"/>
                </w:tcPr>
                <w:p w14:paraId="2186FAC8">
                  <w:pPr>
                    <w:pStyle w:val="5"/>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53A8B658">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综上所述，本项目的建设实施与《中华人民共和国长江保护法》相符。</w:t>
            </w:r>
          </w:p>
          <w:p w14:paraId="0A682ACF">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5、项目与《长江经济带发展负面清单指南》（试行，2022年版）符合性分析</w:t>
            </w:r>
          </w:p>
          <w:p w14:paraId="593EFCB2">
            <w:pPr>
              <w:pStyle w:val="2"/>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项目为废弃矿坑生态修复项目，位于长江流域，项目与《长江经济带发展负面清单指南》（试行，</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年版）的符合性如下。</w:t>
            </w:r>
          </w:p>
          <w:p w14:paraId="60712D07">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表1-4  项目与《</w:t>
            </w:r>
            <w:r>
              <w:rPr>
                <w:rFonts w:hint="eastAsia"/>
                <w:b/>
                <w:bCs/>
                <w:color w:val="000000" w:themeColor="text1"/>
                <w:kern w:val="0"/>
                <w:sz w:val="21"/>
                <w:szCs w:val="21"/>
                <w:highlight w:val="none"/>
                <w14:textFill>
                  <w14:solidFill>
                    <w14:schemeClr w14:val="tx1"/>
                  </w14:solidFill>
                </w14:textFill>
              </w:rPr>
              <w:t>长江经济带发展负面清单指南》</w:t>
            </w:r>
            <w:r>
              <w:rPr>
                <w:rFonts w:hint="eastAsia"/>
                <w:b/>
                <w:bCs/>
                <w:color w:val="000000" w:themeColor="text1"/>
                <w:kern w:val="0"/>
                <w:sz w:val="21"/>
                <w:szCs w:val="21"/>
                <w:highlight w:val="none"/>
                <w:lang w:bidi="ar"/>
                <w14:textFill>
                  <w14:solidFill>
                    <w14:schemeClr w14:val="tx1"/>
                  </w14:solidFill>
                </w14:textFill>
              </w:rPr>
              <w:t>（试行，2022年版）符合性分析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1"/>
              <w:gridCol w:w="2185"/>
              <w:gridCol w:w="917"/>
            </w:tblGrid>
            <w:tr w14:paraId="2E23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70D942C0">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文件要求</w:t>
                  </w:r>
                </w:p>
              </w:tc>
              <w:tc>
                <w:tcPr>
                  <w:tcW w:w="1358" w:type="pct"/>
                  <w:tcBorders>
                    <w:top w:val="single" w:color="auto" w:sz="4" w:space="0"/>
                    <w:left w:val="nil"/>
                    <w:bottom w:val="single" w:color="auto" w:sz="4" w:space="0"/>
                    <w:right w:val="single" w:color="auto" w:sz="4" w:space="0"/>
                  </w:tcBorders>
                  <w:vAlign w:val="center"/>
                </w:tcPr>
                <w:p w14:paraId="59E2BE74">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570" w:type="pct"/>
                  <w:tcBorders>
                    <w:top w:val="single" w:color="auto" w:sz="4" w:space="0"/>
                    <w:left w:val="nil"/>
                    <w:bottom w:val="single" w:color="auto" w:sz="4" w:space="0"/>
                    <w:right w:val="single" w:color="auto" w:sz="4" w:space="0"/>
                  </w:tcBorders>
                  <w:vAlign w:val="center"/>
                </w:tcPr>
                <w:p w14:paraId="6AB147F9">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0379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0FFDC13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1.禁止建设不符合全国和省级港口布局规划以及港口总体规划的码头项目，禁止建设不符合《长江干线过江通道布局规划》的过长江通道项目。</w:t>
                  </w:r>
                </w:p>
              </w:tc>
              <w:tc>
                <w:tcPr>
                  <w:tcW w:w="1358" w:type="pct"/>
                  <w:tcBorders>
                    <w:top w:val="single" w:color="auto" w:sz="4" w:space="0"/>
                    <w:left w:val="nil"/>
                    <w:bottom w:val="single" w:color="auto" w:sz="4" w:space="0"/>
                    <w:right w:val="single" w:color="auto" w:sz="4" w:space="0"/>
                  </w:tcBorders>
                  <w:vAlign w:val="center"/>
                </w:tcPr>
                <w:p w14:paraId="14E9ADB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项目为废弃矿坑生态修复项目，不属于码头、过长江通道项目。</w:t>
                  </w:r>
                </w:p>
              </w:tc>
              <w:tc>
                <w:tcPr>
                  <w:tcW w:w="570" w:type="pct"/>
                  <w:tcBorders>
                    <w:top w:val="single" w:color="auto" w:sz="4" w:space="0"/>
                    <w:left w:val="nil"/>
                    <w:bottom w:val="single" w:color="auto" w:sz="4" w:space="0"/>
                    <w:right w:val="single" w:color="auto" w:sz="4" w:space="0"/>
                  </w:tcBorders>
                  <w:vAlign w:val="center"/>
                </w:tcPr>
                <w:p w14:paraId="63BA7722">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F91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5EA1761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tc>
              <w:tc>
                <w:tcPr>
                  <w:tcW w:w="1358" w:type="pct"/>
                  <w:tcBorders>
                    <w:top w:val="single" w:color="auto" w:sz="4" w:space="0"/>
                    <w:left w:val="nil"/>
                    <w:bottom w:val="single" w:color="auto" w:sz="4" w:space="0"/>
                    <w:right w:val="single" w:color="auto" w:sz="4" w:space="0"/>
                  </w:tcBorders>
                  <w:vAlign w:val="center"/>
                </w:tcPr>
                <w:p w14:paraId="733D15D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项目为废弃矿坑生态修复项目，未在自然保护区核心区、缓冲区的岸线和河段范围内。</w:t>
                  </w:r>
                </w:p>
              </w:tc>
              <w:tc>
                <w:tcPr>
                  <w:tcW w:w="570" w:type="pct"/>
                  <w:tcBorders>
                    <w:top w:val="single" w:color="auto" w:sz="4" w:space="0"/>
                    <w:left w:val="nil"/>
                    <w:bottom w:val="single" w:color="auto" w:sz="4" w:space="0"/>
                    <w:right w:val="single" w:color="auto" w:sz="4" w:space="0"/>
                  </w:tcBorders>
                  <w:vAlign w:val="center"/>
                </w:tcPr>
                <w:p w14:paraId="097BDB1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810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3B0F4C26">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58" w:type="pct"/>
                  <w:tcBorders>
                    <w:top w:val="single" w:color="auto" w:sz="4" w:space="0"/>
                    <w:left w:val="nil"/>
                    <w:bottom w:val="single" w:color="auto" w:sz="4" w:space="0"/>
                    <w:right w:val="single" w:color="auto" w:sz="4" w:space="0"/>
                  </w:tcBorders>
                  <w:vAlign w:val="center"/>
                </w:tcPr>
                <w:p w14:paraId="54E9210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项目为废弃矿坑生态修复项目，选址不涉及饮用水水源保护区。</w:t>
                  </w:r>
                </w:p>
              </w:tc>
              <w:tc>
                <w:tcPr>
                  <w:tcW w:w="570" w:type="pct"/>
                  <w:tcBorders>
                    <w:top w:val="nil"/>
                    <w:left w:val="nil"/>
                    <w:bottom w:val="single" w:color="auto" w:sz="4" w:space="0"/>
                    <w:right w:val="single" w:color="auto" w:sz="4" w:space="0"/>
                  </w:tcBorders>
                  <w:vAlign w:val="center"/>
                </w:tcPr>
                <w:p w14:paraId="0EA5C1FF">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C67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6C7757F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58" w:type="pct"/>
                  <w:tcBorders>
                    <w:top w:val="single" w:color="auto" w:sz="4" w:space="0"/>
                    <w:left w:val="nil"/>
                    <w:bottom w:val="single" w:color="auto" w:sz="4" w:space="0"/>
                    <w:right w:val="single" w:color="auto" w:sz="4" w:space="0"/>
                  </w:tcBorders>
                  <w:vAlign w:val="center"/>
                </w:tcPr>
                <w:p w14:paraId="397706E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项目为废弃矿坑生态修复项目，选址不涉及水产种质资源保护区、国家湿地公园。</w:t>
                  </w:r>
                </w:p>
              </w:tc>
              <w:tc>
                <w:tcPr>
                  <w:tcW w:w="570" w:type="pct"/>
                  <w:tcBorders>
                    <w:top w:val="single" w:color="auto" w:sz="4" w:space="0"/>
                    <w:left w:val="nil"/>
                    <w:bottom w:val="single" w:color="auto" w:sz="4" w:space="0"/>
                    <w:right w:val="single" w:color="auto" w:sz="4" w:space="0"/>
                  </w:tcBorders>
                  <w:vAlign w:val="center"/>
                </w:tcPr>
                <w:p w14:paraId="2651D512">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C9D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4AF519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w:t>
                  </w:r>
                  <w:r>
                    <w:rPr>
                      <w:color w:val="000000" w:themeColor="text1"/>
                      <w:sz w:val="21"/>
                      <w:szCs w:val="21"/>
                      <w:highlight w:val="none"/>
                      <w14:textFill>
                        <w14:solidFill>
                          <w14:schemeClr w14:val="tx1"/>
                        </w14:solidFill>
                      </w14:textFill>
                    </w:rPr>
                    <w:t>重要江河湖泊水功能区划》划定的河段及湖泊保护区、保留区内投资建设不利于水资源及自然生态保护的项目。</w:t>
                  </w:r>
                </w:p>
              </w:tc>
              <w:tc>
                <w:tcPr>
                  <w:tcW w:w="1358" w:type="pct"/>
                  <w:tcBorders>
                    <w:top w:val="single" w:color="auto" w:sz="4" w:space="0"/>
                    <w:left w:val="nil"/>
                    <w:bottom w:val="single" w:color="auto" w:sz="4" w:space="0"/>
                    <w:right w:val="single" w:color="auto" w:sz="4" w:space="0"/>
                  </w:tcBorders>
                  <w:vAlign w:val="center"/>
                </w:tcPr>
                <w:p w14:paraId="74DA3D2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项目为废弃矿坑生态修复项目，项目实施有利于区域生态环境质量改善；项目不占用长江流域河湖岸线。</w:t>
                  </w:r>
                </w:p>
              </w:tc>
              <w:tc>
                <w:tcPr>
                  <w:tcW w:w="570" w:type="pct"/>
                  <w:tcBorders>
                    <w:top w:val="single" w:color="auto" w:sz="4" w:space="0"/>
                    <w:left w:val="nil"/>
                    <w:bottom w:val="single" w:color="auto" w:sz="4" w:space="0"/>
                    <w:right w:val="single" w:color="auto" w:sz="4" w:space="0"/>
                  </w:tcBorders>
                  <w:vAlign w:val="center"/>
                </w:tcPr>
                <w:p w14:paraId="736A35C6">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63E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5E4C2961">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6.禁止未经许可在长江干支流及湖泊新设、改设或扩大排污</w:t>
                  </w:r>
                  <w:r>
                    <w:rPr>
                      <w:rFonts w:hint="eastAsia"/>
                      <w:color w:val="000000" w:themeColor="text1"/>
                      <w:sz w:val="21"/>
                      <w:szCs w:val="21"/>
                      <w:highlight w:val="none"/>
                      <w14:textFill>
                        <w14:solidFill>
                          <w14:schemeClr w14:val="tx1"/>
                        </w14:solidFill>
                      </w14:textFill>
                    </w:rPr>
                    <w:t>。</w:t>
                  </w:r>
                </w:p>
              </w:tc>
              <w:tc>
                <w:tcPr>
                  <w:tcW w:w="1358" w:type="pct"/>
                  <w:tcBorders>
                    <w:top w:val="single" w:color="auto" w:sz="4" w:space="0"/>
                    <w:left w:val="nil"/>
                    <w:bottom w:val="single" w:color="auto" w:sz="4" w:space="0"/>
                    <w:right w:val="single" w:color="auto" w:sz="4" w:space="0"/>
                  </w:tcBorders>
                  <w:vAlign w:val="center"/>
                </w:tcPr>
                <w:p w14:paraId="2ADC46C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项目为废弃矿坑生态修复项目，不在金沙江干流、长江一级支流位置，项目修复工程完成后无废水、废气等污染物产生；项目施工期产生的渗滤液经收集后回用，不设置废水排放口。</w:t>
                  </w:r>
                </w:p>
              </w:tc>
              <w:tc>
                <w:tcPr>
                  <w:tcW w:w="570" w:type="pct"/>
                  <w:tcBorders>
                    <w:top w:val="single" w:color="auto" w:sz="4" w:space="0"/>
                    <w:left w:val="nil"/>
                    <w:bottom w:val="single" w:color="auto" w:sz="4" w:space="0"/>
                    <w:right w:val="single" w:color="auto" w:sz="4" w:space="0"/>
                  </w:tcBorders>
                  <w:vAlign w:val="center"/>
                </w:tcPr>
                <w:p w14:paraId="5F951B22">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A2F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6534F08B">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7.禁止在“一江一口两湖七河”和332个水生生物保护区开展生产性捕捞。</w:t>
                  </w:r>
                </w:p>
              </w:tc>
              <w:tc>
                <w:tcPr>
                  <w:tcW w:w="1358" w:type="pct"/>
                  <w:tcBorders>
                    <w:top w:val="single" w:color="auto" w:sz="4" w:space="0"/>
                    <w:left w:val="nil"/>
                    <w:bottom w:val="single" w:color="auto" w:sz="4" w:space="0"/>
                    <w:right w:val="single" w:color="auto" w:sz="4" w:space="0"/>
                  </w:tcBorders>
                  <w:vAlign w:val="center"/>
                </w:tcPr>
                <w:p w14:paraId="3AFCE5D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项目为废弃矿坑生态修复项目，不涉及水域工作，不开展生产性捕捞。</w:t>
                  </w:r>
                </w:p>
              </w:tc>
              <w:tc>
                <w:tcPr>
                  <w:tcW w:w="570" w:type="pct"/>
                  <w:tcBorders>
                    <w:top w:val="single" w:color="auto" w:sz="4" w:space="0"/>
                    <w:left w:val="nil"/>
                    <w:bottom w:val="single" w:color="auto" w:sz="4" w:space="0"/>
                    <w:right w:val="single" w:color="auto" w:sz="4" w:space="0"/>
                  </w:tcBorders>
                  <w:vAlign w:val="center"/>
                </w:tcPr>
                <w:p w14:paraId="1309CDF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1F3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1D82178F">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w:t>
                  </w:r>
                  <w:r>
                    <w:rPr>
                      <w:rFonts w:hint="eastAsia"/>
                      <w:color w:val="000000" w:themeColor="text1"/>
                      <w:sz w:val="21"/>
                      <w:szCs w:val="21"/>
                      <w:highlight w:val="none"/>
                      <w14:textFill>
                        <w14:solidFill>
                          <w14:schemeClr w14:val="tx1"/>
                        </w14:solidFill>
                      </w14:textFill>
                    </w:rPr>
                    <w:t>磷石膏</w:t>
                  </w:r>
                  <w:r>
                    <w:rPr>
                      <w:color w:val="000000" w:themeColor="text1"/>
                      <w:sz w:val="21"/>
                      <w:szCs w:val="21"/>
                      <w:highlight w:val="none"/>
                      <w14:textFill>
                        <w14:solidFill>
                          <w14:schemeClr w14:val="tx1"/>
                        </w14:solidFill>
                      </w14:textFill>
                    </w:rPr>
                    <w:t>库，以提升安全、生态环境保护水平为目的的改建除外。</w:t>
                  </w:r>
                </w:p>
              </w:tc>
              <w:tc>
                <w:tcPr>
                  <w:tcW w:w="1358" w:type="pct"/>
                  <w:tcBorders>
                    <w:top w:val="single" w:color="auto" w:sz="4" w:space="0"/>
                    <w:left w:val="nil"/>
                    <w:bottom w:val="single" w:color="auto" w:sz="4" w:space="0"/>
                    <w:right w:val="single" w:color="auto" w:sz="4" w:space="0"/>
                  </w:tcBorders>
                  <w:vAlign w:val="center"/>
                </w:tcPr>
                <w:p w14:paraId="22CE8DC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项目属于废弃矿坑生态修复项目，不属于化工项目及尾矿库、冶炼渣库和磷石膏库项目。</w:t>
                  </w:r>
                </w:p>
              </w:tc>
              <w:tc>
                <w:tcPr>
                  <w:tcW w:w="570" w:type="pct"/>
                  <w:tcBorders>
                    <w:top w:val="single" w:color="auto" w:sz="4" w:space="0"/>
                    <w:left w:val="nil"/>
                    <w:bottom w:val="single" w:color="auto" w:sz="4" w:space="0"/>
                    <w:right w:val="single" w:color="auto" w:sz="4" w:space="0"/>
                  </w:tcBorders>
                  <w:vAlign w:val="center"/>
                </w:tcPr>
                <w:p w14:paraId="6923154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5F7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7C6A80C4">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9.禁止在合规园区外新建、扩建钢铁、石化、化工、焦化、建材、有色、制浆造纸等高污染项目。</w:t>
                  </w:r>
                </w:p>
              </w:tc>
              <w:tc>
                <w:tcPr>
                  <w:tcW w:w="1358" w:type="pct"/>
                  <w:tcBorders>
                    <w:top w:val="single" w:color="auto" w:sz="4" w:space="0"/>
                    <w:left w:val="nil"/>
                    <w:bottom w:val="single" w:color="auto" w:sz="4" w:space="0"/>
                    <w:right w:val="single" w:color="auto" w:sz="4" w:space="0"/>
                  </w:tcBorders>
                  <w:vAlign w:val="center"/>
                </w:tcPr>
                <w:p w14:paraId="1CDAEC4C">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项目属于废弃矿坑生态修复项目，不属于禁止建设的高污染项目。</w:t>
                  </w:r>
                </w:p>
              </w:tc>
              <w:tc>
                <w:tcPr>
                  <w:tcW w:w="570" w:type="pct"/>
                  <w:tcBorders>
                    <w:top w:val="single" w:color="auto" w:sz="4" w:space="0"/>
                    <w:left w:val="nil"/>
                    <w:bottom w:val="single" w:color="auto" w:sz="4" w:space="0"/>
                    <w:right w:val="single" w:color="auto" w:sz="4" w:space="0"/>
                  </w:tcBorders>
                  <w:vAlign w:val="center"/>
                </w:tcPr>
                <w:p w14:paraId="15A7EB3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852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5D6BB7F0">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10.禁止新建、扩建不符合国家石化、现代煤化工等产业布局规划的项目</w:t>
                  </w:r>
                  <w:r>
                    <w:rPr>
                      <w:rFonts w:hint="eastAsia"/>
                      <w:color w:val="000000" w:themeColor="text1"/>
                      <w:sz w:val="21"/>
                      <w:szCs w:val="21"/>
                      <w:highlight w:val="none"/>
                      <w14:textFill>
                        <w14:solidFill>
                          <w14:schemeClr w14:val="tx1"/>
                        </w14:solidFill>
                      </w14:textFill>
                    </w:rPr>
                    <w:t>。</w:t>
                  </w:r>
                </w:p>
              </w:tc>
              <w:tc>
                <w:tcPr>
                  <w:tcW w:w="1358" w:type="pct"/>
                  <w:tcBorders>
                    <w:top w:val="single" w:color="auto" w:sz="4" w:space="0"/>
                    <w:left w:val="nil"/>
                    <w:bottom w:val="single" w:color="auto" w:sz="4" w:space="0"/>
                    <w:right w:val="single" w:color="auto" w:sz="4" w:space="0"/>
                  </w:tcBorders>
                  <w:vAlign w:val="center"/>
                </w:tcPr>
                <w:p w14:paraId="087C6C5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项目属于废弃矿坑生态修复项目，不属于石化、现代煤化工项目。不属于危险化学品生产项目。</w:t>
                  </w:r>
                </w:p>
              </w:tc>
              <w:tc>
                <w:tcPr>
                  <w:tcW w:w="570" w:type="pct"/>
                  <w:tcBorders>
                    <w:top w:val="single" w:color="auto" w:sz="4" w:space="0"/>
                    <w:left w:val="nil"/>
                    <w:bottom w:val="single" w:color="auto" w:sz="4" w:space="0"/>
                    <w:right w:val="single" w:color="auto" w:sz="4" w:space="0"/>
                  </w:tcBorders>
                  <w:vAlign w:val="center"/>
                </w:tcPr>
                <w:p w14:paraId="2854627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94E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7403722">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11.禁止新建、扩建法律法规和相关政策明令禁止的落后产能项目。禁止新建、扩建不符合国家产能置换要求的严重过剩产能行业的项目。禁止新建、扩建不符合要求的高耗能高排放项目。</w:t>
                  </w:r>
                </w:p>
              </w:tc>
              <w:tc>
                <w:tcPr>
                  <w:tcW w:w="1358" w:type="pct"/>
                  <w:tcBorders>
                    <w:top w:val="single" w:color="auto" w:sz="4" w:space="0"/>
                    <w:left w:val="nil"/>
                    <w:bottom w:val="single" w:color="auto" w:sz="4" w:space="0"/>
                    <w:right w:val="single" w:color="auto" w:sz="4" w:space="0"/>
                  </w:tcBorders>
                  <w:vAlign w:val="center"/>
                </w:tcPr>
                <w:p w14:paraId="658FC97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项目属于废弃矿坑生态修复项目，不属于条款规定的禁止项目类别。</w:t>
                  </w:r>
                </w:p>
              </w:tc>
              <w:tc>
                <w:tcPr>
                  <w:tcW w:w="570" w:type="pct"/>
                  <w:tcBorders>
                    <w:top w:val="single" w:color="auto" w:sz="4" w:space="0"/>
                    <w:left w:val="nil"/>
                    <w:bottom w:val="single" w:color="auto" w:sz="4" w:space="0"/>
                    <w:right w:val="single" w:color="auto" w:sz="4" w:space="0"/>
                  </w:tcBorders>
                  <w:vAlign w:val="center"/>
                </w:tcPr>
                <w:p w14:paraId="5830202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697CB4D6">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w:t>
            </w:r>
            <w:r>
              <w:rPr>
                <w:rFonts w:hint="eastAsia"/>
                <w:color w:val="000000" w:themeColor="text1"/>
                <w:highlight w:val="none"/>
                <w14:textFill>
                  <w14:solidFill>
                    <w14:schemeClr w14:val="tx1"/>
                  </w14:solidFill>
                </w14:textFill>
              </w:rPr>
              <w:t>《长江经济带发展负面清单指南》相关要求。</w:t>
            </w:r>
          </w:p>
          <w:p w14:paraId="70325FB0">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6、项目与《云南省长江经济带发展负面清单指南实施细则》（试行，2022年版）符合性分析</w:t>
            </w:r>
          </w:p>
          <w:p w14:paraId="578DDCFF">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项目为废弃矿坑生态修复项目，位于长江流域，项目与《云南省长江经济带发展负面清单指南实施细则》（试行，</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年版）（云发改基础〔</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894</w:t>
            </w:r>
            <w:r>
              <w:rPr>
                <w:rFonts w:hint="eastAsia"/>
                <w:color w:val="000000" w:themeColor="text1"/>
                <w:kern w:val="0"/>
                <w:highlight w:val="none"/>
                <w:lang w:bidi="ar"/>
                <w14:textFill>
                  <w14:solidFill>
                    <w14:schemeClr w14:val="tx1"/>
                  </w14:solidFill>
                </w14:textFill>
              </w:rPr>
              <w:t>号）的符合性如下。</w:t>
            </w:r>
          </w:p>
          <w:p w14:paraId="7863F86D">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表1-5  项目与《</w:t>
            </w:r>
            <w:r>
              <w:rPr>
                <w:rFonts w:hint="eastAsia"/>
                <w:b/>
                <w:bCs/>
                <w:color w:val="000000" w:themeColor="text1"/>
                <w:kern w:val="0"/>
                <w:sz w:val="21"/>
                <w:szCs w:val="21"/>
                <w:highlight w:val="none"/>
                <w14:textFill>
                  <w14:solidFill>
                    <w14:schemeClr w14:val="tx1"/>
                  </w14:solidFill>
                </w14:textFill>
              </w:rPr>
              <w:t>云南省长江经济带发展负面清单指南实施细则》</w:t>
            </w:r>
            <w:r>
              <w:rPr>
                <w:rFonts w:hint="eastAsia"/>
                <w:b/>
                <w:bCs/>
                <w:color w:val="000000" w:themeColor="text1"/>
                <w:kern w:val="0"/>
                <w:sz w:val="21"/>
                <w:szCs w:val="21"/>
                <w:highlight w:val="none"/>
                <w:lang w:bidi="ar"/>
                <w14:textFill>
                  <w14:solidFill>
                    <w14:schemeClr w14:val="tx1"/>
                  </w14:solidFill>
                </w14:textFill>
              </w:rPr>
              <w:t>（试行，2022年版）符合性分析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1"/>
              <w:gridCol w:w="2185"/>
              <w:gridCol w:w="917"/>
            </w:tblGrid>
            <w:tr w14:paraId="7ADD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E3E6CFA">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文件要求</w:t>
                  </w:r>
                </w:p>
              </w:tc>
              <w:tc>
                <w:tcPr>
                  <w:tcW w:w="1358" w:type="pct"/>
                  <w:tcBorders>
                    <w:top w:val="single" w:color="auto" w:sz="4" w:space="0"/>
                    <w:left w:val="nil"/>
                    <w:bottom w:val="single" w:color="auto" w:sz="4" w:space="0"/>
                    <w:right w:val="single" w:color="auto" w:sz="4" w:space="0"/>
                  </w:tcBorders>
                  <w:vAlign w:val="center"/>
                </w:tcPr>
                <w:p w14:paraId="2BE78492">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570" w:type="pct"/>
                  <w:tcBorders>
                    <w:top w:val="single" w:color="auto" w:sz="4" w:space="0"/>
                    <w:left w:val="nil"/>
                    <w:bottom w:val="single" w:color="auto" w:sz="4" w:space="0"/>
                    <w:right w:val="single" w:color="auto" w:sz="4" w:space="0"/>
                  </w:tcBorders>
                  <w:vAlign w:val="center"/>
                </w:tcPr>
                <w:p w14:paraId="6BD58F08">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5C57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0EB02D1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358" w:type="pct"/>
                  <w:tcBorders>
                    <w:top w:val="single" w:color="auto" w:sz="4" w:space="0"/>
                    <w:left w:val="nil"/>
                    <w:bottom w:val="single" w:color="auto" w:sz="4" w:space="0"/>
                    <w:right w:val="single" w:color="auto" w:sz="4" w:space="0"/>
                  </w:tcBorders>
                  <w:vAlign w:val="center"/>
                </w:tcPr>
                <w:p w14:paraId="17BE27C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项目为废弃矿坑生态修复项目，不属于码头项目。</w:t>
                  </w:r>
                </w:p>
              </w:tc>
              <w:tc>
                <w:tcPr>
                  <w:tcW w:w="570" w:type="pct"/>
                  <w:tcBorders>
                    <w:top w:val="single" w:color="auto" w:sz="4" w:space="0"/>
                    <w:left w:val="nil"/>
                    <w:bottom w:val="single" w:color="auto" w:sz="4" w:space="0"/>
                    <w:right w:val="single" w:color="auto" w:sz="4" w:space="0"/>
                  </w:tcBorders>
                  <w:vAlign w:val="center"/>
                </w:tcPr>
                <w:p w14:paraId="7508595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C3F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D27123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358" w:type="pct"/>
                  <w:tcBorders>
                    <w:top w:val="single" w:color="auto" w:sz="4" w:space="0"/>
                    <w:left w:val="nil"/>
                    <w:bottom w:val="single" w:color="auto" w:sz="4" w:space="0"/>
                    <w:right w:val="single" w:color="auto" w:sz="4" w:space="0"/>
                  </w:tcBorders>
                  <w:vAlign w:val="center"/>
                </w:tcPr>
                <w:p w14:paraId="4EF2DAB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项目为废弃矿坑生态修复项目，经查询项目不涉及自然保护区及相关保护区。</w:t>
                  </w:r>
                </w:p>
              </w:tc>
              <w:tc>
                <w:tcPr>
                  <w:tcW w:w="570" w:type="pct"/>
                  <w:tcBorders>
                    <w:top w:val="single" w:color="auto" w:sz="4" w:space="0"/>
                    <w:left w:val="nil"/>
                    <w:bottom w:val="single" w:color="auto" w:sz="4" w:space="0"/>
                    <w:right w:val="single" w:color="auto" w:sz="4" w:space="0"/>
                  </w:tcBorders>
                  <w:vAlign w:val="center"/>
                </w:tcPr>
                <w:p w14:paraId="55BC84C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9A4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6EAE3E9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禁止在风景名胜区核心景区的岸线和河段范围内投资建设与风景名胜区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58" w:type="pct"/>
                  <w:tcBorders>
                    <w:top w:val="single" w:color="auto" w:sz="4" w:space="0"/>
                    <w:left w:val="nil"/>
                    <w:bottom w:val="single" w:color="auto" w:sz="4" w:space="0"/>
                    <w:right w:val="single" w:color="auto" w:sz="4" w:space="0"/>
                  </w:tcBorders>
                  <w:vAlign w:val="center"/>
                </w:tcPr>
                <w:p w14:paraId="2DA47236">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项目为废弃矿坑生态修复项目，经查询项目不涉及风景名胜区。</w:t>
                  </w:r>
                </w:p>
              </w:tc>
              <w:tc>
                <w:tcPr>
                  <w:tcW w:w="570" w:type="pct"/>
                  <w:tcBorders>
                    <w:top w:val="nil"/>
                    <w:left w:val="nil"/>
                    <w:bottom w:val="single" w:color="auto" w:sz="4" w:space="0"/>
                    <w:right w:val="single" w:color="auto" w:sz="4" w:space="0"/>
                  </w:tcBorders>
                  <w:vAlign w:val="center"/>
                </w:tcPr>
                <w:p w14:paraId="18BE5A8F">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A7B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6CDC60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58" w:type="pct"/>
                  <w:tcBorders>
                    <w:top w:val="single" w:color="auto" w:sz="4" w:space="0"/>
                    <w:left w:val="nil"/>
                    <w:bottom w:val="single" w:color="auto" w:sz="4" w:space="0"/>
                    <w:right w:val="single" w:color="auto" w:sz="4" w:space="0"/>
                  </w:tcBorders>
                  <w:vAlign w:val="center"/>
                </w:tcPr>
                <w:p w14:paraId="3F33AA7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项目为废弃矿坑生态修复项目，经查询项目不涉及饮用水水源保护区。</w:t>
                  </w:r>
                </w:p>
              </w:tc>
              <w:tc>
                <w:tcPr>
                  <w:tcW w:w="570" w:type="pct"/>
                  <w:tcBorders>
                    <w:top w:val="single" w:color="auto" w:sz="4" w:space="0"/>
                    <w:left w:val="nil"/>
                    <w:bottom w:val="single" w:color="auto" w:sz="4" w:space="0"/>
                    <w:right w:val="single" w:color="auto" w:sz="4" w:space="0"/>
                  </w:tcBorders>
                  <w:vAlign w:val="center"/>
                </w:tcPr>
                <w:p w14:paraId="3C1EF3C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DD7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3B8904D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58" w:type="pct"/>
                  <w:tcBorders>
                    <w:top w:val="single" w:color="auto" w:sz="4" w:space="0"/>
                    <w:left w:val="nil"/>
                    <w:bottom w:val="single" w:color="auto" w:sz="4" w:space="0"/>
                    <w:right w:val="single" w:color="auto" w:sz="4" w:space="0"/>
                  </w:tcBorders>
                  <w:vAlign w:val="center"/>
                </w:tcPr>
                <w:p w14:paraId="128AADE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项目为废弃矿坑生态修复项目，选址不涉及水产种质资源保护区、国家湿地公园。</w:t>
                  </w:r>
                </w:p>
              </w:tc>
              <w:tc>
                <w:tcPr>
                  <w:tcW w:w="570" w:type="pct"/>
                  <w:tcBorders>
                    <w:top w:val="single" w:color="auto" w:sz="4" w:space="0"/>
                    <w:left w:val="nil"/>
                    <w:bottom w:val="single" w:color="auto" w:sz="4" w:space="0"/>
                    <w:right w:val="single" w:color="auto" w:sz="4" w:space="0"/>
                  </w:tcBorders>
                  <w:vAlign w:val="center"/>
                </w:tcPr>
                <w:p w14:paraId="6D3F3B6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2EA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4D96B0E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358" w:type="pct"/>
                  <w:tcBorders>
                    <w:top w:val="single" w:color="auto" w:sz="4" w:space="0"/>
                    <w:left w:val="nil"/>
                    <w:bottom w:val="single" w:color="auto" w:sz="4" w:space="0"/>
                    <w:right w:val="single" w:color="auto" w:sz="4" w:space="0"/>
                  </w:tcBorders>
                  <w:vAlign w:val="center"/>
                </w:tcPr>
                <w:p w14:paraId="290D5A3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项目为废弃矿坑生态修复项目，项目实施有利于区域生态环境质量改善；项目不占用长江流域河湖岸线。</w:t>
                  </w:r>
                </w:p>
              </w:tc>
              <w:tc>
                <w:tcPr>
                  <w:tcW w:w="570" w:type="pct"/>
                  <w:tcBorders>
                    <w:top w:val="single" w:color="auto" w:sz="4" w:space="0"/>
                    <w:left w:val="nil"/>
                    <w:bottom w:val="single" w:color="auto" w:sz="4" w:space="0"/>
                    <w:right w:val="single" w:color="auto" w:sz="4" w:space="0"/>
                  </w:tcBorders>
                  <w:vAlign w:val="center"/>
                </w:tcPr>
                <w:p w14:paraId="004A069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15D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64711DB0">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7、禁止在金沙江干流、长江一级支流建设除</w:t>
                  </w:r>
                  <w:r>
                    <w:rPr>
                      <w:rFonts w:hint="eastAsia"/>
                      <w:color w:val="000000" w:themeColor="text1"/>
                      <w:sz w:val="21"/>
                      <w:szCs w:val="21"/>
                      <w:highlight w:val="none"/>
                      <w:lang w:val="en-US" w:eastAsia="zh-CN"/>
                      <w14:textFill>
                        <w14:solidFill>
                          <w14:schemeClr w14:val="tx1"/>
                        </w14:solidFill>
                      </w14:textFill>
                    </w:rPr>
                    <w:t>中共</w:t>
                  </w:r>
                  <w:bookmarkStart w:id="63" w:name="_GoBack"/>
                  <w:bookmarkEnd w:id="63"/>
                  <w:r>
                    <w:rPr>
                      <w:rFonts w:hint="eastAsia"/>
                      <w:color w:val="000000" w:themeColor="text1"/>
                      <w:sz w:val="21"/>
                      <w:szCs w:val="21"/>
                      <w:highlight w:val="none"/>
                      <w14:textFill>
                        <w14:solidFill>
                          <w14:schemeClr w14:val="tx1"/>
                        </w14:solidFill>
                      </w14:textFill>
                    </w:rPr>
                    <w:t>中央</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国务院、国家投资主管部门、省级有关部门批复同意以外的过江基础设施项目；禁止未经许可在金沙江干流、长江一级支流、九大高原湖泊流域新设、改设或扩大排污口。</w:t>
                  </w:r>
                </w:p>
              </w:tc>
              <w:tc>
                <w:tcPr>
                  <w:tcW w:w="1358" w:type="pct"/>
                  <w:tcBorders>
                    <w:top w:val="single" w:color="auto" w:sz="4" w:space="0"/>
                    <w:left w:val="nil"/>
                    <w:bottom w:val="single" w:color="auto" w:sz="4" w:space="0"/>
                    <w:right w:val="single" w:color="auto" w:sz="4" w:space="0"/>
                  </w:tcBorders>
                  <w:vAlign w:val="center"/>
                </w:tcPr>
                <w:p w14:paraId="628CDAA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项目为废弃矿坑生态修复项目，不在金沙江干流、长江一级支流位置，项目修复工程完成后无废水、废气等污染物产生；项目施工期产生的渗滤液经收集后回用，不设置废水排放口。</w:t>
                  </w:r>
                </w:p>
              </w:tc>
              <w:tc>
                <w:tcPr>
                  <w:tcW w:w="570" w:type="pct"/>
                  <w:tcBorders>
                    <w:top w:val="single" w:color="auto" w:sz="4" w:space="0"/>
                    <w:left w:val="nil"/>
                    <w:bottom w:val="single" w:color="auto" w:sz="4" w:space="0"/>
                    <w:right w:val="single" w:color="auto" w:sz="4" w:space="0"/>
                  </w:tcBorders>
                  <w:vAlign w:val="center"/>
                </w:tcPr>
                <w:p w14:paraId="50AE14B6">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E12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3535722C">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8、禁止在金沙江干流、长江一级支流、水生生物保护区和长江流域禁捕水域开展天然渔业资源生产性捕捞。</w:t>
                  </w:r>
                </w:p>
              </w:tc>
              <w:tc>
                <w:tcPr>
                  <w:tcW w:w="1358" w:type="pct"/>
                  <w:tcBorders>
                    <w:top w:val="single" w:color="auto" w:sz="4" w:space="0"/>
                    <w:left w:val="nil"/>
                    <w:bottom w:val="single" w:color="auto" w:sz="4" w:space="0"/>
                    <w:right w:val="single" w:color="auto" w:sz="4" w:space="0"/>
                  </w:tcBorders>
                  <w:vAlign w:val="center"/>
                </w:tcPr>
                <w:p w14:paraId="5E69C2D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项目为废弃矿坑生态修复项目，不涉及水域工作，不开展生产性捕捞。</w:t>
                  </w:r>
                </w:p>
              </w:tc>
              <w:tc>
                <w:tcPr>
                  <w:tcW w:w="570" w:type="pct"/>
                  <w:tcBorders>
                    <w:top w:val="single" w:color="auto" w:sz="4" w:space="0"/>
                    <w:left w:val="nil"/>
                    <w:bottom w:val="single" w:color="auto" w:sz="4" w:space="0"/>
                    <w:right w:val="single" w:color="auto" w:sz="4" w:space="0"/>
                  </w:tcBorders>
                  <w:vAlign w:val="center"/>
                </w:tcPr>
                <w:p w14:paraId="1A65CA6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565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AA00B3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58" w:type="pct"/>
                  <w:tcBorders>
                    <w:top w:val="single" w:color="auto" w:sz="4" w:space="0"/>
                    <w:left w:val="nil"/>
                    <w:bottom w:val="single" w:color="auto" w:sz="4" w:space="0"/>
                    <w:right w:val="single" w:color="auto" w:sz="4" w:space="0"/>
                  </w:tcBorders>
                  <w:vAlign w:val="center"/>
                </w:tcPr>
                <w:p w14:paraId="58DA851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项目属于废弃矿坑生态修复项目，不属于化工项目及尾矿库、冶炼渣库和磷石膏库项目。</w:t>
                  </w:r>
                </w:p>
              </w:tc>
              <w:tc>
                <w:tcPr>
                  <w:tcW w:w="570" w:type="pct"/>
                  <w:tcBorders>
                    <w:top w:val="single" w:color="auto" w:sz="4" w:space="0"/>
                    <w:left w:val="nil"/>
                    <w:bottom w:val="single" w:color="auto" w:sz="4" w:space="0"/>
                    <w:right w:val="single" w:color="auto" w:sz="4" w:space="0"/>
                  </w:tcBorders>
                  <w:vAlign w:val="center"/>
                </w:tcPr>
                <w:p w14:paraId="5230638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E34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5491635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10、禁止在合规园区外新建、扩建钢铁、石化、化工、焦化、建材、有色、制浆造纸行业中的高污染项目。</w:t>
                  </w:r>
                </w:p>
              </w:tc>
              <w:tc>
                <w:tcPr>
                  <w:tcW w:w="1358" w:type="pct"/>
                  <w:tcBorders>
                    <w:top w:val="single" w:color="auto" w:sz="4" w:space="0"/>
                    <w:left w:val="nil"/>
                    <w:bottom w:val="single" w:color="auto" w:sz="4" w:space="0"/>
                    <w:right w:val="single" w:color="auto" w:sz="4" w:space="0"/>
                  </w:tcBorders>
                  <w:vAlign w:val="center"/>
                </w:tcPr>
                <w:p w14:paraId="689C217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项目属于废弃矿坑生态修复项目，不属于禁止建设的高污染项目。</w:t>
                  </w:r>
                </w:p>
              </w:tc>
              <w:tc>
                <w:tcPr>
                  <w:tcW w:w="570" w:type="pct"/>
                  <w:tcBorders>
                    <w:top w:val="single" w:color="auto" w:sz="4" w:space="0"/>
                    <w:left w:val="nil"/>
                    <w:bottom w:val="single" w:color="auto" w:sz="4" w:space="0"/>
                    <w:right w:val="single" w:color="auto" w:sz="4" w:space="0"/>
                  </w:tcBorders>
                  <w:vAlign w:val="center"/>
                </w:tcPr>
                <w:p w14:paraId="48BBF86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900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00DB0B3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11、禁止新建、扩建不符合国家石化、现代煤化工等产业布局规划的项目。禁止列入《云南省城镇人口密集区危险化学品生产企业搬迁改造名单》的搬迁改造企业在原址新建、扩建危险化学品生产项目。</w:t>
                  </w:r>
                </w:p>
              </w:tc>
              <w:tc>
                <w:tcPr>
                  <w:tcW w:w="1358" w:type="pct"/>
                  <w:tcBorders>
                    <w:top w:val="single" w:color="auto" w:sz="4" w:space="0"/>
                    <w:left w:val="nil"/>
                    <w:bottom w:val="single" w:color="auto" w:sz="4" w:space="0"/>
                    <w:right w:val="single" w:color="auto" w:sz="4" w:space="0"/>
                  </w:tcBorders>
                  <w:vAlign w:val="center"/>
                </w:tcPr>
                <w:p w14:paraId="6E4961C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项目属于废弃矿坑生态修复项目，不属于石化、现代煤化工项目。不属于危险化学品生产项目。</w:t>
                  </w:r>
                </w:p>
              </w:tc>
              <w:tc>
                <w:tcPr>
                  <w:tcW w:w="570" w:type="pct"/>
                  <w:tcBorders>
                    <w:top w:val="single" w:color="auto" w:sz="4" w:space="0"/>
                    <w:left w:val="nil"/>
                    <w:bottom w:val="single" w:color="auto" w:sz="4" w:space="0"/>
                    <w:right w:val="single" w:color="auto" w:sz="4" w:space="0"/>
                  </w:tcBorders>
                  <w:vAlign w:val="center"/>
                </w:tcPr>
                <w:p w14:paraId="1039806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F9F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680F7FE6">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黄磷、烧碱、纯碱、聚氯乙烯等行业新增产能。</w:t>
                  </w:r>
                </w:p>
              </w:tc>
              <w:tc>
                <w:tcPr>
                  <w:tcW w:w="1358" w:type="pct"/>
                  <w:tcBorders>
                    <w:top w:val="single" w:color="auto" w:sz="4" w:space="0"/>
                    <w:left w:val="nil"/>
                    <w:bottom w:val="single" w:color="auto" w:sz="4" w:space="0"/>
                    <w:right w:val="single" w:color="auto" w:sz="4" w:space="0"/>
                  </w:tcBorders>
                  <w:vAlign w:val="center"/>
                </w:tcPr>
                <w:p w14:paraId="35AA95D0">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项目属于废弃矿坑生态修复项目，不属于条款规定的禁止项目类别。</w:t>
                  </w:r>
                </w:p>
              </w:tc>
              <w:tc>
                <w:tcPr>
                  <w:tcW w:w="570" w:type="pct"/>
                  <w:tcBorders>
                    <w:top w:val="single" w:color="auto" w:sz="4" w:space="0"/>
                    <w:left w:val="nil"/>
                    <w:bottom w:val="single" w:color="auto" w:sz="4" w:space="0"/>
                    <w:right w:val="single" w:color="auto" w:sz="4" w:space="0"/>
                  </w:tcBorders>
                  <w:vAlign w:val="center"/>
                </w:tcPr>
                <w:p w14:paraId="6C421EA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77A32414">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综上，项目建设符合《云南省长江经济带发展负面清单指南实施细则》（试行，</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年版）文件要求</w:t>
            </w:r>
            <w:r>
              <w:rPr>
                <w:rFonts w:hint="eastAsia"/>
                <w:color w:val="000000" w:themeColor="text1"/>
                <w:highlight w:val="none"/>
                <w14:textFill>
                  <w14:solidFill>
                    <w14:schemeClr w14:val="tx1"/>
                  </w14:solidFill>
                </w14:textFill>
              </w:rPr>
              <w:t>。</w:t>
            </w:r>
          </w:p>
          <w:p w14:paraId="48AC0E99">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7、项目与《自然资源部办公厅关于开展长江经济带废弃露天矿山生态修复工作的通知》符合性分析</w:t>
            </w:r>
          </w:p>
          <w:p w14:paraId="0BB8DCD3">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自然资源部办公厅关于开展长江经济带废弃露天矿山生态修复工作的通知》要求，到2020年底，全面完成长江干流及主要支流两岸各10公里范围内废弃露天矿山治理任务，其中云南、贵州、四川、重庆废弃露天矿山以铁、锰、铝土、稀土、磷等金属、非金属为主，滑坡、泥石流、地裂缝等地质灾害较为发育。该区域矿山生态修复重点是消除地质灾害隐患，防治水土流失，恢复植被。结合植被恢复和山体修复，最大限度减少裸露地面，增加绿化面积。</w:t>
            </w:r>
          </w:p>
          <w:p w14:paraId="4DFC4AF1">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本项目修复措施主要包括：</w:t>
            </w:r>
            <w:r>
              <w:rPr>
                <w:rFonts w:hint="eastAsia"/>
                <w:color w:val="000000" w:themeColor="text1"/>
                <w:spacing w:val="12"/>
                <w:highlight w:val="none"/>
                <w14:textFill>
                  <w14:solidFill>
                    <w14:schemeClr w14:val="tx1"/>
                  </w14:solidFill>
                </w14:textFill>
              </w:rPr>
              <w:t>土地平整工程</w:t>
            </w:r>
            <w:r>
              <w:rPr>
                <w:rFonts w:hint="eastAsia"/>
                <w:color w:val="000000" w:themeColor="text1"/>
                <w:highlight w:val="none"/>
                <w14:textFill>
                  <w14:solidFill>
                    <w14:schemeClr w14:val="tx1"/>
                  </w14:solidFill>
                </w14:textFill>
              </w:rPr>
              <w:t>；坡面工程；修建截排水沟；修建拦挡设施；堆积区内部渗滤液导排管；铺设底部、顶部、坡面防渗层；铺设地下水导排管沟；回填工程（改性磷石膏修复材料）；设置防洪安全监测、拦挡体安全监测、回填区安全监测、地下水监控井、土壤环境跟踪监控等；场地降尘措施；</w:t>
            </w:r>
            <w:r>
              <w:rPr>
                <w:rFonts w:hint="eastAsia"/>
                <w:color w:val="000000" w:themeColor="text1"/>
                <w:szCs w:val="21"/>
                <w:highlight w:val="none"/>
                <w14:textFill>
                  <w14:solidFill>
                    <w14:schemeClr w14:val="tx1"/>
                  </w14:solidFill>
                </w14:textFill>
              </w:rPr>
              <w:t>地表</w:t>
            </w:r>
            <w:r>
              <w:rPr>
                <w:rFonts w:hint="eastAsia"/>
                <w:color w:val="000000" w:themeColor="text1"/>
                <w:highlight w:val="none"/>
                <w14:textFill>
                  <w14:solidFill>
                    <w14:schemeClr w14:val="tx1"/>
                  </w14:solidFill>
                </w14:textFill>
              </w:rPr>
              <w:t>植被恢复及管理抚育。</w:t>
            </w:r>
          </w:p>
          <w:p w14:paraId="62D3D38B">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修复完成后即消除了地质灾害、恢复矿区生态环境，符合该通知要求。</w:t>
            </w:r>
          </w:p>
          <w:p w14:paraId="73676D16">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8、项目与《一般工业固体废物贮存和填埋污染控制标准》（GB18599-2020）符合性分析</w:t>
            </w:r>
          </w:p>
          <w:p w14:paraId="61D0CCEA">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表1-6  项目与《</w:t>
            </w:r>
            <w:r>
              <w:rPr>
                <w:rFonts w:hint="eastAsia"/>
                <w:b/>
                <w:bCs/>
                <w:color w:val="000000" w:themeColor="text1"/>
                <w:kern w:val="0"/>
                <w:sz w:val="21"/>
                <w:szCs w:val="21"/>
                <w:highlight w:val="none"/>
                <w14:textFill>
                  <w14:solidFill>
                    <w14:schemeClr w14:val="tx1"/>
                  </w14:solidFill>
                </w14:textFill>
              </w:rPr>
              <w:t>一般工业固体废物贮存和填埋污染控制标准》</w:t>
            </w:r>
            <w:r>
              <w:rPr>
                <w:rFonts w:hint="eastAsia"/>
                <w:b/>
                <w:bCs/>
                <w:color w:val="000000" w:themeColor="text1"/>
                <w:kern w:val="0"/>
                <w:sz w:val="21"/>
                <w:szCs w:val="21"/>
                <w:highlight w:val="none"/>
                <w:lang w:bidi="ar"/>
                <w14:textFill>
                  <w14:solidFill>
                    <w14:schemeClr w14:val="tx1"/>
                  </w14:solidFill>
                </w14:textFill>
              </w:rPr>
              <w:t>符合性分析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6"/>
              <w:gridCol w:w="4009"/>
              <w:gridCol w:w="478"/>
            </w:tblGrid>
            <w:tr w14:paraId="1712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22522AD1">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标准要求</w:t>
                  </w:r>
                </w:p>
              </w:tc>
              <w:tc>
                <w:tcPr>
                  <w:tcW w:w="2492" w:type="pct"/>
                  <w:tcBorders>
                    <w:top w:val="single" w:color="auto" w:sz="4" w:space="0"/>
                    <w:left w:val="nil"/>
                    <w:bottom w:val="single" w:color="auto" w:sz="4" w:space="0"/>
                    <w:right w:val="single" w:color="auto" w:sz="4" w:space="0"/>
                  </w:tcBorders>
                  <w:vAlign w:val="center"/>
                </w:tcPr>
                <w:p w14:paraId="4541466D">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296" w:type="pct"/>
                  <w:tcBorders>
                    <w:top w:val="single" w:color="auto" w:sz="4" w:space="0"/>
                    <w:left w:val="nil"/>
                    <w:bottom w:val="single" w:color="auto" w:sz="4" w:space="0"/>
                    <w:right w:val="single" w:color="auto" w:sz="4" w:space="0"/>
                  </w:tcBorders>
                  <w:vAlign w:val="center"/>
                </w:tcPr>
                <w:p w14:paraId="7437ADC5">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608F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34105FA">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4贮存场和填埋场选址要求</w:t>
                  </w:r>
                </w:p>
              </w:tc>
            </w:tr>
            <w:tr w14:paraId="1F6E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6D0B4D9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4.1一般工业固体废物贮存场、填埋场的选址应符合环境保护法律法规及相关法定规划要求。</w:t>
                  </w:r>
                </w:p>
              </w:tc>
              <w:tc>
                <w:tcPr>
                  <w:tcW w:w="2492" w:type="pct"/>
                  <w:tcBorders>
                    <w:top w:val="single" w:color="auto" w:sz="4" w:space="0"/>
                    <w:left w:val="nil"/>
                    <w:bottom w:val="single" w:color="auto" w:sz="4" w:space="0"/>
                    <w:right w:val="single" w:color="auto" w:sz="4" w:space="0"/>
                  </w:tcBorders>
                  <w:vAlign w:val="center"/>
                </w:tcPr>
                <w:p w14:paraId="65ABEF4B">
                  <w:pPr>
                    <w:widowControl/>
                    <w:spacing w:line="240" w:lineRule="auto"/>
                    <w:ind w:firstLine="0" w:firstLineChars="0"/>
                    <w:jc w:val="left"/>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本项目为废弃矿坑生态修复项目，对原有废弃采石场进行生态修复，不涉及环境敏感区，符合环境保护法律法规要求。</w:t>
                  </w:r>
                </w:p>
              </w:tc>
              <w:tc>
                <w:tcPr>
                  <w:tcW w:w="296" w:type="pct"/>
                  <w:tcBorders>
                    <w:top w:val="single" w:color="auto" w:sz="4" w:space="0"/>
                    <w:left w:val="nil"/>
                    <w:bottom w:val="single" w:color="auto" w:sz="4" w:space="0"/>
                    <w:right w:val="single" w:color="auto" w:sz="4" w:space="0"/>
                  </w:tcBorders>
                  <w:vAlign w:val="center"/>
                </w:tcPr>
                <w:p w14:paraId="100809D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EEA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7CE6F7C9">
                  <w:pPr>
                    <w:widowControl/>
                    <w:spacing w:line="240" w:lineRule="auto"/>
                    <w:ind w:firstLine="0" w:firstLineChars="0"/>
                    <w:jc w:val="left"/>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4.3贮存场、填埋场不得选在生态保护红线区域、永久基本农田集中区域和其他需要特别保护的区域内。</w:t>
                  </w:r>
                </w:p>
              </w:tc>
              <w:tc>
                <w:tcPr>
                  <w:tcW w:w="2492" w:type="pct"/>
                  <w:tcBorders>
                    <w:top w:val="single" w:color="auto" w:sz="4" w:space="0"/>
                    <w:left w:val="nil"/>
                    <w:bottom w:val="single" w:color="auto" w:sz="4" w:space="0"/>
                    <w:right w:val="single" w:color="auto" w:sz="4" w:space="0"/>
                  </w:tcBorders>
                  <w:vAlign w:val="center"/>
                </w:tcPr>
                <w:p w14:paraId="43BCD40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项目选址不涉及生态保护红线、永久基本农田和其他需要特别保护的区域。</w:t>
                  </w:r>
                </w:p>
              </w:tc>
              <w:tc>
                <w:tcPr>
                  <w:tcW w:w="296" w:type="pct"/>
                  <w:tcBorders>
                    <w:top w:val="single" w:color="auto" w:sz="4" w:space="0"/>
                    <w:left w:val="nil"/>
                    <w:bottom w:val="single" w:color="auto" w:sz="4" w:space="0"/>
                    <w:right w:val="single" w:color="auto" w:sz="4" w:space="0"/>
                  </w:tcBorders>
                  <w:vAlign w:val="center"/>
                </w:tcPr>
                <w:p w14:paraId="3E1DF91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E75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2A9705E3">
                  <w:pPr>
                    <w:widowControl/>
                    <w:spacing w:line="240" w:lineRule="auto"/>
                    <w:ind w:firstLine="0" w:firstLineChars="0"/>
                    <w:jc w:val="left"/>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4.4贮存场、填埋场应避开活动断层、溶洞区、天然滑坡或泥石流影响区以及湿地等区域。</w:t>
                  </w:r>
                </w:p>
              </w:tc>
              <w:tc>
                <w:tcPr>
                  <w:tcW w:w="2492" w:type="pct"/>
                  <w:tcBorders>
                    <w:top w:val="single" w:color="auto" w:sz="4" w:space="0"/>
                    <w:left w:val="nil"/>
                    <w:bottom w:val="single" w:color="auto" w:sz="4" w:space="0"/>
                    <w:right w:val="single" w:color="auto" w:sz="4" w:space="0"/>
                  </w:tcBorders>
                  <w:vAlign w:val="center"/>
                </w:tcPr>
                <w:p w14:paraId="7EC9929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寻甸县常青树磷石膏库综合治理项目</w:t>
                  </w:r>
                  <w:r>
                    <w:rPr>
                      <w:rFonts w:hint="eastAsia" w:cs="Times New Roman"/>
                      <w:color w:val="000000" w:themeColor="text1"/>
                      <w:sz w:val="21"/>
                      <w:szCs w:val="21"/>
                      <w:highlight w:val="none"/>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生态修复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水文地质勘察报告》</w:t>
                  </w:r>
                  <w:r>
                    <w:rPr>
                      <w:rFonts w:hint="eastAsia" w:cs="Times New Roman"/>
                      <w:color w:val="000000" w:themeColor="text1"/>
                      <w:sz w:val="21"/>
                      <w:szCs w:val="21"/>
                      <w:highlight w:val="none"/>
                      <w:lang w:val="en-US" w:eastAsia="zh-CN"/>
                      <w14:textFill>
                        <w14:solidFill>
                          <w14:schemeClr w14:val="tx1"/>
                        </w14:solidFill>
                      </w14:textFill>
                    </w:rPr>
                    <w:t>结论</w:t>
                  </w:r>
                  <w:r>
                    <w:rPr>
                      <w:rFonts w:hint="eastAsia"/>
                      <w:color w:val="000000" w:themeColor="text1"/>
                      <w:kern w:val="0"/>
                      <w:sz w:val="21"/>
                      <w:szCs w:val="21"/>
                      <w:highlight w:val="none"/>
                      <w:lang w:bidi="ar"/>
                      <w14:textFill>
                        <w14:solidFill>
                          <w14:schemeClr w14:val="tx1"/>
                        </w14:solidFill>
                      </w14:textFill>
                    </w:rPr>
                    <w:t>，项目区岩溶中等发育，不存在较多落水洞和岩溶漏斗的区域与其他需要特别保护的区域内。</w:t>
                  </w:r>
                </w:p>
              </w:tc>
              <w:tc>
                <w:tcPr>
                  <w:tcW w:w="296" w:type="pct"/>
                  <w:tcBorders>
                    <w:top w:val="single" w:color="auto" w:sz="4" w:space="0"/>
                    <w:left w:val="nil"/>
                    <w:bottom w:val="single" w:color="auto" w:sz="4" w:space="0"/>
                    <w:right w:val="single" w:color="auto" w:sz="4" w:space="0"/>
                  </w:tcBorders>
                  <w:vAlign w:val="center"/>
                </w:tcPr>
                <w:p w14:paraId="160A268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CE9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7337A56">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8充填及回填利用污染控制要求</w:t>
                  </w:r>
                </w:p>
              </w:tc>
            </w:tr>
            <w:tr w14:paraId="6034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0222BF4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8.2</w:t>
                  </w:r>
                  <w:r>
                    <w:rPr>
                      <w:rFonts w:hint="eastAsia"/>
                      <w:color w:val="000000" w:themeColor="text1"/>
                      <w:kern w:val="0"/>
                      <w:sz w:val="21"/>
                      <w:szCs w:val="21"/>
                      <w:highlight w:val="none"/>
                      <w:lang w:bidi="ar"/>
                      <w14:textFill>
                        <w14:solidFill>
                          <w14:schemeClr w14:val="tx1"/>
                        </w14:solidFill>
                      </w14:textFill>
                    </w:rPr>
                    <w:t>第Ⅱ类一般工业固体废物以及不符合</w:t>
                  </w:r>
                  <w:r>
                    <w:rPr>
                      <w:color w:val="000000" w:themeColor="text1"/>
                      <w:kern w:val="0"/>
                      <w:sz w:val="21"/>
                      <w:szCs w:val="21"/>
                      <w:highlight w:val="none"/>
                      <w:lang w:bidi="ar"/>
                      <w14:textFill>
                        <w14:solidFill>
                          <w14:schemeClr w14:val="tx1"/>
                        </w14:solidFill>
                      </w14:textFill>
                    </w:rPr>
                    <w:t>8.1</w:t>
                  </w:r>
                  <w:r>
                    <w:rPr>
                      <w:rFonts w:hint="eastAsia"/>
                      <w:color w:val="000000" w:themeColor="text1"/>
                      <w:kern w:val="0"/>
                      <w:sz w:val="21"/>
                      <w:szCs w:val="21"/>
                      <w:highlight w:val="none"/>
                      <w:lang w:bidi="ar"/>
                      <w14:textFill>
                        <w14:solidFill>
                          <w14:schemeClr w14:val="tx1"/>
                        </w14:solidFill>
                      </w14:textFill>
                    </w:rPr>
                    <w:t>条充填或回填途径的第</w:t>
                  </w:r>
                  <w:r>
                    <w:rPr>
                      <w:color w:val="000000" w:themeColor="text1"/>
                      <w:kern w:val="0"/>
                      <w:sz w:val="21"/>
                      <w:szCs w:val="21"/>
                      <w:highlight w:val="none"/>
                      <w:lang w:bidi="ar"/>
                      <w14:textFill>
                        <w14:solidFill>
                          <w14:schemeClr w14:val="tx1"/>
                        </w14:solidFill>
                      </w14:textFill>
                    </w:rPr>
                    <w:t>I</w:t>
                  </w:r>
                  <w:r>
                    <w:rPr>
                      <w:rFonts w:hint="eastAsia"/>
                      <w:color w:val="000000" w:themeColor="text1"/>
                      <w:kern w:val="0"/>
                      <w:sz w:val="21"/>
                      <w:szCs w:val="21"/>
                      <w:highlight w:val="none"/>
                      <w:lang w:bidi="ar"/>
                      <w14:textFill>
                        <w14:solidFill>
                          <w14:schemeClr w14:val="tx1"/>
                        </w14:solidFill>
                      </w14:textFill>
                    </w:rPr>
                    <w:t>类一般工业固体废物，其充填或回填活动前应开展环境本底调查，并按照</w:t>
                  </w:r>
                  <w:r>
                    <w:rPr>
                      <w:color w:val="000000" w:themeColor="text1"/>
                      <w:kern w:val="0"/>
                      <w:sz w:val="21"/>
                      <w:szCs w:val="21"/>
                      <w:highlight w:val="none"/>
                      <w:lang w:bidi="ar"/>
                      <w14:textFill>
                        <w14:solidFill>
                          <w14:schemeClr w14:val="tx1"/>
                        </w14:solidFill>
                      </w14:textFill>
                    </w:rPr>
                    <w:t>HJ25.3</w:t>
                  </w:r>
                  <w:r>
                    <w:rPr>
                      <w:rFonts w:hint="eastAsia"/>
                      <w:color w:val="000000" w:themeColor="text1"/>
                      <w:kern w:val="0"/>
                      <w:sz w:val="21"/>
                      <w:szCs w:val="21"/>
                      <w:highlight w:val="none"/>
                      <w:lang w:bidi="ar"/>
                      <w14:textFill>
                        <w14:solidFill>
                          <w14:schemeClr w14:val="tx1"/>
                        </w14:solidFill>
                      </w14:textFill>
                    </w:rPr>
                    <w:t>等相关标准进行环境风险评估，重点评估对地下水、地表水及周边土壤的环境污染风险，确保环境风险可以接受。充填或回填活动结束后，应根据风险评估结果对可能受到影响的土壤、地表水及地下水开展长期监测，监测频次至少每年1次。</w:t>
                  </w:r>
                </w:p>
              </w:tc>
              <w:tc>
                <w:tcPr>
                  <w:tcW w:w="2492" w:type="pct"/>
                  <w:tcBorders>
                    <w:top w:val="single" w:color="auto" w:sz="4" w:space="0"/>
                    <w:left w:val="nil"/>
                    <w:bottom w:val="single" w:color="auto" w:sz="4" w:space="0"/>
                    <w:right w:val="single" w:color="auto" w:sz="4" w:space="0"/>
                  </w:tcBorders>
                  <w:vAlign w:val="center"/>
                </w:tcPr>
                <w:p w14:paraId="0A0FE31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本项目采用无害化处理后的改性磷石膏对矿坑进行回填作业，改性磷石膏的质量特性满足云南省地方标准《改性磷石膏用于矿山废弃地生态修复回填技术规范》（DB53/T1269-2024）中5.4要求。</w:t>
                  </w:r>
                </w:p>
                <w:p w14:paraId="1E872E2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项目已开展地表水环境、地下水环境、土壤环境本底调查，并按照</w:t>
                  </w:r>
                  <w:r>
                    <w:rPr>
                      <w:color w:val="000000" w:themeColor="text1"/>
                      <w:sz w:val="21"/>
                      <w:szCs w:val="21"/>
                      <w:highlight w:val="none"/>
                      <w14:textFill>
                        <w14:solidFill>
                          <w14:schemeClr w14:val="tx1"/>
                        </w14:solidFill>
                      </w14:textFill>
                    </w:rPr>
                    <w:t>HJ25.3</w:t>
                  </w:r>
                  <w:r>
                    <w:rPr>
                      <w:rFonts w:hint="eastAsia"/>
                      <w:color w:val="000000" w:themeColor="text1"/>
                      <w:sz w:val="21"/>
                      <w:szCs w:val="21"/>
                      <w:highlight w:val="none"/>
                      <w14:textFill>
                        <w14:solidFill>
                          <w14:schemeClr w14:val="tx1"/>
                        </w14:solidFill>
                      </w14:textFill>
                    </w:rPr>
                    <w:t>、昆明市地方标准《改性磷石膏综合利用矿山生态修复环境风险评估规范》（</w:t>
                  </w:r>
                  <w:r>
                    <w:rPr>
                      <w:color w:val="000000" w:themeColor="text1"/>
                      <w:sz w:val="21"/>
                      <w:szCs w:val="21"/>
                      <w:highlight w:val="none"/>
                      <w14:textFill>
                        <w14:solidFill>
                          <w14:schemeClr w14:val="tx1"/>
                        </w14:solidFill>
                      </w14:textFill>
                    </w:rPr>
                    <w:t>DB5301/T98-2023</w:t>
                  </w:r>
                  <w:r>
                    <w:rPr>
                      <w:rFonts w:hint="eastAsia"/>
                      <w:color w:val="000000" w:themeColor="text1"/>
                      <w:sz w:val="21"/>
                      <w:szCs w:val="21"/>
                      <w:highlight w:val="none"/>
                      <w14:textFill>
                        <w14:solidFill>
                          <w14:schemeClr w14:val="tx1"/>
                        </w14:solidFill>
                      </w14:textFill>
                    </w:rPr>
                    <w:t>）等相关规范的要求开展了环境风险评估工作，编制了风险评估报告，评估报告已通过专家评审，根据专家评审意见和风险评估结论，项目环境风险可接受。本次环评要求对地下水水质进行监控；同时对渗滤液、地下水导排水质进行监测，及时了解回填区情况；提出监测计划，对地下水环境开展跟踪监测。按照规范要求，项目充填结束后项目设置4个土壤监测点</w:t>
                  </w:r>
                  <w:r>
                    <w:rPr>
                      <w:rFonts w:hint="eastAsia" w:ascii="宋体" w:hAnsi="宋体" w:cs="宋体"/>
                      <w:color w:val="000000" w:themeColor="text1"/>
                      <w:kern w:val="0"/>
                      <w:sz w:val="21"/>
                      <w:szCs w:val="21"/>
                      <w:highlight w:val="none"/>
                      <w:lang w:bidi="ar"/>
                      <w14:textFill>
                        <w14:solidFill>
                          <w14:schemeClr w14:val="tx1"/>
                        </w14:solidFill>
                      </w14:textFill>
                    </w:rPr>
                    <w:t>，位于项目区北侧非回填区、项目区外下风向、项目区外南侧，监测因子为pH、氟化物、铜、铅、锌、镉、砷、汞，每年监测1次，</w:t>
                  </w:r>
                  <w:r>
                    <w:rPr>
                      <w:rFonts w:hint="eastAsia"/>
                      <w:color w:val="000000" w:themeColor="text1"/>
                      <w:sz w:val="21"/>
                      <w:szCs w:val="21"/>
                      <w:highlight w:val="none"/>
                      <w14:textFill>
                        <w14:solidFill>
                          <w14:schemeClr w14:val="tx1"/>
                        </w14:solidFill>
                      </w14:textFill>
                    </w:rPr>
                    <w:t>直到相关指标连续3年内，年均检测指标持续稳定，特征指标不呈上升趋势。项目区</w:t>
                  </w:r>
                  <w:r>
                    <w:rPr>
                      <w:rFonts w:hint="eastAsia"/>
                      <w:color w:val="000000" w:themeColor="text1"/>
                      <w:sz w:val="21"/>
                      <w:szCs w:val="21"/>
                      <w:highlight w:val="none"/>
                      <w:lang w:val="en-US" w:eastAsia="zh-CN"/>
                      <w14:textFill>
                        <w14:solidFill>
                          <w14:schemeClr w14:val="tx1"/>
                        </w14:solidFill>
                      </w14:textFill>
                    </w:rPr>
                    <w:t>及周边</w:t>
                  </w:r>
                  <w:r>
                    <w:rPr>
                      <w:rFonts w:hint="eastAsia"/>
                      <w:color w:val="000000" w:themeColor="text1"/>
                      <w:kern w:val="0"/>
                      <w:sz w:val="21"/>
                      <w:szCs w:val="21"/>
                      <w:highlight w:val="none"/>
                      <w:lang w:val="en-US" w:eastAsia="zh-CN" w:bidi="ar"/>
                      <w14:textFill>
                        <w14:solidFill>
                          <w14:schemeClr w14:val="tx1"/>
                        </w14:solidFill>
                      </w14:textFill>
                    </w:rPr>
                    <w:t>共设置</w:t>
                  </w:r>
                  <w:r>
                    <w:rPr>
                      <w:rFonts w:hint="eastAsia" w:ascii="宋体" w:hAnsi="宋体"/>
                      <w:color w:val="000000" w:themeColor="text1"/>
                      <w:kern w:val="0"/>
                      <w:sz w:val="21"/>
                      <w:szCs w:val="21"/>
                      <w:highlight w:val="none"/>
                      <w:lang w:val="en-US" w:eastAsia="zh-CN"/>
                      <w14:textFill>
                        <w14:solidFill>
                          <w14:schemeClr w14:val="tx1"/>
                        </w14:solidFill>
                      </w14:textFill>
                    </w:rPr>
                    <w:t>6</w:t>
                  </w:r>
                  <w:r>
                    <w:rPr>
                      <w:rFonts w:ascii="宋体" w:hAnsi="宋体"/>
                      <w:color w:val="000000" w:themeColor="text1"/>
                      <w:kern w:val="0"/>
                      <w:sz w:val="21"/>
                      <w:szCs w:val="21"/>
                      <w:highlight w:val="none"/>
                      <w14:textFill>
                        <w14:solidFill>
                          <w14:schemeClr w14:val="tx1"/>
                        </w14:solidFill>
                      </w14:textFill>
                    </w:rPr>
                    <w:t>口</w:t>
                  </w:r>
                  <w:r>
                    <w:rPr>
                      <w:rFonts w:hint="eastAsia" w:ascii="宋体" w:hAnsi="宋体"/>
                      <w:color w:val="000000" w:themeColor="text1"/>
                      <w:kern w:val="0"/>
                      <w:sz w:val="21"/>
                      <w:szCs w:val="21"/>
                      <w:highlight w:val="none"/>
                      <w:lang w:val="en-US" w:eastAsia="zh-CN"/>
                      <w14:textFill>
                        <w14:solidFill>
                          <w14:schemeClr w14:val="tx1"/>
                        </w14:solidFill>
                      </w14:textFill>
                    </w:rPr>
                    <w:t>地下水跟踪监控井</w:t>
                  </w:r>
                  <w:r>
                    <w:rPr>
                      <w:rFonts w:hint="eastAsia" w:ascii="宋体" w:hAnsi="宋体"/>
                      <w:color w:val="000000" w:themeColor="text1"/>
                      <w:kern w:val="0"/>
                      <w:sz w:val="21"/>
                      <w:szCs w:val="21"/>
                      <w:highlight w:val="none"/>
                      <w:lang w:eastAsia="zh-CN"/>
                      <w14:textFill>
                        <w14:solidFill>
                          <w14:schemeClr w14:val="tx1"/>
                        </w14:solidFill>
                      </w14:textFill>
                    </w:rPr>
                    <w:t>，</w:t>
                  </w:r>
                  <w:r>
                    <w:rPr>
                      <w:rFonts w:hint="eastAsia" w:ascii="宋体" w:hAnsi="宋体"/>
                      <w:color w:val="000000" w:themeColor="text1"/>
                      <w:kern w:val="0"/>
                      <w:sz w:val="21"/>
                      <w:szCs w:val="21"/>
                      <w:highlight w:val="none"/>
                      <w:lang w:val="en-US" w:eastAsia="zh-CN"/>
                      <w14:textFill>
                        <w14:solidFill>
                          <w14:schemeClr w14:val="tx1"/>
                        </w14:solidFill>
                      </w14:textFill>
                    </w:rPr>
                    <w:t>1口地下水收集井</w:t>
                  </w:r>
                  <w:r>
                    <w:rPr>
                      <w:rFonts w:hint="eastAsia"/>
                      <w:color w:val="000000" w:themeColor="text1"/>
                      <w:sz w:val="21"/>
                      <w:szCs w:val="21"/>
                      <w:highlight w:val="none"/>
                      <w14:textFill>
                        <w14:solidFill>
                          <w14:schemeClr w14:val="tx1"/>
                        </w14:solidFill>
                      </w14:textFill>
                    </w:rPr>
                    <w:t>，每年在丰水期、枯水期各监测一次，直到相关指标连续3年内，年均检测指标持续稳定，特征指标不呈上升趋势。</w:t>
                  </w:r>
                </w:p>
              </w:tc>
              <w:tc>
                <w:tcPr>
                  <w:tcW w:w="296" w:type="pct"/>
                  <w:tcBorders>
                    <w:top w:val="single" w:color="auto" w:sz="4" w:space="0"/>
                    <w:left w:val="nil"/>
                    <w:bottom w:val="single" w:color="auto" w:sz="4" w:space="0"/>
                    <w:right w:val="single" w:color="auto" w:sz="4" w:space="0"/>
                  </w:tcBorders>
                  <w:vAlign w:val="center"/>
                </w:tcPr>
                <w:p w14:paraId="4302DF0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732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pct"/>
                  <w:tcBorders>
                    <w:top w:val="single" w:color="auto" w:sz="4" w:space="0"/>
                    <w:left w:val="single" w:color="auto" w:sz="4" w:space="0"/>
                    <w:bottom w:val="single" w:color="auto" w:sz="4" w:space="0"/>
                    <w:right w:val="single" w:color="auto" w:sz="4" w:space="0"/>
                  </w:tcBorders>
                  <w:vAlign w:val="center"/>
                </w:tcPr>
                <w:p w14:paraId="4A46836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8.3不应在充填物料中掺加除充填作业所需要的添加剂之外的其他固体废物。</w:t>
                  </w:r>
                </w:p>
              </w:tc>
              <w:tc>
                <w:tcPr>
                  <w:tcW w:w="2492" w:type="pct"/>
                  <w:tcBorders>
                    <w:top w:val="single" w:color="auto" w:sz="4" w:space="0"/>
                    <w:left w:val="nil"/>
                    <w:bottom w:val="single" w:color="auto" w:sz="4" w:space="0"/>
                    <w:right w:val="single" w:color="auto" w:sz="4" w:space="0"/>
                  </w:tcBorders>
                  <w:vAlign w:val="center"/>
                </w:tcPr>
                <w:p w14:paraId="0E2C791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项目回填物为耕植土、场地清理及边坡治理产生的部分土石方、合格的改性磷石膏生态修复材料，不掺杂其他固体废物。</w:t>
                  </w:r>
                </w:p>
              </w:tc>
              <w:tc>
                <w:tcPr>
                  <w:tcW w:w="296" w:type="pct"/>
                  <w:tcBorders>
                    <w:top w:val="nil"/>
                    <w:left w:val="nil"/>
                    <w:bottom w:val="single" w:color="auto" w:sz="4" w:space="0"/>
                    <w:right w:val="single" w:color="auto" w:sz="4" w:space="0"/>
                  </w:tcBorders>
                  <w:vAlign w:val="center"/>
                </w:tcPr>
                <w:p w14:paraId="5B2F0DD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BF6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AC14A89">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8.4</w:t>
                  </w:r>
                  <w:r>
                    <w:rPr>
                      <w:rFonts w:hint="eastAsia"/>
                      <w:color w:val="000000" w:themeColor="text1"/>
                      <w:sz w:val="21"/>
                      <w:szCs w:val="21"/>
                      <w:highlight w:val="none"/>
                      <w14:textFill>
                        <w14:solidFill>
                          <w14:schemeClr w14:val="tx1"/>
                        </w14:solidFill>
                      </w14:textFill>
                    </w:rPr>
                    <w:t>一般工业固体废物回填作业结束后应立即实施土地复垦（回填地下的除外），土地复垦应符合本标准</w:t>
                  </w:r>
                  <w:r>
                    <w:rPr>
                      <w:color w:val="000000" w:themeColor="text1"/>
                      <w:sz w:val="21"/>
                      <w:szCs w:val="21"/>
                      <w:highlight w:val="none"/>
                      <w14:textFill>
                        <w14:solidFill>
                          <w14:schemeClr w14:val="tx1"/>
                        </w14:solidFill>
                      </w14:textFill>
                    </w:rPr>
                    <w:t>9.9</w:t>
                  </w:r>
                  <w:r>
                    <w:rPr>
                      <w:rFonts w:hint="eastAsia"/>
                      <w:color w:val="000000" w:themeColor="text1"/>
                      <w:sz w:val="21"/>
                      <w:szCs w:val="21"/>
                      <w:highlight w:val="none"/>
                      <w14:textFill>
                        <w14:solidFill>
                          <w14:schemeClr w14:val="tx1"/>
                        </w14:solidFill>
                      </w14:textFill>
                    </w:rPr>
                    <w:t>条的规定。</w:t>
                  </w:r>
                </w:p>
              </w:tc>
              <w:tc>
                <w:tcPr>
                  <w:tcW w:w="2492" w:type="pct"/>
                  <w:tcBorders>
                    <w:top w:val="single" w:color="auto" w:sz="4" w:space="0"/>
                    <w:left w:val="nil"/>
                    <w:bottom w:val="single" w:color="auto" w:sz="4" w:space="0"/>
                    <w:right w:val="single" w:color="auto" w:sz="4" w:space="0"/>
                  </w:tcBorders>
                  <w:vAlign w:val="center"/>
                </w:tcPr>
                <w:p w14:paraId="04552B56">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项目已制定生态修复实施方案，在回填结束后立即进行植被恢复工作。</w:t>
                  </w:r>
                </w:p>
              </w:tc>
              <w:tc>
                <w:tcPr>
                  <w:tcW w:w="296" w:type="pct"/>
                  <w:tcBorders>
                    <w:top w:val="single" w:color="auto" w:sz="4" w:space="0"/>
                    <w:left w:val="nil"/>
                    <w:bottom w:val="single" w:color="auto" w:sz="4" w:space="0"/>
                    <w:right w:val="single" w:color="auto" w:sz="4" w:space="0"/>
                  </w:tcBorders>
                  <w:vAlign w:val="center"/>
                </w:tcPr>
                <w:p w14:paraId="526C333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8DE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65A7EBF3">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w:t>
                  </w:r>
                  <w:r>
                    <w:rPr>
                      <w:rFonts w:hint="eastAsia"/>
                      <w:color w:val="000000" w:themeColor="text1"/>
                      <w:sz w:val="21"/>
                      <w:szCs w:val="21"/>
                      <w:highlight w:val="none"/>
                      <w14:textFill>
                        <w14:solidFill>
                          <w14:schemeClr w14:val="tx1"/>
                        </w14:solidFill>
                      </w14:textFill>
                    </w:rPr>
                    <w:t>食品制造业、纺织服装和服饰业、造纸和纸制品业、农副食品加工业等为日常生活提供服务的活动中产生的与生活垃圾性质相近的一般工业固体废物以及其他有机物含量超过</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的一般工业固体废物（煤矸石除外）不得进行充填、回填作业。</w:t>
                  </w:r>
                </w:p>
              </w:tc>
              <w:tc>
                <w:tcPr>
                  <w:tcW w:w="2492" w:type="pct"/>
                  <w:tcBorders>
                    <w:top w:val="single" w:color="auto" w:sz="4" w:space="0"/>
                    <w:left w:val="nil"/>
                    <w:bottom w:val="single" w:color="auto" w:sz="4" w:space="0"/>
                    <w:right w:val="single" w:color="auto" w:sz="4" w:space="0"/>
                  </w:tcBorders>
                  <w:vAlign w:val="center"/>
                </w:tcPr>
                <w:p w14:paraId="7613B18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物主要为耕植土、场地清理及边坡治理产生的部分土石方、合格的改性磷石膏生态修复材料，不回填食品制造业、纺织服装和服饰业、造纸和纸制品业、农副食品加工业等为日常生活提供服务的活动中产生的与生活垃圾性质相近的一般工业固体废物以及其他有机物含量超过</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的一般工业固体废物。</w:t>
                  </w:r>
                </w:p>
              </w:tc>
              <w:tc>
                <w:tcPr>
                  <w:tcW w:w="296" w:type="pct"/>
                  <w:tcBorders>
                    <w:top w:val="single" w:color="auto" w:sz="4" w:space="0"/>
                    <w:left w:val="nil"/>
                    <w:bottom w:val="single" w:color="auto" w:sz="4" w:space="0"/>
                    <w:right w:val="single" w:color="auto" w:sz="4" w:space="0"/>
                  </w:tcBorders>
                  <w:vAlign w:val="center"/>
                </w:tcPr>
                <w:p w14:paraId="6C8D6EB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4EE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EFAC1E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9封场及土地复垦要求</w:t>
                  </w:r>
                </w:p>
              </w:tc>
            </w:tr>
            <w:tr w14:paraId="1DAF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5749381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9.1当贮存场、填埋场服务期满或不再承担新的贮存、填埋任务时，应在</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年内启动封场作业，并采取相应的污染防治措施，防止造成环境污染和生态破坏。封场计划可分期实施。尾矿库的封场时间和封场过程还应执行闭库的相关行政法规和管理规定。</w:t>
                  </w:r>
                </w:p>
              </w:tc>
              <w:tc>
                <w:tcPr>
                  <w:tcW w:w="2492" w:type="pct"/>
                  <w:tcBorders>
                    <w:top w:val="single" w:color="auto" w:sz="4" w:space="0"/>
                    <w:left w:val="nil"/>
                    <w:bottom w:val="single" w:color="auto" w:sz="4" w:space="0"/>
                    <w:right w:val="single" w:color="auto" w:sz="4" w:space="0"/>
                  </w:tcBorders>
                  <w:vAlign w:val="center"/>
                </w:tcPr>
                <w:p w14:paraId="2EFA72C6">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本项目为废弃矿坑生态修复项目，不属于尾矿库项目，采用改性磷石膏作为矿坑回填材料。矿坑回填至设计标高后，随即进行覆土绿化。</w:t>
                  </w:r>
                </w:p>
              </w:tc>
              <w:tc>
                <w:tcPr>
                  <w:tcW w:w="296" w:type="pct"/>
                  <w:tcBorders>
                    <w:top w:val="single" w:color="auto" w:sz="4" w:space="0"/>
                    <w:left w:val="nil"/>
                    <w:bottom w:val="single" w:color="auto" w:sz="4" w:space="0"/>
                    <w:right w:val="single" w:color="auto" w:sz="4" w:space="0"/>
                  </w:tcBorders>
                  <w:vAlign w:val="center"/>
                </w:tcPr>
                <w:p w14:paraId="5911DF4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410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7B663F9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9.2贮存场、填埋场封场时应控制封场坡度，防止雨水侵蚀。</w:t>
                  </w:r>
                </w:p>
              </w:tc>
              <w:tc>
                <w:tcPr>
                  <w:tcW w:w="2492" w:type="pct"/>
                  <w:tcBorders>
                    <w:top w:val="single" w:color="auto" w:sz="4" w:space="0"/>
                    <w:left w:val="nil"/>
                    <w:bottom w:val="single" w:color="auto" w:sz="4" w:space="0"/>
                    <w:right w:val="single" w:color="auto" w:sz="4" w:space="0"/>
                  </w:tcBorders>
                  <w:vAlign w:val="center"/>
                </w:tcPr>
                <w:p w14:paraId="1CA2E5D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本项目为废弃矿坑生态修复项目，采用改性磷石膏作为矿坑回填材料。项目设计对修复区周边设置截洪沟，并对修复区顶部进行平整，控制坡度，防止雨水侵蚀。</w:t>
                  </w:r>
                </w:p>
              </w:tc>
              <w:tc>
                <w:tcPr>
                  <w:tcW w:w="296" w:type="pct"/>
                  <w:tcBorders>
                    <w:top w:val="single" w:color="auto" w:sz="4" w:space="0"/>
                    <w:left w:val="nil"/>
                    <w:bottom w:val="single" w:color="auto" w:sz="4" w:space="0"/>
                    <w:right w:val="single" w:color="auto" w:sz="4" w:space="0"/>
                  </w:tcBorders>
                  <w:vAlign w:val="center"/>
                </w:tcPr>
                <w:p w14:paraId="30583C5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F90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38E7608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9.4Ⅱ类场的封场结构应包括阻隔层、雨水导排层、覆盖土层。覆盖土层的厚度视拟种植及其对阻隔层可能产生的损害确定。</w:t>
                  </w:r>
                </w:p>
              </w:tc>
              <w:tc>
                <w:tcPr>
                  <w:tcW w:w="2492" w:type="pct"/>
                  <w:tcBorders>
                    <w:top w:val="single" w:color="auto" w:sz="4" w:space="0"/>
                    <w:left w:val="nil"/>
                    <w:bottom w:val="single" w:color="auto" w:sz="4" w:space="0"/>
                    <w:right w:val="single" w:color="auto" w:sz="4" w:space="0"/>
                  </w:tcBorders>
                  <w:vAlign w:val="center"/>
                </w:tcPr>
                <w:p w14:paraId="1F6E087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本项目矿坑回填区进行覆土绿化设计，矿坑回填至设计标高后，先敷设防渗膜进行阻隔，再铺设导排盲沟，覆盖土层根据拟种植植物，设计厚度50—100cm。</w:t>
                  </w:r>
                </w:p>
              </w:tc>
              <w:tc>
                <w:tcPr>
                  <w:tcW w:w="296" w:type="pct"/>
                  <w:tcBorders>
                    <w:top w:val="single" w:color="auto" w:sz="4" w:space="0"/>
                    <w:left w:val="nil"/>
                    <w:bottom w:val="single" w:color="auto" w:sz="4" w:space="0"/>
                    <w:right w:val="single" w:color="auto" w:sz="4" w:space="0"/>
                  </w:tcBorders>
                  <w:vAlign w:val="center"/>
                </w:tcPr>
                <w:p w14:paraId="5B484BC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397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6B6E244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9.5封场后，仍需对覆盖层进行维护管理，防止覆盖层不均匀沉降、开裂。</w:t>
                  </w:r>
                </w:p>
              </w:tc>
              <w:tc>
                <w:tcPr>
                  <w:tcW w:w="2492" w:type="pct"/>
                  <w:tcBorders>
                    <w:top w:val="single" w:color="auto" w:sz="4" w:space="0"/>
                    <w:left w:val="nil"/>
                    <w:bottom w:val="single" w:color="auto" w:sz="4" w:space="0"/>
                    <w:right w:val="single" w:color="auto" w:sz="4" w:space="0"/>
                  </w:tcBorders>
                  <w:vAlign w:val="center"/>
                </w:tcPr>
                <w:p w14:paraId="7B72E81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本项目为废弃矿坑生态修复项目，后期设置管理人员对修复区进行覆土绿化后防渗膜、覆土层和绿化植被的管理工作。</w:t>
                  </w:r>
                </w:p>
              </w:tc>
              <w:tc>
                <w:tcPr>
                  <w:tcW w:w="296" w:type="pct"/>
                  <w:tcBorders>
                    <w:top w:val="single" w:color="auto" w:sz="4" w:space="0"/>
                    <w:left w:val="nil"/>
                    <w:bottom w:val="single" w:color="auto" w:sz="4" w:space="0"/>
                    <w:right w:val="single" w:color="auto" w:sz="4" w:space="0"/>
                  </w:tcBorders>
                  <w:vAlign w:val="center"/>
                </w:tcPr>
                <w:p w14:paraId="023EF05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283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2E017786">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9.6封场后的贮存场、填埋场应设置标志物，注明封场时间以及使用该土地时应注意的事项。</w:t>
                  </w:r>
                </w:p>
              </w:tc>
              <w:tc>
                <w:tcPr>
                  <w:tcW w:w="2492" w:type="pct"/>
                  <w:tcBorders>
                    <w:top w:val="single" w:color="auto" w:sz="4" w:space="0"/>
                    <w:left w:val="nil"/>
                    <w:bottom w:val="single" w:color="auto" w:sz="4" w:space="0"/>
                    <w:right w:val="single" w:color="auto" w:sz="4" w:space="0"/>
                  </w:tcBorders>
                  <w:vAlign w:val="center"/>
                </w:tcPr>
                <w:p w14:paraId="09530AE0">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建设单位按照标准要求在修复区设置标识牌，注明封场时间以及使用该土地时应注意的事项。</w:t>
                  </w:r>
                </w:p>
              </w:tc>
              <w:tc>
                <w:tcPr>
                  <w:tcW w:w="296" w:type="pct"/>
                  <w:tcBorders>
                    <w:top w:val="single" w:color="auto" w:sz="4" w:space="0"/>
                    <w:left w:val="nil"/>
                    <w:bottom w:val="single" w:color="auto" w:sz="4" w:space="0"/>
                    <w:right w:val="single" w:color="auto" w:sz="4" w:space="0"/>
                  </w:tcBorders>
                  <w:vAlign w:val="center"/>
                </w:tcPr>
                <w:p w14:paraId="51D4F9E2">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EE6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2CEFD04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9.7封场后渗滤液处理系统、废水排放监测系统应继续正常运行，直到连续2年内没有渗滤液产生或产生的渗滤液未经处理即可稳定达标排放。</w:t>
                  </w:r>
                </w:p>
              </w:tc>
              <w:tc>
                <w:tcPr>
                  <w:tcW w:w="2492" w:type="pct"/>
                  <w:tcBorders>
                    <w:top w:val="single" w:color="auto" w:sz="4" w:space="0"/>
                    <w:left w:val="nil"/>
                    <w:bottom w:val="single" w:color="auto" w:sz="4" w:space="0"/>
                    <w:right w:val="single" w:color="auto" w:sz="4" w:space="0"/>
                  </w:tcBorders>
                  <w:vAlign w:val="center"/>
                </w:tcPr>
                <w:p w14:paraId="0715A170">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本项目渗滤液经收集沉淀后，晴天回用于场地洒水降尘，雨天在收集井内贮存，不外排，按照要求定期对渗滤液进行检测。</w:t>
                  </w:r>
                </w:p>
              </w:tc>
              <w:tc>
                <w:tcPr>
                  <w:tcW w:w="296" w:type="pct"/>
                  <w:tcBorders>
                    <w:top w:val="single" w:color="auto" w:sz="4" w:space="0"/>
                    <w:left w:val="nil"/>
                    <w:bottom w:val="single" w:color="auto" w:sz="4" w:space="0"/>
                    <w:right w:val="single" w:color="auto" w:sz="4" w:space="0"/>
                  </w:tcBorders>
                  <w:vAlign w:val="center"/>
                </w:tcPr>
                <w:p w14:paraId="63DF0C4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42E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6E53AAF8">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9.8</w:t>
                  </w:r>
                  <w:r>
                    <w:rPr>
                      <w:rFonts w:hint="eastAsia"/>
                      <w:color w:val="000000" w:themeColor="text1"/>
                      <w:sz w:val="21"/>
                      <w:szCs w:val="21"/>
                      <w:highlight w:val="none"/>
                      <w14:textFill>
                        <w14:solidFill>
                          <w14:schemeClr w14:val="tx1"/>
                        </w14:solidFill>
                      </w14:textFill>
                    </w:rPr>
                    <w:t>封场后如需对一般工业固体废物进行开采再利用，应进行环境影响评价。</w:t>
                  </w:r>
                </w:p>
              </w:tc>
              <w:tc>
                <w:tcPr>
                  <w:tcW w:w="2492" w:type="pct"/>
                  <w:tcBorders>
                    <w:top w:val="single" w:color="auto" w:sz="4" w:space="0"/>
                    <w:left w:val="nil"/>
                    <w:bottom w:val="single" w:color="auto" w:sz="4" w:space="0"/>
                    <w:right w:val="single" w:color="auto" w:sz="4" w:space="0"/>
                  </w:tcBorders>
                  <w:vAlign w:val="center"/>
                </w:tcPr>
                <w:p w14:paraId="1AD2CD2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本项目为废弃矿坑生态修复项目，修复工作结束后，不再对矿坑回填材料进行开采再利用。</w:t>
                  </w:r>
                </w:p>
              </w:tc>
              <w:tc>
                <w:tcPr>
                  <w:tcW w:w="296" w:type="pct"/>
                  <w:tcBorders>
                    <w:top w:val="single" w:color="auto" w:sz="4" w:space="0"/>
                    <w:left w:val="nil"/>
                    <w:bottom w:val="single" w:color="auto" w:sz="4" w:space="0"/>
                    <w:right w:val="single" w:color="auto" w:sz="4" w:space="0"/>
                  </w:tcBorders>
                  <w:vAlign w:val="center"/>
                </w:tcPr>
                <w:p w14:paraId="2414272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493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09CF4EA1">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9.9</w:t>
                  </w:r>
                  <w:r>
                    <w:rPr>
                      <w:rFonts w:hint="eastAsia"/>
                      <w:color w:val="000000" w:themeColor="text1"/>
                      <w:sz w:val="21"/>
                      <w:szCs w:val="21"/>
                      <w:highlight w:val="none"/>
                      <w14:textFill>
                        <w14:solidFill>
                          <w14:schemeClr w14:val="tx1"/>
                        </w14:solidFill>
                      </w14:textFill>
                    </w:rPr>
                    <w:t>贮存场、填埋场封场完成后，可依据当地地形条件、水资源及表土资源等自然环境条件和社会发展需求并按照相关规定进行土地复垦。土地复垦实施过程应满足</w:t>
                  </w:r>
                  <w:r>
                    <w:rPr>
                      <w:color w:val="000000" w:themeColor="text1"/>
                      <w:sz w:val="21"/>
                      <w:szCs w:val="21"/>
                      <w:highlight w:val="none"/>
                      <w14:textFill>
                        <w14:solidFill>
                          <w14:schemeClr w14:val="tx1"/>
                        </w14:solidFill>
                      </w14:textFill>
                    </w:rPr>
                    <w:t>TD/T1036</w:t>
                  </w:r>
                  <w:r>
                    <w:rPr>
                      <w:rFonts w:hint="eastAsia"/>
                      <w:color w:val="000000" w:themeColor="text1"/>
                      <w:sz w:val="21"/>
                      <w:szCs w:val="21"/>
                      <w:highlight w:val="none"/>
                      <w14:textFill>
                        <w14:solidFill>
                          <w14:schemeClr w14:val="tx1"/>
                        </w14:solidFill>
                      </w14:textFill>
                    </w:rPr>
                    <w:t>规定的相关土地复垦质量控制要求。土地复垦后用作建设用地的，还应满足</w:t>
                  </w:r>
                  <w:r>
                    <w:rPr>
                      <w:color w:val="000000" w:themeColor="text1"/>
                      <w:sz w:val="21"/>
                      <w:szCs w:val="21"/>
                      <w:highlight w:val="none"/>
                      <w14:textFill>
                        <w14:solidFill>
                          <w14:schemeClr w14:val="tx1"/>
                        </w14:solidFill>
                      </w14:textFill>
                    </w:rPr>
                    <w:t>GB36600</w:t>
                  </w:r>
                  <w:r>
                    <w:rPr>
                      <w:rFonts w:hint="eastAsia"/>
                      <w:color w:val="000000" w:themeColor="text1"/>
                      <w:sz w:val="21"/>
                      <w:szCs w:val="21"/>
                      <w:highlight w:val="none"/>
                      <w14:textFill>
                        <w14:solidFill>
                          <w14:schemeClr w14:val="tx1"/>
                        </w14:solidFill>
                      </w14:textFill>
                    </w:rPr>
                    <w:t>的要求；用作农用地的，还应满足</w:t>
                  </w:r>
                  <w:r>
                    <w:rPr>
                      <w:color w:val="000000" w:themeColor="text1"/>
                      <w:sz w:val="21"/>
                      <w:szCs w:val="21"/>
                      <w:highlight w:val="none"/>
                      <w14:textFill>
                        <w14:solidFill>
                          <w14:schemeClr w14:val="tx1"/>
                        </w14:solidFill>
                      </w14:textFill>
                    </w:rPr>
                    <w:t>GB15618</w:t>
                  </w:r>
                  <w:r>
                    <w:rPr>
                      <w:rFonts w:hint="eastAsia"/>
                      <w:color w:val="000000" w:themeColor="text1"/>
                      <w:sz w:val="21"/>
                      <w:szCs w:val="21"/>
                      <w:highlight w:val="none"/>
                      <w14:textFill>
                        <w14:solidFill>
                          <w14:schemeClr w14:val="tx1"/>
                        </w14:solidFill>
                      </w14:textFill>
                    </w:rPr>
                    <w:t>的要求。</w:t>
                  </w:r>
                </w:p>
              </w:tc>
              <w:tc>
                <w:tcPr>
                  <w:tcW w:w="2492" w:type="pct"/>
                  <w:tcBorders>
                    <w:top w:val="single" w:color="auto" w:sz="4" w:space="0"/>
                    <w:left w:val="nil"/>
                    <w:bottom w:val="single" w:color="auto" w:sz="4" w:space="0"/>
                    <w:right w:val="single" w:color="auto" w:sz="4" w:space="0"/>
                  </w:tcBorders>
                  <w:vAlign w:val="center"/>
                </w:tcPr>
                <w:p w14:paraId="71082371">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修复完成后，按照《土地复垦质量控制标准》（TD/T1036）规定开展土地复垦，项目恢复后用地性质为林草地和旱地，对每一批次入场覆土材料进行检测，质量需满足《土壤环境质量农用地土壤污染风险管控标准（试行）》（</w:t>
                  </w:r>
                  <w:r>
                    <w:rPr>
                      <w:color w:val="000000" w:themeColor="text1"/>
                      <w:sz w:val="21"/>
                      <w:szCs w:val="21"/>
                      <w:highlight w:val="none"/>
                      <w14:textFill>
                        <w14:solidFill>
                          <w14:schemeClr w14:val="tx1"/>
                        </w14:solidFill>
                      </w14:textFill>
                    </w:rPr>
                    <w:t>GB15618-2018</w:t>
                  </w:r>
                  <w:r>
                    <w:rPr>
                      <w:rFonts w:hint="eastAsia"/>
                      <w:color w:val="000000" w:themeColor="text1"/>
                      <w:sz w:val="21"/>
                      <w:szCs w:val="21"/>
                      <w:highlight w:val="none"/>
                      <w14:textFill>
                        <w14:solidFill>
                          <w14:schemeClr w14:val="tx1"/>
                        </w14:solidFill>
                      </w14:textFill>
                    </w:rPr>
                    <w:t>）相关标准限值要求。</w:t>
                  </w:r>
                </w:p>
              </w:tc>
              <w:tc>
                <w:tcPr>
                  <w:tcW w:w="296" w:type="pct"/>
                  <w:tcBorders>
                    <w:top w:val="single" w:color="auto" w:sz="4" w:space="0"/>
                    <w:left w:val="nil"/>
                    <w:bottom w:val="single" w:color="auto" w:sz="4" w:space="0"/>
                    <w:right w:val="single" w:color="auto" w:sz="4" w:space="0"/>
                  </w:tcBorders>
                  <w:vAlign w:val="center"/>
                </w:tcPr>
                <w:p w14:paraId="6044A5A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0DE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77C7A3A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10污染物监测要求</w:t>
                  </w:r>
                </w:p>
              </w:tc>
            </w:tr>
            <w:tr w14:paraId="1E43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2629C618">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10.2.2</w:t>
                  </w:r>
                  <w:r>
                    <w:rPr>
                      <w:rFonts w:hint="eastAsia"/>
                      <w:color w:val="000000" w:themeColor="text1"/>
                      <w:sz w:val="21"/>
                      <w:szCs w:val="21"/>
                      <w:highlight w:val="none"/>
                      <w14:textFill>
                        <w14:solidFill>
                          <w14:schemeClr w14:val="tx1"/>
                        </w14:solidFill>
                      </w14:textFill>
                    </w:rPr>
                    <w:t>渗滤液及其处理后排放废水污染物的监测频次，应根据废物特性、覆盖层和降水等条件加以确定，至少每月1次。废水污染物的监测分析方法按照</w:t>
                  </w:r>
                  <w:r>
                    <w:rPr>
                      <w:color w:val="000000" w:themeColor="text1"/>
                      <w:sz w:val="21"/>
                      <w:szCs w:val="21"/>
                      <w:highlight w:val="none"/>
                      <w14:textFill>
                        <w14:solidFill>
                          <w14:schemeClr w14:val="tx1"/>
                        </w14:solidFill>
                      </w14:textFill>
                    </w:rPr>
                    <w:t>GB8978</w:t>
                  </w:r>
                  <w:r>
                    <w:rPr>
                      <w:rFonts w:hint="eastAsia"/>
                      <w:color w:val="000000" w:themeColor="text1"/>
                      <w:sz w:val="21"/>
                      <w:szCs w:val="21"/>
                      <w:highlight w:val="none"/>
                      <w14:textFill>
                        <w14:solidFill>
                          <w14:schemeClr w14:val="tx1"/>
                        </w14:solidFill>
                      </w14:textFill>
                    </w:rPr>
                    <w:t>的规定执行。</w:t>
                  </w:r>
                </w:p>
              </w:tc>
              <w:tc>
                <w:tcPr>
                  <w:tcW w:w="2492" w:type="pct"/>
                  <w:tcBorders>
                    <w:top w:val="single" w:color="auto" w:sz="4" w:space="0"/>
                    <w:left w:val="nil"/>
                    <w:bottom w:val="single" w:color="auto" w:sz="4" w:space="0"/>
                    <w:right w:val="single" w:color="auto" w:sz="4" w:space="0"/>
                  </w:tcBorders>
                  <w:vAlign w:val="center"/>
                </w:tcPr>
                <w:p w14:paraId="2BA13B2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项目已制定监测计划，对渗滤液水质进行检测，建设单位应严格按照监测计划进行监测。</w:t>
                  </w:r>
                </w:p>
              </w:tc>
              <w:tc>
                <w:tcPr>
                  <w:tcW w:w="296" w:type="pct"/>
                  <w:tcBorders>
                    <w:top w:val="single" w:color="auto" w:sz="4" w:space="0"/>
                    <w:left w:val="nil"/>
                    <w:bottom w:val="single" w:color="auto" w:sz="4" w:space="0"/>
                    <w:right w:val="single" w:color="auto" w:sz="4" w:space="0"/>
                  </w:tcBorders>
                  <w:vAlign w:val="center"/>
                </w:tcPr>
                <w:p w14:paraId="6367C02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EA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FE0813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10.3.2地下水监测井的布置：</w:t>
                  </w:r>
                </w:p>
                <w:p w14:paraId="02C9DF5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a）在地下水流场上游应布置1个监测井，在下游至少应布置1个监测井，在可能出现污染扩散区域至少应布置1个监测井。设置有地下水导排系统的，应在地下水主管出口处至少布置1个监测井，用以监测地下水导排系统排水的水质；</w:t>
                  </w:r>
                </w:p>
                <w:p w14:paraId="1588F315">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rFonts w:hint="eastAsia"/>
                      <w:color w:val="000000" w:themeColor="text1"/>
                      <w:sz w:val="21"/>
                      <w:szCs w:val="21"/>
                      <w:highlight w:val="none"/>
                      <w14:textFill>
                        <w14:solidFill>
                          <w14:schemeClr w14:val="tx1"/>
                        </w14:solidFill>
                      </w14:textFill>
                    </w:rPr>
                    <w:t>）当地下水含水层埋藏较深或地下水监测井较难布设的基岩山区，经环境影响评价确认地下水不会受到污染时，可减少地下水监测井的数量；</w:t>
                  </w:r>
                </w:p>
                <w:p w14:paraId="41E21924">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w:t>
                  </w:r>
                  <w:r>
                    <w:rPr>
                      <w:rFonts w:hint="eastAsia"/>
                      <w:color w:val="000000" w:themeColor="text1"/>
                      <w:sz w:val="21"/>
                      <w:szCs w:val="21"/>
                      <w:highlight w:val="none"/>
                      <w14:textFill>
                        <w14:solidFill>
                          <w14:schemeClr w14:val="tx1"/>
                        </w14:solidFill>
                      </w14:textFill>
                    </w:rPr>
                    <w:t>）封场后，地下水监测系统应继续正常运行，监测频次至少每半年1次，直到地下水水质连续2年不超出地下水本底水平。</w:t>
                  </w:r>
                </w:p>
              </w:tc>
              <w:tc>
                <w:tcPr>
                  <w:tcW w:w="2492" w:type="pct"/>
                  <w:tcBorders>
                    <w:top w:val="single" w:color="auto" w:sz="4" w:space="0"/>
                    <w:left w:val="nil"/>
                    <w:bottom w:val="single" w:color="auto" w:sz="4" w:space="0"/>
                    <w:right w:val="single" w:color="auto" w:sz="4" w:space="0"/>
                  </w:tcBorders>
                  <w:vAlign w:val="center"/>
                </w:tcPr>
                <w:p w14:paraId="19EB408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本次评价共设置</w:t>
                  </w:r>
                  <w:r>
                    <w:rPr>
                      <w:rFonts w:hint="eastAsia" w:ascii="宋体" w:hAnsi="宋体"/>
                      <w:color w:val="000000" w:themeColor="text1"/>
                      <w:kern w:val="0"/>
                      <w:sz w:val="21"/>
                      <w:szCs w:val="21"/>
                      <w:highlight w:val="none"/>
                      <w:lang w:val="en-US" w:eastAsia="zh-CN"/>
                      <w14:textFill>
                        <w14:solidFill>
                          <w14:schemeClr w14:val="tx1"/>
                        </w14:solidFill>
                      </w14:textFill>
                    </w:rPr>
                    <w:t>6</w:t>
                  </w:r>
                  <w:r>
                    <w:rPr>
                      <w:rFonts w:ascii="宋体" w:hAnsi="宋体"/>
                      <w:color w:val="000000" w:themeColor="text1"/>
                      <w:kern w:val="0"/>
                      <w:sz w:val="21"/>
                      <w:szCs w:val="21"/>
                      <w:highlight w:val="none"/>
                      <w14:textFill>
                        <w14:solidFill>
                          <w14:schemeClr w14:val="tx1"/>
                        </w14:solidFill>
                      </w14:textFill>
                    </w:rPr>
                    <w:t>口地下水</w:t>
                  </w:r>
                  <w:r>
                    <w:rPr>
                      <w:rFonts w:hint="eastAsia" w:ascii="宋体" w:hAnsi="宋体"/>
                      <w:color w:val="000000" w:themeColor="text1"/>
                      <w:kern w:val="0"/>
                      <w:sz w:val="21"/>
                      <w:szCs w:val="21"/>
                      <w:highlight w:val="none"/>
                      <w:lang w:val="en-US" w:eastAsia="zh-CN"/>
                      <w14:textFill>
                        <w14:solidFill>
                          <w14:schemeClr w14:val="tx1"/>
                        </w14:solidFill>
                      </w14:textFill>
                    </w:rPr>
                    <w:t>跟踪监控井</w:t>
                  </w:r>
                  <w:r>
                    <w:rPr>
                      <w:rFonts w:hint="eastAsia" w:ascii="宋体" w:hAnsi="宋体"/>
                      <w:color w:val="000000" w:themeColor="text1"/>
                      <w:kern w:val="0"/>
                      <w:sz w:val="21"/>
                      <w:szCs w:val="21"/>
                      <w:highlight w:val="none"/>
                      <w:lang w:eastAsia="zh-CN"/>
                      <w14:textFill>
                        <w14:solidFill>
                          <w14:schemeClr w14:val="tx1"/>
                        </w14:solidFill>
                      </w14:textFill>
                    </w:rPr>
                    <w:t>，</w:t>
                  </w:r>
                  <w:r>
                    <w:rPr>
                      <w:rFonts w:hint="eastAsia" w:ascii="宋体" w:hAnsi="宋体"/>
                      <w:color w:val="000000" w:themeColor="text1"/>
                      <w:kern w:val="0"/>
                      <w:sz w:val="21"/>
                      <w:szCs w:val="21"/>
                      <w:highlight w:val="none"/>
                      <w:lang w:val="en-US" w:eastAsia="zh-CN"/>
                      <w14:textFill>
                        <w14:solidFill>
                          <w14:schemeClr w14:val="tx1"/>
                        </w14:solidFill>
                      </w14:textFill>
                    </w:rPr>
                    <w:t>1口地下水收集井</w:t>
                  </w:r>
                  <w:r>
                    <w:rPr>
                      <w:rFonts w:hint="eastAsia"/>
                      <w:color w:val="000000" w:themeColor="text1"/>
                      <w:kern w:val="0"/>
                      <w:sz w:val="21"/>
                      <w:szCs w:val="21"/>
                      <w:highlight w:val="none"/>
                      <w:lang w:bidi="ar"/>
                      <w14:textFill>
                        <w14:solidFill>
                          <w14:schemeClr w14:val="tx1"/>
                        </w14:solidFill>
                      </w14:textFill>
                    </w:rPr>
                    <w:t>。</w:t>
                  </w:r>
                  <w:r>
                    <w:rPr>
                      <w:rFonts w:hint="eastAsia"/>
                      <w:color w:val="000000" w:themeColor="text1"/>
                      <w:sz w:val="21"/>
                      <w:szCs w:val="21"/>
                      <w:highlight w:val="none"/>
                      <w14:textFill>
                        <w14:solidFill>
                          <w14:schemeClr w14:val="tx1"/>
                        </w14:solidFill>
                      </w14:textFill>
                    </w:rPr>
                    <w:t>项目已制定监测计划，对渗滤液水质进行检测，建设单位应严格按照监测计划进行监测。</w:t>
                  </w:r>
                </w:p>
              </w:tc>
              <w:tc>
                <w:tcPr>
                  <w:tcW w:w="296" w:type="pct"/>
                  <w:tcBorders>
                    <w:top w:val="single" w:color="auto" w:sz="4" w:space="0"/>
                    <w:left w:val="nil"/>
                    <w:bottom w:val="single" w:color="auto" w:sz="4" w:space="0"/>
                    <w:right w:val="single" w:color="auto" w:sz="4" w:space="0"/>
                  </w:tcBorders>
                  <w:vAlign w:val="center"/>
                </w:tcPr>
                <w:p w14:paraId="7116B18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86F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09D152D4">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w:t>
                  </w:r>
                  <w:r>
                    <w:rPr>
                      <w:rFonts w:hint="eastAsia"/>
                      <w:color w:val="000000" w:themeColor="text1"/>
                      <w:sz w:val="21"/>
                      <w:szCs w:val="21"/>
                      <w:highlight w:val="none"/>
                      <w14:textFill>
                        <w14:solidFill>
                          <w14:schemeClr w14:val="tx1"/>
                        </w14:solidFill>
                      </w14:textFill>
                    </w:rPr>
                    <w:t>土壤监测要求</w:t>
                  </w:r>
                </w:p>
                <w:p w14:paraId="3E6339BA">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10.6.1</w:t>
                  </w:r>
                  <w:r>
                    <w:rPr>
                      <w:rFonts w:hint="eastAsia"/>
                      <w:color w:val="000000" w:themeColor="text1"/>
                      <w:sz w:val="21"/>
                      <w:szCs w:val="21"/>
                      <w:highlight w:val="none"/>
                      <w14:textFill>
                        <w14:solidFill>
                          <w14:schemeClr w14:val="tx1"/>
                        </w14:solidFill>
                      </w14:textFill>
                    </w:rPr>
                    <w:t>贮存场、填埋场投入使用之前，企业应监测土壤本底水平。</w:t>
                  </w:r>
                </w:p>
                <w:p w14:paraId="7FAA5C93">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10.6.3</w:t>
                  </w:r>
                  <w:r>
                    <w:rPr>
                      <w:rFonts w:hint="eastAsia"/>
                      <w:color w:val="000000" w:themeColor="text1"/>
                      <w:sz w:val="21"/>
                      <w:szCs w:val="21"/>
                      <w:highlight w:val="none"/>
                      <w14:textFill>
                        <w14:solidFill>
                          <w14:schemeClr w14:val="tx1"/>
                        </w14:solidFill>
                      </w14:textFill>
                    </w:rPr>
                    <w:t>依据地形特征、主导风向和地表径流方向，在可能产生影响的土壤环境敏感目标处布设土壤监测点。</w:t>
                  </w:r>
                </w:p>
                <w:p w14:paraId="45AE6299">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10.6.5</w:t>
                  </w:r>
                  <w:r>
                    <w:rPr>
                      <w:rFonts w:hint="eastAsia"/>
                      <w:color w:val="000000" w:themeColor="text1"/>
                      <w:sz w:val="21"/>
                      <w:szCs w:val="21"/>
                      <w:highlight w:val="none"/>
                      <w14:textFill>
                        <w14:solidFill>
                          <w14:schemeClr w14:val="tx1"/>
                        </w14:solidFill>
                      </w14:textFill>
                    </w:rPr>
                    <w:t>土壤监测因子由企业根据贮存及填埋废物的特性提出，必须具有代表性且能表征固体废物特性。土壤监测因子的分析方法按照</w:t>
                  </w:r>
                  <w:r>
                    <w:rPr>
                      <w:color w:val="000000" w:themeColor="text1"/>
                      <w:sz w:val="21"/>
                      <w:szCs w:val="21"/>
                      <w:highlight w:val="none"/>
                      <w14:textFill>
                        <w14:solidFill>
                          <w14:schemeClr w14:val="tx1"/>
                        </w14:solidFill>
                      </w14:textFill>
                    </w:rPr>
                    <w:t>GB36600</w:t>
                  </w:r>
                  <w:r>
                    <w:rPr>
                      <w:rFonts w:hint="eastAsia"/>
                      <w:color w:val="000000" w:themeColor="text1"/>
                      <w:sz w:val="21"/>
                      <w:szCs w:val="21"/>
                      <w:highlight w:val="none"/>
                      <w14:textFill>
                        <w14:solidFill>
                          <w14:schemeClr w14:val="tx1"/>
                        </w14:solidFill>
                      </w14:textFill>
                    </w:rPr>
                    <w:t>的规定执行。</w:t>
                  </w:r>
                </w:p>
              </w:tc>
              <w:tc>
                <w:tcPr>
                  <w:tcW w:w="2492" w:type="pct"/>
                  <w:tcBorders>
                    <w:top w:val="single" w:color="auto" w:sz="4" w:space="0"/>
                    <w:left w:val="nil"/>
                    <w:bottom w:val="single" w:color="auto" w:sz="4" w:space="0"/>
                    <w:right w:val="single" w:color="auto" w:sz="4" w:space="0"/>
                  </w:tcBorders>
                  <w:vAlign w:val="center"/>
                </w:tcPr>
                <w:p w14:paraId="4E095056">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①项目已开展该区域土壤环境质量现状监测；</w:t>
                  </w:r>
                </w:p>
                <w:p w14:paraId="565BDB6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②监测计划中已明确土壤跟踪监测要求；</w:t>
                  </w:r>
                </w:p>
                <w:p w14:paraId="1CFC779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③土壤监测因子的分析方法按照</w:t>
                  </w:r>
                  <w:r>
                    <w:rPr>
                      <w:color w:val="000000" w:themeColor="text1"/>
                      <w:sz w:val="21"/>
                      <w:szCs w:val="21"/>
                      <w:highlight w:val="none"/>
                      <w14:textFill>
                        <w14:solidFill>
                          <w14:schemeClr w14:val="tx1"/>
                        </w14:solidFill>
                      </w14:textFill>
                    </w:rPr>
                    <w:t>GB36600</w:t>
                  </w:r>
                  <w:r>
                    <w:rPr>
                      <w:rFonts w:hint="eastAsia"/>
                      <w:color w:val="000000" w:themeColor="text1"/>
                      <w:sz w:val="21"/>
                      <w:szCs w:val="21"/>
                      <w:highlight w:val="none"/>
                      <w14:textFill>
                        <w14:solidFill>
                          <w14:schemeClr w14:val="tx1"/>
                        </w14:solidFill>
                      </w14:textFill>
                    </w:rPr>
                    <w:t>的规定执行。</w:t>
                  </w:r>
                </w:p>
              </w:tc>
              <w:tc>
                <w:tcPr>
                  <w:tcW w:w="296" w:type="pct"/>
                  <w:tcBorders>
                    <w:top w:val="single" w:color="auto" w:sz="4" w:space="0"/>
                    <w:left w:val="nil"/>
                    <w:bottom w:val="single" w:color="auto" w:sz="4" w:space="0"/>
                    <w:right w:val="single" w:color="auto" w:sz="4" w:space="0"/>
                  </w:tcBorders>
                  <w:vAlign w:val="center"/>
                </w:tcPr>
                <w:p w14:paraId="1C85147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27EADF53">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综上，项目建设符合《一般工业固体废物贮存和填埋污染控制标准》（GB18599-2020）。</w:t>
            </w:r>
          </w:p>
          <w:p w14:paraId="78862893">
            <w:pPr>
              <w:widowControl/>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9、项目与《关于磷石膏无害化后用于矿坑生态修复项目有关事宜的复函》符合性分析</w:t>
            </w:r>
          </w:p>
          <w:p w14:paraId="4DCF7CCC">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2022年7月5日生态环境部办公厅发布了环办环评函〔</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273</w:t>
            </w:r>
            <w:r>
              <w:rPr>
                <w:rFonts w:hint="eastAsia"/>
                <w:color w:val="000000" w:themeColor="text1"/>
                <w:kern w:val="0"/>
                <w:highlight w:val="none"/>
                <w:lang w:bidi="ar"/>
                <w14:textFill>
                  <w14:solidFill>
                    <w14:schemeClr w14:val="tx1"/>
                  </w14:solidFill>
                </w14:textFill>
              </w:rPr>
              <w:t>号《关于磷石膏无害化后用于矿坑生态修复项目有关事宜的复函》。对磷石膏回填矿坑做出相关规定：《关于“十四五”大宗固体废弃物综合利用的指导意见》《加快推动工业资源综合利用实施方案》提出，在确保安全环保前提下，探索将磷石膏应用于井下充填、地下采空区充填等。磷石膏用于矿坑回填不属于《关于做好“三磷”建设项目环境影响评价与排污许可管理工作的通知》中“不得新建、扩建磷石膏库（暂存场除外）”的情形。我部鼓励地方因地制宜制定磷石膏无害化处理方案，拓展多领域、多途径、多方式资源化利用。</w:t>
            </w:r>
          </w:p>
          <w:p w14:paraId="2BF37F71">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该项目利用改性磷石膏基生态修复材料回填矿坑与该规定相符。磷石膏回填矿坑做好相关工作：（一）做好回填可行性评估，回填前应开展自然环境、环境质量本底和环境保护目标等内容调查，收集回填区域地质结构、地形地貌、水文地质条件、气象与土地利用和生态现状等基础资料，按照《建设用地土壤污染风险评估技术导则》（</w:t>
            </w:r>
            <w:r>
              <w:rPr>
                <w:color w:val="000000" w:themeColor="text1"/>
                <w:kern w:val="0"/>
                <w:highlight w:val="none"/>
                <w:lang w:bidi="ar"/>
                <w14:textFill>
                  <w14:solidFill>
                    <w14:schemeClr w14:val="tx1"/>
                  </w14:solidFill>
                </w14:textFill>
              </w:rPr>
              <w:t>HJ25.3</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2019</w:t>
            </w:r>
            <w:r>
              <w:rPr>
                <w:rFonts w:hint="eastAsia"/>
                <w:color w:val="000000" w:themeColor="text1"/>
                <w:kern w:val="0"/>
                <w:highlight w:val="none"/>
                <w:lang w:bidi="ar"/>
                <w14:textFill>
                  <w14:solidFill>
                    <w14:schemeClr w14:val="tx1"/>
                  </w14:solidFill>
                </w14:textFill>
              </w:rPr>
              <w:t>）等相关标准进行环境风险评估，重点评估对地下水、地表水及周边土壤的环境污染风险，确保环境风险可以接受。该项目已开展了环境本底调查及风险评估工作，根据风险评估报告及审查意见，项目采取了相应的污染防治措施后，环境风险可以接受。（二）加强磷石膏质量指标控制，该项目回填的改性磷石膏基生态修复材料由寻甸县科技和工业信息化局提供，设置专人管理，要求入场前提供每批次改性磷石膏基生态修复材料的检测报告，确保达到一般工业固废Ⅰ类标准后再入场回填。严禁混入危险废物、放射性废物、生活垃圾性质相近的一般工业固体废物以及其他有机物含量超过</w:t>
            </w:r>
            <w:r>
              <w:rPr>
                <w:color w:val="000000" w:themeColor="text1"/>
                <w:kern w:val="0"/>
                <w:highlight w:val="none"/>
                <w:lang w:bidi="ar"/>
                <w14:textFill>
                  <w14:solidFill>
                    <w14:schemeClr w14:val="tx1"/>
                  </w14:solidFill>
                </w14:textFill>
              </w:rPr>
              <w:t>5%</w:t>
            </w:r>
            <w:r>
              <w:rPr>
                <w:rFonts w:hint="eastAsia"/>
                <w:color w:val="000000" w:themeColor="text1"/>
                <w:kern w:val="0"/>
                <w:highlight w:val="none"/>
                <w:lang w:bidi="ar"/>
                <w14:textFill>
                  <w14:solidFill>
                    <w14:schemeClr w14:val="tx1"/>
                  </w14:solidFill>
                </w14:textFill>
              </w:rPr>
              <w:t>的一般工业固体废物。（三）落实污染防治主体责任，为防止该项目对环境造成影响，该项目采取设置周边截洪沟、场内排水沟，渗滤液收集设施，基础处理、底部、内边坡、顶部设置防渗层，对渗滤液、地下水、土壤进行监测等措施来对环境进行保护。</w:t>
            </w:r>
          </w:p>
          <w:p w14:paraId="376CEA04">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w:t>
            </w:r>
            <w:r>
              <w:rPr>
                <w:rFonts w:hint="eastAsia"/>
                <w:color w:val="000000" w:themeColor="text1"/>
                <w:kern w:val="0"/>
                <w:highlight w:val="none"/>
                <w:lang w:eastAsia="zh-CN" w:bidi="ar"/>
                <w14:textFill>
                  <w14:solidFill>
                    <w14:schemeClr w14:val="tx1"/>
                  </w14:solidFill>
                </w14:textFill>
              </w:rPr>
              <w:t>寻甸县常青树磷石膏库综合治理项目（塘子镇钟灵村委会令友采石场生态修复工程）</w:t>
            </w:r>
            <w:r>
              <w:rPr>
                <w:rFonts w:hint="eastAsia"/>
                <w:color w:val="000000" w:themeColor="text1"/>
                <w:kern w:val="0"/>
                <w:highlight w:val="none"/>
                <w:lang w:bidi="ar"/>
                <w14:textFill>
                  <w14:solidFill>
                    <w14:schemeClr w14:val="tx1"/>
                  </w14:solidFill>
                </w14:textFill>
              </w:rPr>
              <w:t>》可知，项目实施后对区域生态环境恢复以及对提高区域改性磷石膏基生态修复材料综合利用率具有积极作用。项目选址符合环境保护法律法规及相关法定规划的要求，与该区域生态环境保护、矿山生态修复计划、水土资源保持目标相一致。项目区及周边环境质量良好，在采取相关措施后，项目渗滤液泄漏的概率很低，对引起土壤氟化物污染的风险较低。项目实施后，林草植被覆盖率的增加，能改善土壤物理、化学性状，提高土壤肥力，项目实施对该区域土壤结构改善有积极意义。对施工废水以及渗滤液进行收集，收集设施与项目区做好防渗后，对周边区域地表水、地下水影响较小。项目实施对项目区土壤、地下水、地表水环境和风险受体存在的风险可接受，项目实施可行，建设单位应该认真按照设计方案进行施工建设，并认真委托专业单位开展施工监理工作，生态修复回填作业过程中定期对回填完毕台阶和截排水沟进行巡检，根据应急预案做好各项风险防范措施，完善管理制度，项目环境风险可控。</w:t>
            </w:r>
          </w:p>
          <w:p w14:paraId="685A7EBB">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综上，该项目符合复函对磷石膏回填矿坑的相关规定，同时做好利用改性磷石膏生态修复材料回填的相关工作。</w:t>
            </w:r>
          </w:p>
          <w:p w14:paraId="72BCBF9F">
            <w:pPr>
              <w:widowControl/>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10、项目与《地下水管理条例》（2021年12月1日起施行）符合性分析</w:t>
            </w:r>
          </w:p>
          <w:p w14:paraId="4E1021FC">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项目属于废弃矿坑生态修复项目，根据《地下水管理条例》，第五章第四十条、第四十一条、第四十二条，禁止下列污染或者可能污染地下水的行为，并采取以下地下水污染防治措施：</w:t>
            </w:r>
          </w:p>
          <w:p w14:paraId="5BF497B0">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表1-7  本项目与《</w:t>
            </w:r>
            <w:r>
              <w:rPr>
                <w:rFonts w:hint="eastAsia"/>
                <w:b/>
                <w:bCs/>
                <w:color w:val="000000" w:themeColor="text1"/>
                <w:kern w:val="0"/>
                <w:sz w:val="21"/>
                <w:szCs w:val="21"/>
                <w:highlight w:val="none"/>
                <w14:textFill>
                  <w14:solidFill>
                    <w14:schemeClr w14:val="tx1"/>
                  </w14:solidFill>
                </w14:textFill>
              </w:rPr>
              <w:t>地下水管理条例》</w:t>
            </w:r>
            <w:r>
              <w:rPr>
                <w:rFonts w:hint="eastAsia"/>
                <w:b/>
                <w:bCs/>
                <w:color w:val="000000" w:themeColor="text1"/>
                <w:kern w:val="0"/>
                <w:sz w:val="21"/>
                <w:szCs w:val="21"/>
                <w:highlight w:val="none"/>
                <w:lang w:bidi="ar"/>
                <w14:textFill>
                  <w14:solidFill>
                    <w14:schemeClr w14:val="tx1"/>
                  </w14:solidFill>
                </w14:textFill>
              </w:rPr>
              <w:t>符合性分析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2"/>
              <w:gridCol w:w="3525"/>
              <w:gridCol w:w="609"/>
            </w:tblGrid>
            <w:tr w14:paraId="7465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516C1E4B">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标准要求</w:t>
                  </w:r>
                </w:p>
              </w:tc>
              <w:tc>
                <w:tcPr>
                  <w:tcW w:w="3525" w:type="dxa"/>
                  <w:tcBorders>
                    <w:top w:val="single" w:color="auto" w:sz="4" w:space="0"/>
                    <w:left w:val="nil"/>
                    <w:bottom w:val="single" w:color="auto" w:sz="4" w:space="0"/>
                    <w:right w:val="single" w:color="auto" w:sz="4" w:space="0"/>
                  </w:tcBorders>
                  <w:vAlign w:val="center"/>
                </w:tcPr>
                <w:p w14:paraId="3BD2F78A">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609" w:type="dxa"/>
                  <w:tcBorders>
                    <w:top w:val="single" w:color="auto" w:sz="4" w:space="0"/>
                    <w:left w:val="nil"/>
                    <w:bottom w:val="single" w:color="auto" w:sz="4" w:space="0"/>
                    <w:right w:val="single" w:color="auto" w:sz="4" w:space="0"/>
                  </w:tcBorders>
                  <w:vAlign w:val="center"/>
                </w:tcPr>
                <w:p w14:paraId="276F503C">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2EAA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886" w:type="dxa"/>
                  <w:gridSpan w:val="3"/>
                  <w:tcBorders>
                    <w:top w:val="single" w:color="auto" w:sz="4" w:space="0"/>
                    <w:left w:val="single" w:color="auto" w:sz="4" w:space="0"/>
                    <w:bottom w:val="single" w:color="auto" w:sz="4" w:space="0"/>
                    <w:right w:val="single" w:color="auto" w:sz="4" w:space="0"/>
                  </w:tcBorders>
                  <w:vAlign w:val="center"/>
                </w:tcPr>
                <w:p w14:paraId="04182E07">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第四十条禁止下列污染或者可能污染地下水的行为</w:t>
                  </w:r>
                </w:p>
              </w:tc>
            </w:tr>
            <w:tr w14:paraId="3C53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5EF6D309">
                  <w:pPr>
                    <w:widowControl/>
                    <w:spacing w:line="240" w:lineRule="auto"/>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（一）利用渗井、渗坑、裂隙、溶洞以及私设暗管等逃避监</w:t>
                  </w:r>
                  <w:r>
                    <w:rPr>
                      <w:rFonts w:hint="eastAsia"/>
                      <w:color w:val="000000" w:themeColor="text1"/>
                      <w:sz w:val="21"/>
                      <w:szCs w:val="21"/>
                      <w:highlight w:val="none"/>
                      <w14:textFill>
                        <w14:solidFill>
                          <w14:schemeClr w14:val="tx1"/>
                        </w14:solidFill>
                      </w14:textFill>
                    </w:rPr>
                    <w:t>管的方式排放水污染物。</w:t>
                  </w:r>
                </w:p>
              </w:tc>
              <w:tc>
                <w:tcPr>
                  <w:tcW w:w="3525" w:type="dxa"/>
                  <w:tcBorders>
                    <w:top w:val="single" w:color="auto" w:sz="4" w:space="0"/>
                    <w:left w:val="nil"/>
                    <w:bottom w:val="single" w:color="auto" w:sz="4" w:space="0"/>
                    <w:right w:val="single" w:color="auto" w:sz="4" w:space="0"/>
                  </w:tcBorders>
                  <w:vAlign w:val="center"/>
                </w:tcPr>
                <w:p w14:paraId="3E0AE7BF">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项目施工废水经收集沉淀后回用；渗滤液收集到渗滤液收集井后回用于回填区洒水降尘。</w:t>
                  </w:r>
                </w:p>
              </w:tc>
              <w:tc>
                <w:tcPr>
                  <w:tcW w:w="609" w:type="dxa"/>
                  <w:tcBorders>
                    <w:top w:val="single" w:color="auto" w:sz="4" w:space="0"/>
                    <w:left w:val="nil"/>
                    <w:bottom w:val="single" w:color="auto" w:sz="4" w:space="0"/>
                    <w:right w:val="single" w:color="auto" w:sz="4" w:space="0"/>
                  </w:tcBorders>
                  <w:vAlign w:val="center"/>
                </w:tcPr>
                <w:p w14:paraId="43695E4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D68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2" w:type="dxa"/>
                  <w:tcBorders>
                    <w:top w:val="single" w:color="auto" w:sz="4" w:space="0"/>
                    <w:left w:val="single" w:color="auto" w:sz="4" w:space="0"/>
                    <w:bottom w:val="single" w:color="auto" w:sz="4" w:space="0"/>
                    <w:right w:val="single" w:color="auto" w:sz="4" w:space="0"/>
                  </w:tcBorders>
                  <w:vAlign w:val="center"/>
                </w:tcPr>
                <w:p w14:paraId="741E630C">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（二）利用岩层孔隙、裂隙、溶洞、废弃矿坑等贮存石化原料及产品、农药、危险废物、城镇污水处理设施产生的污泥和处理后的污泥或者其他有毒有害物质。</w:t>
                  </w:r>
                </w:p>
              </w:tc>
              <w:tc>
                <w:tcPr>
                  <w:tcW w:w="3525" w:type="dxa"/>
                  <w:tcBorders>
                    <w:top w:val="single" w:color="auto" w:sz="4" w:space="0"/>
                    <w:left w:val="nil"/>
                    <w:bottom w:val="single" w:color="auto" w:sz="4" w:space="0"/>
                    <w:right w:val="single" w:color="auto" w:sz="4" w:space="0"/>
                  </w:tcBorders>
                  <w:vAlign w:val="center"/>
                </w:tcPr>
                <w:p w14:paraId="4CCAC0B7">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项目采用合格的改性磷石膏作为生态修复材料，根据属性鉴别报告，本项目</w:t>
                  </w:r>
                  <w:r>
                    <w:rPr>
                      <w:rFonts w:hint="eastAsia"/>
                      <w:color w:val="000000" w:themeColor="text1"/>
                      <w:kern w:val="0"/>
                      <w:sz w:val="21"/>
                      <w:szCs w:val="21"/>
                      <w:highlight w:val="none"/>
                      <w:lang w:bidi="ar"/>
                      <w14:textFill>
                        <w14:solidFill>
                          <w14:schemeClr w14:val="tx1"/>
                        </w14:solidFill>
                      </w14:textFill>
                    </w:rPr>
                    <w:t>不属于危险废物或者其他有毒有害物质。</w:t>
                  </w:r>
                </w:p>
              </w:tc>
              <w:tc>
                <w:tcPr>
                  <w:tcW w:w="609" w:type="dxa"/>
                  <w:tcBorders>
                    <w:top w:val="nil"/>
                    <w:left w:val="nil"/>
                    <w:bottom w:val="single" w:color="auto" w:sz="4" w:space="0"/>
                    <w:right w:val="single" w:color="auto" w:sz="4" w:space="0"/>
                  </w:tcBorders>
                  <w:vAlign w:val="center"/>
                </w:tcPr>
                <w:p w14:paraId="195001F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7A6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1F8E0F9A">
                  <w:pPr>
                    <w:widowControl/>
                    <w:numPr>
                      <w:ilvl w:val="0"/>
                      <w:numId w:val="5"/>
                    </w:numPr>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利用无防渗漏措施的沟渠、坑塘等输送或者贮存含有毒污染物的废水、含病原体的污水和其他废弃物。</w:t>
                  </w:r>
                </w:p>
              </w:tc>
              <w:tc>
                <w:tcPr>
                  <w:tcW w:w="3525" w:type="dxa"/>
                  <w:tcBorders>
                    <w:top w:val="single" w:color="auto" w:sz="4" w:space="0"/>
                    <w:left w:val="nil"/>
                    <w:bottom w:val="single" w:color="auto" w:sz="4" w:space="0"/>
                    <w:right w:val="single" w:color="auto" w:sz="4" w:space="0"/>
                  </w:tcBorders>
                  <w:vAlign w:val="center"/>
                </w:tcPr>
                <w:p w14:paraId="27F93F71">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项目不涉及贮存含有毒污染物的废水、含病原体的污水和其他废弃物。</w:t>
                  </w:r>
                </w:p>
              </w:tc>
              <w:tc>
                <w:tcPr>
                  <w:tcW w:w="609" w:type="dxa"/>
                  <w:tcBorders>
                    <w:top w:val="single" w:color="auto" w:sz="4" w:space="0"/>
                    <w:left w:val="nil"/>
                    <w:bottom w:val="single" w:color="auto" w:sz="4" w:space="0"/>
                    <w:right w:val="single" w:color="auto" w:sz="4" w:space="0"/>
                  </w:tcBorders>
                  <w:vAlign w:val="center"/>
                </w:tcPr>
                <w:p w14:paraId="2003AA3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32B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67ACBD4B">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（四）法律法规禁止的其他污染或者可能污染地下水的行为。</w:t>
                  </w:r>
                </w:p>
              </w:tc>
              <w:tc>
                <w:tcPr>
                  <w:tcW w:w="3525" w:type="dxa"/>
                  <w:tcBorders>
                    <w:top w:val="single" w:color="auto" w:sz="4" w:space="0"/>
                    <w:left w:val="nil"/>
                    <w:bottom w:val="single" w:color="auto" w:sz="4" w:space="0"/>
                    <w:right w:val="single" w:color="auto" w:sz="4" w:space="0"/>
                  </w:tcBorders>
                  <w:vAlign w:val="center"/>
                </w:tcPr>
                <w:p w14:paraId="68E6D297">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项目不涉及法律法规禁止的其他污染或者可能污染地下水的行为。</w:t>
                  </w:r>
                </w:p>
              </w:tc>
              <w:tc>
                <w:tcPr>
                  <w:tcW w:w="609" w:type="dxa"/>
                  <w:tcBorders>
                    <w:top w:val="single" w:color="auto" w:sz="4" w:space="0"/>
                    <w:left w:val="nil"/>
                    <w:bottom w:val="single" w:color="auto" w:sz="4" w:space="0"/>
                    <w:right w:val="single" w:color="auto" w:sz="4" w:space="0"/>
                  </w:tcBorders>
                  <w:vAlign w:val="center"/>
                </w:tcPr>
                <w:p w14:paraId="7A29DDB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EEF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6" w:type="dxa"/>
                  <w:gridSpan w:val="3"/>
                  <w:tcBorders>
                    <w:top w:val="single" w:color="auto" w:sz="4" w:space="0"/>
                    <w:left w:val="single" w:color="auto" w:sz="4" w:space="0"/>
                    <w:bottom w:val="single" w:color="auto" w:sz="4" w:space="0"/>
                    <w:right w:val="single" w:color="auto" w:sz="4" w:space="0"/>
                  </w:tcBorders>
                  <w:vAlign w:val="center"/>
                </w:tcPr>
                <w:p w14:paraId="31838E1D">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第四十一条企业事业单位和其他生产经营者应当采取下列措施，防止地下水污染</w:t>
                  </w:r>
                </w:p>
              </w:tc>
            </w:tr>
            <w:tr w14:paraId="0C83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6FAA7F43">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（一）兴建地下工程设施或者进行地下勘探、采矿等活动，依法编制的环境影响评价文件中，应当包括地下水污染防治的内容，并采取防护性措施。</w:t>
                  </w:r>
                </w:p>
              </w:tc>
              <w:tc>
                <w:tcPr>
                  <w:tcW w:w="3525" w:type="dxa"/>
                  <w:tcBorders>
                    <w:top w:val="single" w:color="auto" w:sz="4" w:space="0"/>
                    <w:left w:val="nil"/>
                    <w:bottom w:val="single" w:color="auto" w:sz="4" w:space="0"/>
                    <w:right w:val="single" w:color="auto" w:sz="4" w:space="0"/>
                  </w:tcBorders>
                  <w:vAlign w:val="center"/>
                </w:tcPr>
                <w:p w14:paraId="7AE1108B">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项目为废弃矿坑生态修复项目，不属于兴建地下工程设施、地下勘探、采矿等活动，本次即为环境影响评价工作，且在报告后文已提出相应的地下水污染防治措施。</w:t>
                  </w:r>
                </w:p>
              </w:tc>
              <w:tc>
                <w:tcPr>
                  <w:tcW w:w="609" w:type="dxa"/>
                  <w:tcBorders>
                    <w:top w:val="single" w:color="auto" w:sz="4" w:space="0"/>
                    <w:left w:val="nil"/>
                    <w:bottom w:val="single" w:color="auto" w:sz="4" w:space="0"/>
                    <w:right w:val="single" w:color="auto" w:sz="4" w:space="0"/>
                  </w:tcBorders>
                  <w:vAlign w:val="center"/>
                </w:tcPr>
                <w:p w14:paraId="2744913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44A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395E58B7">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（二）化学品生产企业以及工业集聚区、矿山开采区、尾矿库、危险废物处置场、垃圾填埋场等的运营、管理单位，应当采取防渗漏等措施，并建设地下水水质监测井进行监测。</w:t>
                  </w:r>
                </w:p>
              </w:tc>
              <w:tc>
                <w:tcPr>
                  <w:tcW w:w="3525" w:type="dxa"/>
                  <w:tcBorders>
                    <w:top w:val="single" w:color="auto" w:sz="4" w:space="0"/>
                    <w:left w:val="nil"/>
                    <w:bottom w:val="single" w:color="auto" w:sz="4" w:space="0"/>
                    <w:right w:val="single" w:color="auto" w:sz="4" w:space="0"/>
                  </w:tcBorders>
                  <w:vAlign w:val="center"/>
                </w:tcPr>
                <w:p w14:paraId="737E4044">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项目已制定了相应的地下水污染防治措施，基础处理底部、内边坡、顶部均设置了土工布、防渗膜防渗漏措施；设置地下水监控井，对地下水水质进行跟踪监测。</w:t>
                  </w:r>
                </w:p>
              </w:tc>
              <w:tc>
                <w:tcPr>
                  <w:tcW w:w="609" w:type="dxa"/>
                  <w:tcBorders>
                    <w:top w:val="single" w:color="auto" w:sz="4" w:space="0"/>
                    <w:left w:val="nil"/>
                    <w:bottom w:val="single" w:color="auto" w:sz="4" w:space="0"/>
                    <w:right w:val="single" w:color="auto" w:sz="4" w:space="0"/>
                  </w:tcBorders>
                  <w:vAlign w:val="center"/>
                </w:tcPr>
                <w:p w14:paraId="4D745E1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E7F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43AAA879">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（三）加油站等的地下油罐应当使用双层罐或者采取建造防渗池等其他有效措施，并进行防渗漏监测。</w:t>
                  </w:r>
                </w:p>
              </w:tc>
              <w:tc>
                <w:tcPr>
                  <w:tcW w:w="3525" w:type="dxa"/>
                  <w:tcBorders>
                    <w:top w:val="single" w:color="auto" w:sz="4" w:space="0"/>
                    <w:left w:val="nil"/>
                    <w:bottom w:val="single" w:color="auto" w:sz="4" w:space="0"/>
                    <w:right w:val="single" w:color="auto" w:sz="4" w:space="0"/>
                  </w:tcBorders>
                  <w:vAlign w:val="center"/>
                </w:tcPr>
                <w:p w14:paraId="050E0D3E">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项目为废弃矿坑生态修复项目，不属于加油站项目。</w:t>
                  </w:r>
                </w:p>
              </w:tc>
              <w:tc>
                <w:tcPr>
                  <w:tcW w:w="609" w:type="dxa"/>
                  <w:tcBorders>
                    <w:top w:val="single" w:color="auto" w:sz="4" w:space="0"/>
                    <w:left w:val="nil"/>
                    <w:bottom w:val="single" w:color="auto" w:sz="4" w:space="0"/>
                    <w:right w:val="single" w:color="auto" w:sz="4" w:space="0"/>
                  </w:tcBorders>
                  <w:vAlign w:val="center"/>
                </w:tcPr>
                <w:p w14:paraId="071EAA7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A79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331E2822">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（四）存放可溶性剧毒废渣的场所，应当采取防水、防渗漏、防流失的措施。</w:t>
                  </w:r>
                </w:p>
              </w:tc>
              <w:tc>
                <w:tcPr>
                  <w:tcW w:w="3525" w:type="dxa"/>
                  <w:tcBorders>
                    <w:top w:val="single" w:color="auto" w:sz="4" w:space="0"/>
                    <w:left w:val="nil"/>
                    <w:bottom w:val="single" w:color="auto" w:sz="4" w:space="0"/>
                    <w:right w:val="single" w:color="auto" w:sz="4" w:space="0"/>
                  </w:tcBorders>
                  <w:vAlign w:val="center"/>
                </w:tcPr>
                <w:p w14:paraId="26F67CBD">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项目属于废弃矿坑生态修复项目，利用改性磷石膏生态修复材料回填废弃矿坑，改性磷石膏生态修复材料经属性鉴别不属于危险废物，不属于可溶性剧毒废渣，且项目已制定了相应的地下水污染防治措施。</w:t>
                  </w:r>
                </w:p>
              </w:tc>
              <w:tc>
                <w:tcPr>
                  <w:tcW w:w="609" w:type="dxa"/>
                  <w:tcBorders>
                    <w:top w:val="single" w:color="auto" w:sz="4" w:space="0"/>
                    <w:left w:val="nil"/>
                    <w:bottom w:val="single" w:color="auto" w:sz="4" w:space="0"/>
                    <w:right w:val="single" w:color="auto" w:sz="4" w:space="0"/>
                  </w:tcBorders>
                  <w:vAlign w:val="center"/>
                </w:tcPr>
                <w:p w14:paraId="591C371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D63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1AF98D74">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（五）法律、法规规定应当采取的其他防止地下水污染的措施。</w:t>
                  </w:r>
                </w:p>
              </w:tc>
              <w:tc>
                <w:tcPr>
                  <w:tcW w:w="3525" w:type="dxa"/>
                  <w:tcBorders>
                    <w:top w:val="single" w:color="auto" w:sz="4" w:space="0"/>
                    <w:left w:val="nil"/>
                    <w:bottom w:val="single" w:color="auto" w:sz="4" w:space="0"/>
                    <w:right w:val="single" w:color="auto" w:sz="4" w:space="0"/>
                  </w:tcBorders>
                  <w:vAlign w:val="center"/>
                </w:tcPr>
                <w:p w14:paraId="72B4623F">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项目已制定了相应的地下水污染防治措施。</w:t>
                  </w:r>
                </w:p>
              </w:tc>
              <w:tc>
                <w:tcPr>
                  <w:tcW w:w="609" w:type="dxa"/>
                  <w:tcBorders>
                    <w:top w:val="single" w:color="auto" w:sz="4" w:space="0"/>
                    <w:left w:val="nil"/>
                    <w:bottom w:val="single" w:color="auto" w:sz="4" w:space="0"/>
                    <w:right w:val="single" w:color="auto" w:sz="4" w:space="0"/>
                  </w:tcBorders>
                  <w:vAlign w:val="center"/>
                </w:tcPr>
                <w:p w14:paraId="0D29F331">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6A1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057249D1">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第四十二条在泉域保护范围以及岩溶强发育、存在较多落水洞和岩溶漏斗的区域内，不得新建、改建、扩建可能造成地下水污染的建设项目。</w:t>
                  </w:r>
                </w:p>
              </w:tc>
              <w:tc>
                <w:tcPr>
                  <w:tcW w:w="3525" w:type="dxa"/>
                  <w:tcBorders>
                    <w:top w:val="single" w:color="auto" w:sz="4" w:space="0"/>
                    <w:left w:val="nil"/>
                    <w:bottom w:val="single" w:color="auto" w:sz="4" w:space="0"/>
                    <w:right w:val="single" w:color="auto" w:sz="4" w:space="0"/>
                  </w:tcBorders>
                  <w:vAlign w:val="center"/>
                </w:tcPr>
                <w:p w14:paraId="0C867A5F">
                  <w:pPr>
                    <w:widowControl/>
                    <w:spacing w:line="240" w:lineRule="auto"/>
                    <w:ind w:firstLine="0" w:firstLineChars="0"/>
                    <w:rPr>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寻甸县常青树磷石膏库综合治理项目</w:t>
                  </w:r>
                  <w:r>
                    <w:rPr>
                      <w:rFonts w:hint="eastAsia" w:cs="Times New Roman"/>
                      <w:color w:val="000000" w:themeColor="text1"/>
                      <w:sz w:val="21"/>
                      <w:szCs w:val="21"/>
                      <w:highlight w:val="none"/>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生态修复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水文地质勘察报告》</w:t>
                  </w:r>
                  <w:r>
                    <w:rPr>
                      <w:rFonts w:hint="eastAsia"/>
                      <w:color w:val="000000" w:themeColor="text1"/>
                      <w:kern w:val="0"/>
                      <w:sz w:val="21"/>
                      <w:szCs w:val="21"/>
                      <w:highlight w:val="none"/>
                      <w:lang w:bidi="ar"/>
                      <w14:textFill>
                        <w14:solidFill>
                          <w14:schemeClr w14:val="tx1"/>
                        </w14:solidFill>
                      </w14:textFill>
                    </w:rPr>
                    <w:t>，项目区岩溶中等发育，不存在较多落水洞和岩溶漏斗的区域与其他需要特别保护的区域内。</w:t>
                  </w:r>
                  <w:r>
                    <w:rPr>
                      <w:rFonts w:hint="eastAsia"/>
                      <w:color w:val="000000" w:themeColor="text1"/>
                      <w:sz w:val="21"/>
                      <w:szCs w:val="21"/>
                      <w:highlight w:val="none"/>
                      <w:lang w:bidi="ar"/>
                      <w14:textFill>
                        <w14:solidFill>
                          <w14:schemeClr w14:val="tx1"/>
                        </w14:solidFill>
                      </w14:textFill>
                    </w:rPr>
                    <w:t>项目制定了相应的地下水污染防治措施，设置</w:t>
                  </w:r>
                  <w:r>
                    <w:rPr>
                      <w:rFonts w:hint="eastAsia" w:ascii="宋体" w:hAnsi="宋体"/>
                      <w:color w:val="000000" w:themeColor="text1"/>
                      <w:kern w:val="0"/>
                      <w:sz w:val="21"/>
                      <w:szCs w:val="21"/>
                      <w:highlight w:val="none"/>
                      <w:lang w:val="en-US" w:eastAsia="zh-CN"/>
                      <w14:textFill>
                        <w14:solidFill>
                          <w14:schemeClr w14:val="tx1"/>
                        </w14:solidFill>
                      </w14:textFill>
                    </w:rPr>
                    <w:t>6</w:t>
                  </w:r>
                  <w:r>
                    <w:rPr>
                      <w:rFonts w:ascii="宋体" w:hAnsi="宋体"/>
                      <w:color w:val="000000" w:themeColor="text1"/>
                      <w:kern w:val="0"/>
                      <w:sz w:val="21"/>
                      <w:szCs w:val="21"/>
                      <w:highlight w:val="none"/>
                      <w14:textFill>
                        <w14:solidFill>
                          <w14:schemeClr w14:val="tx1"/>
                        </w14:solidFill>
                      </w14:textFill>
                    </w:rPr>
                    <w:t>口地下水</w:t>
                  </w:r>
                  <w:r>
                    <w:rPr>
                      <w:rFonts w:hint="eastAsia" w:ascii="宋体" w:hAnsi="宋体"/>
                      <w:color w:val="000000" w:themeColor="text1"/>
                      <w:kern w:val="0"/>
                      <w:sz w:val="21"/>
                      <w:szCs w:val="21"/>
                      <w:highlight w:val="none"/>
                      <w:lang w:val="en-US" w:eastAsia="zh-CN"/>
                      <w14:textFill>
                        <w14:solidFill>
                          <w14:schemeClr w14:val="tx1"/>
                        </w14:solidFill>
                      </w14:textFill>
                    </w:rPr>
                    <w:t>跟踪监控井</w:t>
                  </w:r>
                  <w:r>
                    <w:rPr>
                      <w:rFonts w:hint="eastAsia" w:ascii="宋体" w:hAnsi="宋体"/>
                      <w:color w:val="000000" w:themeColor="text1"/>
                      <w:kern w:val="0"/>
                      <w:sz w:val="21"/>
                      <w:szCs w:val="21"/>
                      <w:highlight w:val="none"/>
                      <w:lang w:eastAsia="zh-CN"/>
                      <w14:textFill>
                        <w14:solidFill>
                          <w14:schemeClr w14:val="tx1"/>
                        </w14:solidFill>
                      </w14:textFill>
                    </w:rPr>
                    <w:t>，</w:t>
                  </w:r>
                  <w:r>
                    <w:rPr>
                      <w:rFonts w:hint="eastAsia" w:ascii="宋体" w:hAnsi="宋体"/>
                      <w:color w:val="000000" w:themeColor="text1"/>
                      <w:kern w:val="0"/>
                      <w:sz w:val="21"/>
                      <w:szCs w:val="21"/>
                      <w:highlight w:val="none"/>
                      <w:lang w:val="en-US" w:eastAsia="zh-CN"/>
                      <w14:textFill>
                        <w14:solidFill>
                          <w14:schemeClr w14:val="tx1"/>
                        </w14:solidFill>
                      </w14:textFill>
                    </w:rPr>
                    <w:t>1口地下水收集井</w:t>
                  </w:r>
                  <w:r>
                    <w:rPr>
                      <w:rFonts w:hint="eastAsia"/>
                      <w:color w:val="000000" w:themeColor="text1"/>
                      <w:kern w:val="0"/>
                      <w:sz w:val="21"/>
                      <w:szCs w:val="21"/>
                      <w:highlight w:val="none"/>
                      <w:lang w:bidi="ar"/>
                      <w14:textFill>
                        <w14:solidFill>
                          <w14:schemeClr w14:val="tx1"/>
                        </w14:solidFill>
                      </w14:textFill>
                    </w:rPr>
                    <w:t>。</w:t>
                  </w:r>
                  <w:r>
                    <w:rPr>
                      <w:rFonts w:hint="eastAsia"/>
                      <w:color w:val="000000" w:themeColor="text1"/>
                      <w:sz w:val="21"/>
                      <w:szCs w:val="21"/>
                      <w:highlight w:val="none"/>
                      <w:lang w:bidi="ar"/>
                      <w14:textFill>
                        <w14:solidFill>
                          <w14:schemeClr w14:val="tx1"/>
                        </w14:solidFill>
                      </w14:textFill>
                    </w:rPr>
                    <w:t>，定期对地下水进行监测，通过采取措施后，对地下水影响很小。</w:t>
                  </w:r>
                </w:p>
              </w:tc>
              <w:tc>
                <w:tcPr>
                  <w:tcW w:w="609" w:type="dxa"/>
                  <w:tcBorders>
                    <w:top w:val="single" w:color="auto" w:sz="4" w:space="0"/>
                    <w:left w:val="nil"/>
                    <w:bottom w:val="single" w:color="auto" w:sz="4" w:space="0"/>
                    <w:right w:val="single" w:color="auto" w:sz="4" w:space="0"/>
                  </w:tcBorders>
                  <w:vAlign w:val="center"/>
                </w:tcPr>
                <w:p w14:paraId="1E113EC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56085C38">
            <w:pPr>
              <w:widowControl/>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综上所述，项目建设符合《地下水管理条例》要求。</w:t>
            </w:r>
          </w:p>
          <w:p w14:paraId="19C6B4D3">
            <w:pPr>
              <w:widowControl/>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11、与《关于“十四五”大宗固体废弃物综合利用的指导意见》的符合性</w:t>
            </w:r>
          </w:p>
          <w:p w14:paraId="7713CC61">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根据国家发展改革委关于“十四五”大宗固体废弃物综合利用的指导意见（发改环资〔</w:t>
            </w:r>
            <w:r>
              <w:rPr>
                <w:color w:val="000000" w:themeColor="text1"/>
                <w:kern w:val="0"/>
                <w:highlight w:val="none"/>
                <w:lang w:bidi="ar"/>
                <w14:textFill>
                  <w14:solidFill>
                    <w14:schemeClr w14:val="tx1"/>
                  </w14:solidFill>
                </w14:textFill>
              </w:rPr>
              <w:t>2021</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381</w:t>
            </w:r>
            <w:r>
              <w:rPr>
                <w:rFonts w:hint="eastAsia"/>
                <w:color w:val="000000" w:themeColor="text1"/>
                <w:kern w:val="0"/>
                <w:highlight w:val="none"/>
                <w:lang w:bidi="ar"/>
                <w14:textFill>
                  <w14:solidFill>
                    <w14:schemeClr w14:val="tx1"/>
                  </w14:solidFill>
                </w14:textFill>
              </w:rPr>
              <w:t>号），在提高大宗固废资源利用率方面要求：拓宽磷石膏利用途径，继续推广磷石膏在生产水泥和新型建筑材料等领域的利用，在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p w14:paraId="4D949B40">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根据生态环境部办公厅《关于磷石膏无害化后用于矿坑生态修复项目有关事宜的复函》（环办环评函〔</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273</w:t>
            </w:r>
            <w:r>
              <w:rPr>
                <w:rFonts w:hint="eastAsia"/>
                <w:color w:val="000000" w:themeColor="text1"/>
                <w:kern w:val="0"/>
                <w:highlight w:val="none"/>
                <w:lang w:bidi="ar"/>
                <w14:textFill>
                  <w14:solidFill>
                    <w14:schemeClr w14:val="tx1"/>
                  </w14:solidFill>
                </w14:textFill>
              </w:rPr>
              <w:t>号）：《</w:t>
            </w:r>
            <w:r>
              <w:rPr>
                <w:color w:val="000000" w:themeColor="text1"/>
                <w:kern w:val="0"/>
                <w:highlight w:val="none"/>
                <w:lang w:bidi="ar"/>
                <w14:textFill>
                  <w14:solidFill>
                    <w14:schemeClr w14:val="tx1"/>
                  </w14:solidFill>
                </w14:textFill>
              </w:rPr>
              <w:t>关</w:t>
            </w:r>
            <w:r>
              <w:rPr>
                <w:rFonts w:hint="eastAsia"/>
                <w:color w:val="000000" w:themeColor="text1"/>
                <w:kern w:val="0"/>
                <w:highlight w:val="none"/>
                <w:lang w:bidi="ar"/>
                <w14:textFill>
                  <w14:solidFill>
                    <w14:schemeClr w14:val="tx1"/>
                  </w14:solidFill>
                </w14:textFill>
              </w:rPr>
              <w:t>于“十四五”大宗固体废弃物综合利用的指导意见》《加快推动工业资源综合利用实施方案》提出，在确保安全环保前提下，探索将磷石膏应用于井下充填、地下采空区充填等。磷石膏用于矿坑回填不属于《关于做好“三磷”建设项目环境影响评价与排污许可管理工作的通知》中“不得新建、扩建磷石膏库（暂存场除外）”的情形。我部鼓励地方因地制宜制定磷石膏无害化处理方案，拓展多领域、多途径、多方式资源化利用。</w:t>
            </w:r>
          </w:p>
          <w:p w14:paraId="5914C362">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为废弃矿坑生态修复项目，以改性无害化处理后的改性磷石膏作为矿坑回填材料，为拓展磷石膏综合利用的领域、途径和方式提供的一种有效的方案，项目建设符合《关于“十四五”大宗固体废弃物综合利用的指导意见》的要求。</w:t>
            </w:r>
          </w:p>
          <w:p w14:paraId="0C987E57">
            <w:pPr>
              <w:widowControl/>
              <w:ind w:firstLine="482"/>
              <w:jc w:val="left"/>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12、与《关于做好“三磷”建设项目环境影响评价与排污许可管理工作的通知》的符合性</w:t>
            </w:r>
          </w:p>
          <w:p w14:paraId="51338D1F">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为贯彻落实国务院《“十三五”生态环境保护规划》（国发〔</w:t>
            </w:r>
            <w:r>
              <w:rPr>
                <w:color w:val="000000" w:themeColor="text1"/>
                <w:kern w:val="0"/>
                <w:highlight w:val="none"/>
                <w:lang w:bidi="ar"/>
                <w14:textFill>
                  <w14:solidFill>
                    <w14:schemeClr w14:val="tx1"/>
                  </w14:solidFill>
                </w14:textFill>
              </w:rPr>
              <w:t>2016</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65</w:t>
            </w:r>
            <w:r>
              <w:rPr>
                <w:rFonts w:hint="eastAsia"/>
                <w:color w:val="000000" w:themeColor="text1"/>
                <w:kern w:val="0"/>
                <w:highlight w:val="none"/>
                <w:lang w:bidi="ar"/>
                <w14:textFill>
                  <w14:solidFill>
                    <w14:schemeClr w14:val="tx1"/>
                  </w14:solidFill>
                </w14:textFill>
              </w:rPr>
              <w:t>号）和《长江保护修复攻坚战行动计划》（环水体〔</w:t>
            </w:r>
            <w:r>
              <w:rPr>
                <w:color w:val="000000" w:themeColor="text1"/>
                <w:kern w:val="0"/>
                <w:highlight w:val="none"/>
                <w:lang w:bidi="ar"/>
                <w14:textFill>
                  <w14:solidFill>
                    <w14:schemeClr w14:val="tx1"/>
                  </w14:solidFill>
                </w14:textFill>
              </w:rPr>
              <w:t>2018</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181</w:t>
            </w:r>
            <w:r>
              <w:rPr>
                <w:rFonts w:hint="eastAsia"/>
                <w:color w:val="000000" w:themeColor="text1"/>
                <w:kern w:val="0"/>
                <w:highlight w:val="none"/>
                <w:lang w:bidi="ar"/>
                <w14:textFill>
                  <w14:solidFill>
                    <w14:schemeClr w14:val="tx1"/>
                  </w14:solidFill>
                </w14:textFill>
              </w:rPr>
              <w:t>号）相关要求，充分发挥环境影响评价制度的源头预防作用，强化排污许可监管效能，切实做好磷矿、磷化工（包括磷肥、含磷农药、黄磷制造等）和磷石膏库（以下简称“三磷”）建设项目环境影响评价与排污许可管理工作，</w:t>
            </w:r>
            <w:r>
              <w:rPr>
                <w:color w:val="000000" w:themeColor="text1"/>
                <w:kern w:val="0"/>
                <w:highlight w:val="none"/>
                <w:lang w:bidi="ar"/>
                <w14:textFill>
                  <w14:solidFill>
                    <w14:schemeClr w14:val="tx1"/>
                  </w14:solidFill>
                </w14:textFill>
              </w:rPr>
              <w:t>2019</w:t>
            </w:r>
            <w:r>
              <w:rPr>
                <w:rFonts w:hint="eastAsia"/>
                <w:color w:val="000000" w:themeColor="text1"/>
                <w:kern w:val="0"/>
                <w:highlight w:val="none"/>
                <w:lang w:bidi="ar"/>
                <w14:textFill>
                  <w14:solidFill>
                    <w14:schemeClr w14:val="tx1"/>
                  </w14:solidFill>
                </w14:textFill>
              </w:rPr>
              <w:t>年</w:t>
            </w:r>
            <w:r>
              <w:rPr>
                <w:color w:val="000000" w:themeColor="text1"/>
                <w:kern w:val="0"/>
                <w:highlight w:val="none"/>
                <w:lang w:bidi="ar"/>
                <w14:textFill>
                  <w14:solidFill>
                    <w14:schemeClr w14:val="tx1"/>
                  </w14:solidFill>
                </w14:textFill>
              </w:rPr>
              <w:t>12</w:t>
            </w:r>
            <w:r>
              <w:rPr>
                <w:rFonts w:hint="eastAsia"/>
                <w:color w:val="000000" w:themeColor="text1"/>
                <w:kern w:val="0"/>
                <w:highlight w:val="none"/>
                <w:lang w:bidi="ar"/>
                <w14:textFill>
                  <w14:solidFill>
                    <w14:schemeClr w14:val="tx1"/>
                  </w14:solidFill>
                </w14:textFill>
              </w:rPr>
              <w:t>月</w:t>
            </w:r>
            <w:r>
              <w:rPr>
                <w:color w:val="000000" w:themeColor="text1"/>
                <w:kern w:val="0"/>
                <w:highlight w:val="none"/>
                <w:lang w:bidi="ar"/>
                <w14:textFill>
                  <w14:solidFill>
                    <w14:schemeClr w14:val="tx1"/>
                  </w14:solidFill>
                </w14:textFill>
              </w:rPr>
              <w:t>31</w:t>
            </w:r>
            <w:r>
              <w:rPr>
                <w:rFonts w:hint="eastAsia"/>
                <w:color w:val="000000" w:themeColor="text1"/>
                <w:kern w:val="0"/>
                <w:highlight w:val="none"/>
                <w:lang w:bidi="ar"/>
                <w14:textFill>
                  <w14:solidFill>
                    <w14:schemeClr w14:val="tx1"/>
                  </w14:solidFill>
                </w14:textFill>
              </w:rPr>
              <w:t>日，生态环境部以环办环评〔</w:t>
            </w:r>
            <w:r>
              <w:rPr>
                <w:color w:val="000000" w:themeColor="text1"/>
                <w:kern w:val="0"/>
                <w:highlight w:val="none"/>
                <w:lang w:bidi="ar"/>
                <w14:textFill>
                  <w14:solidFill>
                    <w14:schemeClr w14:val="tx1"/>
                  </w14:solidFill>
                </w14:textFill>
              </w:rPr>
              <w:t>2019</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65</w:t>
            </w:r>
            <w:r>
              <w:rPr>
                <w:rFonts w:hint="eastAsia"/>
                <w:color w:val="000000" w:themeColor="text1"/>
                <w:kern w:val="0"/>
                <w:highlight w:val="none"/>
                <w:lang w:bidi="ar"/>
                <w14:textFill>
                  <w14:solidFill>
                    <w14:schemeClr w14:val="tx1"/>
                  </w14:solidFill>
                </w14:textFill>
              </w:rPr>
              <w:t>号文件印发了《关于做好“三磷”建设项目环境影响评价与排污许可管理工作的通知》。本项目以改性磷石膏作为矿坑生态修复回填材料，根据改性后的磷石膏属性鉴别报告，本项目改性磷石膏回填材料属性为第Ⅰ类一般工业固体废物，项目属于采石场矿区修复治理，不属于“三磷”项目。</w:t>
            </w:r>
          </w:p>
          <w:p w14:paraId="41B9BCF9">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关于做好“三磷”建设项目环境影响评价与排污许可管理工作的通知》要求：磷肥建设项目应实行“以用定产”，以磷石膏综合利用量决定湿法磷酸产量。同步落实磷石膏综合利用途径，综合利用不畅的可利用现有磷石膏库堆存，不得新建、扩建磷石膏库（暂存场除外）。</w:t>
            </w:r>
          </w:p>
          <w:p w14:paraId="0D9366B7">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本项目为矿坑生态修复的示范工程，对扩宽磷石膏综合利用途径具有积极的作用。符合《关于做好“三磷”建设项目环境影响评价与排污许可管理工作的通知》要求。</w:t>
            </w:r>
          </w:p>
          <w:p w14:paraId="6AD82E2E">
            <w:pPr>
              <w:widowControl/>
              <w:ind w:firstLine="482"/>
              <w:jc w:val="left"/>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13、与《昆明市加快推动磷石膏综合利用二十条措施》的符合性</w:t>
            </w:r>
          </w:p>
          <w:p w14:paraId="0270814B">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为加快推动磷石膏综合利用，促进全市磷化工产业高质量发展，</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w:t>
            </w:r>
            <w:r>
              <w:rPr>
                <w:color w:val="000000" w:themeColor="text1"/>
                <w:kern w:val="0"/>
                <w:highlight w:val="none"/>
                <w:lang w:bidi="ar"/>
                <w14:textFill>
                  <w14:solidFill>
                    <w14:schemeClr w14:val="tx1"/>
                  </w14:solidFill>
                </w14:textFill>
              </w:rPr>
              <w:t>12</w:t>
            </w:r>
            <w:r>
              <w:rPr>
                <w:rFonts w:hint="eastAsia"/>
                <w:color w:val="000000" w:themeColor="text1"/>
                <w:kern w:val="0"/>
                <w:highlight w:val="none"/>
                <w:lang w:bidi="ar"/>
                <w14:textFill>
                  <w14:solidFill>
                    <w14:schemeClr w14:val="tx1"/>
                  </w14:solidFill>
                </w14:textFill>
              </w:rPr>
              <w:t>月</w:t>
            </w:r>
            <w:r>
              <w:rPr>
                <w:color w:val="000000" w:themeColor="text1"/>
                <w:kern w:val="0"/>
                <w:highlight w:val="none"/>
                <w:lang w:bidi="ar"/>
                <w14:textFill>
                  <w14:solidFill>
                    <w14:schemeClr w14:val="tx1"/>
                  </w14:solidFill>
                </w14:textFill>
              </w:rPr>
              <w:t>27</w:t>
            </w:r>
            <w:r>
              <w:rPr>
                <w:rFonts w:hint="eastAsia"/>
                <w:color w:val="000000" w:themeColor="text1"/>
                <w:kern w:val="0"/>
                <w:highlight w:val="none"/>
                <w:lang w:bidi="ar"/>
                <w14:textFill>
                  <w14:solidFill>
                    <w14:schemeClr w14:val="tx1"/>
                  </w14:solidFill>
                </w14:textFill>
              </w:rPr>
              <w:t>日，昆明市人民政府印发了《昆明市人民政府办公室关于印发昆明市加快推动磷石膏综合利用二十条措施的通知》，在拓宽磷石膏综合利用途径方面明确提出：鼓励生态修复利用。在确保环境安全的前提下，支持企业对磷石膏进行无害化处理，鼓励企业优先采用生态修复等方式对磷石膏加以利用，对无法利用的，指导企业按照国家环境保护标准进行分类贮存或处置。在具备条件的县（市）区，组织开展矿坑生态修复项目利用无害化磷石膏的工程试点，严格落实生态保护、环境污染防治及安全生产等方面的规定和措施，加强全过程的服务指导、监督管理，及时总结有关经验做法并组织推广。</w:t>
            </w:r>
          </w:p>
          <w:p w14:paraId="311CC0FC">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使用无害化处理后的改性磷石膏作为生态修复矿坑回填材料，属于《昆明市加快推动磷石膏综合利用二十条措施》鼓励生态修复利用的情形。项目实施过程中应严格落实《实施方案》、环评报告及批复提出的各项生态保护、环境污染防治措施及安全生产等方面的规定和措施，并按照昆明市地方标准《改性磷石膏综合利用矿山生态修复过程环境监管规范》（</w:t>
            </w:r>
            <w:r>
              <w:rPr>
                <w:color w:val="000000" w:themeColor="text1"/>
                <w:kern w:val="0"/>
                <w:highlight w:val="none"/>
                <w:lang w:bidi="ar"/>
                <w14:textFill>
                  <w14:solidFill>
                    <w14:schemeClr w14:val="tx1"/>
                  </w14:solidFill>
                </w14:textFill>
              </w:rPr>
              <w:t>DB5301/T99</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2023</w:t>
            </w:r>
            <w:r>
              <w:rPr>
                <w:rFonts w:hint="eastAsia"/>
                <w:color w:val="000000" w:themeColor="text1"/>
                <w:kern w:val="0"/>
                <w:highlight w:val="none"/>
                <w:lang w:bidi="ar"/>
                <w14:textFill>
                  <w14:solidFill>
                    <w14:schemeClr w14:val="tx1"/>
                  </w14:solidFill>
                </w14:textFill>
              </w:rPr>
              <w:t>）、《改性磷石膏综合利用矿山生态修复跟踪评估规范》（</w:t>
            </w:r>
            <w:r>
              <w:rPr>
                <w:color w:val="000000" w:themeColor="text1"/>
                <w:kern w:val="0"/>
                <w:highlight w:val="none"/>
                <w:lang w:bidi="ar"/>
                <w14:textFill>
                  <w14:solidFill>
                    <w14:schemeClr w14:val="tx1"/>
                  </w14:solidFill>
                </w14:textFill>
              </w:rPr>
              <w:t>DB5301/T100</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2023</w:t>
            </w:r>
            <w:r>
              <w:rPr>
                <w:rFonts w:hint="eastAsia"/>
                <w:color w:val="000000" w:themeColor="text1"/>
                <w:kern w:val="0"/>
                <w:highlight w:val="none"/>
                <w:lang w:bidi="ar"/>
                <w14:textFill>
                  <w14:solidFill>
                    <w14:schemeClr w14:val="tx1"/>
                  </w14:solidFill>
                </w14:textFill>
              </w:rPr>
              <w:t>）的要求，做好全过程环境监管和跟踪评估工作。</w:t>
            </w:r>
          </w:p>
          <w:p w14:paraId="372459DE">
            <w:pPr>
              <w:widowControl/>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14、与《昆明市全面加强磷石膏综合利用三年攻坚行动方案》（2023—2025年）符合性分析</w:t>
            </w:r>
          </w:p>
          <w:p w14:paraId="08986DB9">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根据昆明市人民政府印发的《昆明市全面加强磷石膏综合利用三年攻坚行动方案》（2023—2025年）主要任务</w:t>
            </w:r>
            <w:r>
              <w:rPr>
                <w:rFonts w:hint="eastAsia"/>
                <w:color w:val="000000" w:themeColor="text1"/>
                <w:kern w:val="0"/>
                <w:highlight w:val="none"/>
                <w:lang w:eastAsia="zh-CN" w:bidi="ar"/>
                <w14:textFill>
                  <w14:solidFill>
                    <w14:schemeClr w14:val="tx1"/>
                  </w14:solidFill>
                </w14:textFill>
              </w:rPr>
              <w:t>是</w:t>
            </w:r>
            <w:r>
              <w:rPr>
                <w:rFonts w:hint="eastAsia"/>
                <w:color w:val="000000" w:themeColor="text1"/>
                <w:kern w:val="0"/>
                <w:highlight w:val="none"/>
                <w:lang w:bidi="ar"/>
                <w14:textFill>
                  <w14:solidFill>
                    <w14:schemeClr w14:val="tx1"/>
                  </w14:solidFill>
                </w14:textFill>
              </w:rPr>
              <w:t>“夯实技术创新能力。组织有关科研机构、高校及龙头企业成立昆明市磷石膏污染防治和综合利用科创中心，系统开展磷石膏减量化、无害化、资源化关键技术攻关。强化先进技术推广应用，前端重点推广磷矿石高效选矿技术、湿法磷酸先进工艺改造技术；中端重点研发高效无害化处理技术；末端重点研发磷石膏制造水泥原料、建筑材料、道路材料、生态复垦材料等磷石膏规模化利用技术，同时开发一系列磷石膏资源化、高质化利用新技术，努力构建磷石膏综合利用技术创新—实验示范—产业应用的闭环体系”。</w:t>
            </w:r>
          </w:p>
          <w:p w14:paraId="5AB5FE0A">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本项目使用改性磷石膏对</w:t>
            </w:r>
            <w:r>
              <w:rPr>
                <w:rFonts w:hint="eastAsia"/>
                <w:color w:val="000000" w:themeColor="text1"/>
                <w:kern w:val="0"/>
                <w:highlight w:val="none"/>
                <w:lang w:eastAsia="zh-CN" w:bidi="ar"/>
                <w14:textFill>
                  <w14:solidFill>
                    <w14:schemeClr w14:val="tx1"/>
                  </w14:solidFill>
                </w14:textFill>
              </w:rPr>
              <w:t>塘子镇钟灵村委会令友采石场废弃矿坑</w:t>
            </w:r>
            <w:r>
              <w:rPr>
                <w:rFonts w:hint="eastAsia"/>
                <w:color w:val="000000" w:themeColor="text1"/>
                <w:kern w:val="0"/>
                <w:highlight w:val="none"/>
                <w:lang w:bidi="ar"/>
                <w14:textFill>
                  <w14:solidFill>
                    <w14:schemeClr w14:val="tx1"/>
                  </w14:solidFill>
                </w14:textFill>
              </w:rPr>
              <w:t>进行回填修复，属于磷石膏综合利用技术创新。项目建设符合《昆明市全面加强磷石膏综合利用三年攻坚行动方案》（2023—2025年）相关要求。</w:t>
            </w:r>
          </w:p>
          <w:p w14:paraId="12DFA971">
            <w:pPr>
              <w:pStyle w:val="37"/>
              <w:spacing w:before="0" w:beforeAutospacing="0" w:after="0" w:afterAutospacing="0"/>
              <w:ind w:firstLine="482"/>
              <w:jc w:val="both"/>
              <w:rPr>
                <w:rFonts w:ascii="Times New Roman" w:hAnsi="Times New Roman"/>
                <w:b/>
                <w:bCs/>
                <w:color w:val="000000" w:themeColor="text1"/>
                <w:highlight w:val="none"/>
                <w14:textFill>
                  <w14:solidFill>
                    <w14:schemeClr w14:val="tx1"/>
                  </w14:solidFill>
                </w14:textFill>
              </w:rPr>
            </w:pPr>
            <w:r>
              <w:rPr>
                <w:rFonts w:hint="eastAsia" w:ascii="Times New Roman" w:hAnsi="Times New Roman"/>
                <w:b/>
                <w:bCs/>
                <w:color w:val="000000" w:themeColor="text1"/>
                <w:highlight w:val="none"/>
                <w14:textFill>
                  <w14:solidFill>
                    <w14:schemeClr w14:val="tx1"/>
                  </w14:solidFill>
                </w14:textFill>
              </w:rPr>
              <w:t>15、与《</w:t>
            </w:r>
            <w:r>
              <w:rPr>
                <w:rFonts w:hint="eastAsia" w:ascii="Times New Roman" w:hAnsi="Times New Roman"/>
                <w:b/>
                <w:bCs/>
                <w:color w:val="000000" w:themeColor="text1"/>
                <w:highlight w:val="none"/>
                <w:shd w:val="clear" w:color="auto" w:fill="FFFFFF"/>
                <w14:textFill>
                  <w14:solidFill>
                    <w14:schemeClr w14:val="tx1"/>
                  </w14:solidFill>
                </w14:textFill>
              </w:rPr>
              <w:t>长江流域（云南段）总磷污染控制方案</w:t>
            </w:r>
            <w:r>
              <w:rPr>
                <w:rFonts w:hint="eastAsia" w:ascii="Times New Roman" w:hAnsi="Times New Roman"/>
                <w:b/>
                <w:bCs/>
                <w:color w:val="000000" w:themeColor="text1"/>
                <w:highlight w:val="none"/>
                <w14:textFill>
                  <w14:solidFill>
                    <w14:schemeClr w14:val="tx1"/>
                  </w14:solidFill>
                </w14:textFill>
              </w:rPr>
              <w:t>》符合性分析</w:t>
            </w:r>
          </w:p>
          <w:p w14:paraId="2974056E">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表1-8  项目</w:t>
            </w:r>
            <w:r>
              <w:rPr>
                <w:rFonts w:hint="eastAsia"/>
                <w:b/>
                <w:bCs/>
                <w:color w:val="000000" w:themeColor="text1"/>
                <w:kern w:val="0"/>
                <w:sz w:val="21"/>
                <w:szCs w:val="21"/>
                <w:highlight w:val="none"/>
                <w14:textFill>
                  <w14:solidFill>
                    <w14:schemeClr w14:val="tx1"/>
                  </w14:solidFill>
                </w14:textFill>
              </w:rPr>
              <w:t>与《长江流域（云南段）总磷污染控制方案》符合性</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2"/>
              <w:gridCol w:w="2200"/>
              <w:gridCol w:w="481"/>
            </w:tblGrid>
            <w:tr w14:paraId="49DE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vAlign w:val="center"/>
                </w:tcPr>
                <w:p w14:paraId="63011B56">
                  <w:pPr>
                    <w:widowControl/>
                    <w:spacing w:line="240" w:lineRule="auto"/>
                    <w:ind w:firstLine="0" w:firstLineChars="0"/>
                    <w:jc w:val="center"/>
                    <w:rPr>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kern w:val="0"/>
                      <w:sz w:val="21"/>
                      <w:szCs w:val="21"/>
                      <w:highlight w:val="none"/>
                      <w14:textFill>
                        <w14:solidFill>
                          <w14:schemeClr w14:val="tx1"/>
                        </w14:solidFill>
                      </w14:textFill>
                    </w:rPr>
                    <w:t>方案规定</w:t>
                  </w:r>
                </w:p>
              </w:tc>
              <w:tc>
                <w:tcPr>
                  <w:tcW w:w="1367" w:type="pct"/>
                  <w:vAlign w:val="center"/>
                </w:tcPr>
                <w:p w14:paraId="3C828BEF">
                  <w:pPr>
                    <w:widowControl/>
                    <w:spacing w:line="240" w:lineRule="auto"/>
                    <w:ind w:firstLine="0" w:firstLineChars="0"/>
                    <w:jc w:val="center"/>
                    <w:rPr>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kern w:val="0"/>
                      <w:sz w:val="21"/>
                      <w:szCs w:val="21"/>
                      <w:highlight w:val="none"/>
                      <w14:textFill>
                        <w14:solidFill>
                          <w14:schemeClr w14:val="tx1"/>
                        </w14:solidFill>
                      </w14:textFill>
                    </w:rPr>
                    <w:t>项目情况</w:t>
                  </w:r>
                </w:p>
              </w:tc>
              <w:tc>
                <w:tcPr>
                  <w:tcW w:w="299" w:type="pct"/>
                  <w:vAlign w:val="center"/>
                </w:tcPr>
                <w:p w14:paraId="773F138E">
                  <w:pPr>
                    <w:widowControl/>
                    <w:spacing w:line="240" w:lineRule="auto"/>
                    <w:ind w:firstLine="0" w:firstLineChars="0"/>
                    <w:jc w:val="center"/>
                    <w:rPr>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kern w:val="0"/>
                      <w:sz w:val="21"/>
                      <w:szCs w:val="21"/>
                      <w:highlight w:val="none"/>
                      <w14:textFill>
                        <w14:solidFill>
                          <w14:schemeClr w14:val="tx1"/>
                        </w14:solidFill>
                      </w14:textFill>
                    </w:rPr>
                    <w:t>符合性</w:t>
                  </w:r>
                </w:p>
              </w:tc>
            </w:tr>
            <w:tr w14:paraId="3675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vAlign w:val="center"/>
                </w:tcPr>
                <w:p w14:paraId="6CE0BFAD">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提高磷石膏综合利用和污染防控水平。出台云南省全面推进磷石膏综合利用工作方案，持续探索实施磷石膏在生态修复、磷建筑石膏建材、磷石膏路基材料等领域的应用，鼓励建材企业优先使用磷石膏作为替代原料。多措并举推进磷石膏源头减量化、资源化、无害化，因地制宜逐步推行“以渣定产”等模式。持续推动磷石膏产生、处理、贮存、利用、处置等全过程规范管理，推进磷石膏污染控制及综合利用技术攻关。到2025年底，全省磷石膏综合利用途径有效拓展，综合利用水平明显提升，磷石膏综合利用率进一步提高，综合消纳量（包括综合利用量和无害化处理量）与产生量实现动态平衡、环境风险可控，存量磷石膏有序消纳。</w:t>
                  </w:r>
                </w:p>
              </w:tc>
              <w:tc>
                <w:tcPr>
                  <w:tcW w:w="1367" w:type="pct"/>
                  <w:vAlign w:val="center"/>
                </w:tcPr>
                <w:p w14:paraId="05264FFB">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本项目采用改性磷石膏对</w:t>
                  </w:r>
                  <w:r>
                    <w:rPr>
                      <w:rFonts w:hint="eastAsia" w:ascii="Times New Roman"/>
                      <w:b w:val="0"/>
                      <w:bCs w:val="0"/>
                      <w:color w:val="000000" w:themeColor="text1"/>
                      <w:sz w:val="21"/>
                      <w:highlight w:val="none"/>
                      <w:lang w:eastAsia="zh-CN"/>
                      <w14:textFill>
                        <w14:solidFill>
                          <w14:schemeClr w14:val="tx1"/>
                        </w14:solidFill>
                      </w14:textFill>
                    </w:rPr>
                    <w:t>塘子镇钟灵村委会令友采石场废弃矿坑</w:t>
                  </w:r>
                  <w:r>
                    <w:rPr>
                      <w:rFonts w:hint="eastAsia" w:ascii="Times New Roman"/>
                      <w:b w:val="0"/>
                      <w:bCs w:val="0"/>
                      <w:color w:val="000000" w:themeColor="text1"/>
                      <w:sz w:val="21"/>
                      <w:highlight w:val="none"/>
                      <w14:textFill>
                        <w14:solidFill>
                          <w14:schemeClr w14:val="tx1"/>
                        </w14:solidFill>
                      </w14:textFill>
                    </w:rPr>
                    <w:t>进行回填。属于磷石膏综合利用项目，可实现推进磷石膏源头减量化、资源化、无害化。</w:t>
                  </w:r>
                </w:p>
              </w:tc>
              <w:tc>
                <w:tcPr>
                  <w:tcW w:w="299" w:type="pct"/>
                  <w:vAlign w:val="center"/>
                </w:tcPr>
                <w:p w14:paraId="29D6F4AD">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符合</w:t>
                  </w:r>
                </w:p>
              </w:tc>
            </w:tr>
            <w:tr w14:paraId="5614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vAlign w:val="center"/>
                </w:tcPr>
                <w:p w14:paraId="4E6E776F">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提升磷矿生态修复及综合治理水平。有序推进历史遗留矿山生态修复和综合治理，压实属地责任，督促持证矿山履行生态修复和土地复垦义务，消除磷矿采区、排土场、地质塌陷区、工业场地地质安全隐患，完善矿区截排水设施建设，严格控制采区疏排水量，开展区域地形重塑、土壤重构、植被重建、废弃土地复垦利用等，建立生态修复后期管护制度，开展生态修复监测与成效评估，确保磷矿矿区生态修复效果，形成责任明确、措施得当、管理到位的磷矿生态修复工作体系。</w:t>
                  </w:r>
                </w:p>
              </w:tc>
              <w:tc>
                <w:tcPr>
                  <w:tcW w:w="1367" w:type="pct"/>
                  <w:vAlign w:val="center"/>
                </w:tcPr>
                <w:p w14:paraId="7EE8AD58">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本项目采用改性磷石膏对</w:t>
                  </w:r>
                  <w:r>
                    <w:rPr>
                      <w:rFonts w:hint="eastAsia" w:ascii="Times New Roman"/>
                      <w:b w:val="0"/>
                      <w:bCs w:val="0"/>
                      <w:color w:val="000000" w:themeColor="text1"/>
                      <w:sz w:val="21"/>
                      <w:highlight w:val="none"/>
                      <w:lang w:eastAsia="zh-CN"/>
                      <w14:textFill>
                        <w14:solidFill>
                          <w14:schemeClr w14:val="tx1"/>
                        </w14:solidFill>
                      </w14:textFill>
                    </w:rPr>
                    <w:t>塘子镇钟灵村委会令友采石场废弃矿坑</w:t>
                  </w:r>
                  <w:r>
                    <w:rPr>
                      <w:rFonts w:hint="eastAsia" w:ascii="Times New Roman"/>
                      <w:b w:val="0"/>
                      <w:bCs w:val="0"/>
                      <w:color w:val="000000" w:themeColor="text1"/>
                      <w:sz w:val="21"/>
                      <w:highlight w:val="none"/>
                      <w14:textFill>
                        <w14:solidFill>
                          <w14:schemeClr w14:val="tx1"/>
                        </w14:solidFill>
                      </w14:textFill>
                    </w:rPr>
                    <w:t>进行回填修复，将废弃矿坑填埋修复成旱地、林草地，提高土地利用率。</w:t>
                  </w:r>
                </w:p>
              </w:tc>
              <w:tc>
                <w:tcPr>
                  <w:tcW w:w="299" w:type="pct"/>
                  <w:vAlign w:val="center"/>
                </w:tcPr>
                <w:p w14:paraId="3F4F08DF">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符合</w:t>
                  </w:r>
                </w:p>
              </w:tc>
            </w:tr>
          </w:tbl>
          <w:p w14:paraId="5F6574BA">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综上，项目建设符合《长江流域（云南段）总磷污染控制方案》文件相关要求。</w:t>
            </w:r>
          </w:p>
          <w:p w14:paraId="523BF28A">
            <w:pPr>
              <w:widowControl/>
              <w:spacing w:line="240" w:lineRule="auto"/>
              <w:ind w:firstLine="0" w:firstLineChars="0"/>
              <w:jc w:val="center"/>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16、与《云南省全面推进磷石膏综合利用工作方案》符合性分析</w:t>
            </w:r>
          </w:p>
          <w:p w14:paraId="60D47258">
            <w:pPr>
              <w:widowControl/>
              <w:adjustRightInd w:val="0"/>
              <w:snapToGrid w:val="0"/>
              <w:ind w:firstLine="480"/>
              <w:rPr>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云南省工业和信息化厅2023年12月发布了《云南省全面推进磷石膏综合利用工作方案》（云工信资源[2023]431号）</w:t>
            </w:r>
            <w:r>
              <w:rPr>
                <w:rFonts w:hint="eastAsia"/>
                <w:color w:val="000000" w:themeColor="text1"/>
                <w:kern w:val="0"/>
                <w:highlight w:val="none"/>
                <w:lang w:bidi="ar"/>
                <w14:textFill>
                  <w14:solidFill>
                    <w14:schemeClr w14:val="tx1"/>
                  </w14:solidFill>
                </w14:textFill>
              </w:rPr>
              <w:t>，方案总体目标为“到2025年，全省磷石膏综合利用途径有效拓展，综合利用水平明显提升，综合利用率达到75%，综合消纳量（包括综合利用量和无害化处理量）与产生量实现动态平衡；存量磷石膏有序消纳。”其中，</w:t>
            </w:r>
            <w:r>
              <w:rPr>
                <w:color w:val="000000" w:themeColor="text1"/>
                <w:kern w:val="0"/>
                <w:highlight w:val="none"/>
                <w:lang w:bidi="ar"/>
                <w14:textFill>
                  <w14:solidFill>
                    <w14:schemeClr w14:val="tx1"/>
                  </w14:solidFill>
                </w14:textFill>
              </w:rPr>
              <w:t>实施磷石膏废弃矿坑生态修复利用类工程。总结推广示范项目经验，加快研究发布《磷石膏无害化处理用于矿山废弃地生态修复回填技术规范》等相关标准，开展项目谋划实施。加强全过程服务监管，开展地质结构和水源边界勘测，在确保安全环保前提下，积极推动磷石膏在废弃矿坑生态修复等领域应用。在符合条件的地区，鼓励支持使用符合相关标准的无害化磷石膏材料实施废弃矿坑回填、边坡治理和石漠化修复；磷矿企业同等条件下优先使用无害化磷石膏开展废弃矿坑生态修复及井下填充。鼓励各地因地制宜，在人造土制备、土壤改良、石漠化土壤治理、胶凝型护坡材料制备等方面探索磷石膏示范利用新途径。到2025年，力争全省生态修复类工程年综合利用磷石膏1225万吨以上。</w:t>
            </w:r>
          </w:p>
          <w:p w14:paraId="51338E7B">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本项目用改性磷石膏作为废弃矿山生态修复材料，使用改性磷石膏对</w:t>
            </w:r>
            <w:r>
              <w:rPr>
                <w:rFonts w:hint="eastAsia"/>
                <w:color w:val="000000" w:themeColor="text1"/>
                <w:kern w:val="0"/>
                <w:highlight w:val="none"/>
                <w:lang w:eastAsia="zh-CN" w:bidi="ar"/>
                <w14:textFill>
                  <w14:solidFill>
                    <w14:schemeClr w14:val="tx1"/>
                  </w14:solidFill>
                </w14:textFill>
              </w:rPr>
              <w:t>塘子镇钟灵村委会令友采石场废弃矿坑</w:t>
            </w:r>
            <w:r>
              <w:rPr>
                <w:rFonts w:hint="eastAsia"/>
                <w:color w:val="000000" w:themeColor="text1"/>
                <w:kern w:val="0"/>
                <w:highlight w:val="none"/>
                <w:lang w:bidi="ar"/>
                <w14:textFill>
                  <w14:solidFill>
                    <w14:schemeClr w14:val="tx1"/>
                  </w14:solidFill>
                </w14:textFill>
              </w:rPr>
              <w:t>进行回填修复，属于方案中重点工作。</w:t>
            </w:r>
          </w:p>
          <w:p w14:paraId="41EDEFD5">
            <w:pPr>
              <w:pStyle w:val="37"/>
              <w:spacing w:before="0" w:beforeAutospacing="0" w:after="0" w:afterAutospacing="0"/>
              <w:ind w:firstLine="482"/>
              <w:jc w:val="both"/>
              <w:rPr>
                <w:rFonts w:ascii="Times New Roman" w:hAnsi="Times New Roman"/>
                <w:b/>
                <w:bCs/>
                <w:color w:val="000000" w:themeColor="text1"/>
                <w:highlight w:val="none"/>
                <w14:textFill>
                  <w14:solidFill>
                    <w14:schemeClr w14:val="tx1"/>
                  </w14:solidFill>
                </w14:textFill>
              </w:rPr>
            </w:pPr>
            <w:r>
              <w:rPr>
                <w:rFonts w:hint="eastAsia" w:ascii="Times New Roman" w:hAnsi="Times New Roman"/>
                <w:b/>
                <w:bCs/>
                <w:color w:val="000000" w:themeColor="text1"/>
                <w:highlight w:val="none"/>
                <w14:textFill>
                  <w14:solidFill>
                    <w14:schemeClr w14:val="tx1"/>
                  </w14:solidFill>
                </w14:textFill>
              </w:rPr>
              <w:t>17、与《云南省土壤污染防治条例》符合性分析</w:t>
            </w:r>
          </w:p>
          <w:p w14:paraId="60168E7A">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项目与《</w:t>
            </w:r>
            <w:r>
              <w:rPr>
                <w:color w:val="000000" w:themeColor="text1"/>
                <w:kern w:val="0"/>
                <w:highlight w:val="none"/>
                <w:lang w:bidi="ar"/>
                <w14:textFill>
                  <w14:solidFill>
                    <w14:schemeClr w14:val="tx1"/>
                  </w14:solidFill>
                </w14:textFill>
              </w:rPr>
              <w:t>云南省</w:t>
            </w:r>
            <w:r>
              <w:rPr>
                <w:rFonts w:hint="eastAsia"/>
                <w:color w:val="000000" w:themeColor="text1"/>
                <w:kern w:val="0"/>
                <w:highlight w:val="none"/>
                <w:lang w:bidi="ar"/>
                <w14:textFill>
                  <w14:solidFill>
                    <w14:schemeClr w14:val="tx1"/>
                  </w14:solidFill>
                </w14:textFill>
              </w:rPr>
              <w:t>土壤污染防治条例》符合性分析如下：</w:t>
            </w:r>
          </w:p>
          <w:p w14:paraId="5C64BED4">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表1-9  项目</w:t>
            </w:r>
            <w:r>
              <w:rPr>
                <w:rFonts w:hint="eastAsia"/>
                <w:b/>
                <w:bCs/>
                <w:color w:val="000000" w:themeColor="text1"/>
                <w:kern w:val="0"/>
                <w:sz w:val="21"/>
                <w:szCs w:val="21"/>
                <w:highlight w:val="none"/>
                <w14:textFill>
                  <w14:solidFill>
                    <w14:schemeClr w14:val="tx1"/>
                  </w14:solidFill>
                </w14:textFill>
              </w:rPr>
              <w:t>与《云南省土壤污染防治条例》符合性</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3353"/>
              <w:gridCol w:w="426"/>
            </w:tblGrid>
            <w:tr w14:paraId="5432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650" w:type="pct"/>
                  <w:vAlign w:val="center"/>
                </w:tcPr>
                <w:p w14:paraId="1FF9A30F">
                  <w:pPr>
                    <w:widowControl/>
                    <w:spacing w:line="240" w:lineRule="auto"/>
                    <w:ind w:firstLine="0" w:firstLineChars="0"/>
                    <w:jc w:val="center"/>
                    <w:rPr>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kern w:val="0"/>
                      <w:sz w:val="21"/>
                      <w:szCs w:val="21"/>
                      <w:highlight w:val="none"/>
                      <w14:textFill>
                        <w14:solidFill>
                          <w14:schemeClr w14:val="tx1"/>
                        </w14:solidFill>
                      </w14:textFill>
                    </w:rPr>
                    <w:t>条例内容</w:t>
                  </w:r>
                </w:p>
              </w:tc>
              <w:tc>
                <w:tcPr>
                  <w:tcW w:w="2084" w:type="pct"/>
                  <w:vAlign w:val="center"/>
                </w:tcPr>
                <w:p w14:paraId="46F13A56">
                  <w:pPr>
                    <w:widowControl/>
                    <w:spacing w:line="240" w:lineRule="auto"/>
                    <w:ind w:firstLine="0" w:firstLineChars="0"/>
                    <w:jc w:val="center"/>
                    <w:rPr>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kern w:val="0"/>
                      <w:sz w:val="21"/>
                      <w:szCs w:val="21"/>
                      <w:highlight w:val="none"/>
                      <w14:textFill>
                        <w14:solidFill>
                          <w14:schemeClr w14:val="tx1"/>
                        </w14:solidFill>
                      </w14:textFill>
                    </w:rPr>
                    <w:t>项目情况</w:t>
                  </w:r>
                </w:p>
              </w:tc>
              <w:tc>
                <w:tcPr>
                  <w:tcW w:w="265" w:type="pct"/>
                  <w:vAlign w:val="center"/>
                </w:tcPr>
                <w:p w14:paraId="2F57BE73">
                  <w:pPr>
                    <w:widowControl/>
                    <w:spacing w:line="240" w:lineRule="auto"/>
                    <w:ind w:firstLine="0" w:firstLineChars="0"/>
                    <w:jc w:val="center"/>
                    <w:rPr>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kern w:val="0"/>
                      <w:sz w:val="21"/>
                      <w:szCs w:val="21"/>
                      <w:highlight w:val="none"/>
                      <w14:textFill>
                        <w14:solidFill>
                          <w14:schemeClr w14:val="tx1"/>
                        </w14:solidFill>
                      </w14:textFill>
                    </w:rPr>
                    <w:t>符合性</w:t>
                  </w:r>
                </w:p>
              </w:tc>
            </w:tr>
            <w:tr w14:paraId="7A52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50" w:type="pct"/>
                  <w:vAlign w:val="center"/>
                </w:tcPr>
                <w:p w14:paraId="1E43D1A3">
                  <w:pPr>
                    <w:pStyle w:val="64"/>
                    <w:spacing w:before="24" w:after="24"/>
                    <w:ind w:firstLine="42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禁止在居民区和学校、医院、疗养院、养老院等单位周边新建、改建、扩建可能造成土壤污染的建设项目。</w:t>
                  </w:r>
                </w:p>
              </w:tc>
              <w:tc>
                <w:tcPr>
                  <w:tcW w:w="2084" w:type="pct"/>
                  <w:vAlign w:val="center"/>
                </w:tcPr>
                <w:p w14:paraId="2ACE21FF">
                  <w:pPr>
                    <w:pStyle w:val="64"/>
                    <w:spacing w:beforeLines="0" w:afterLines="0" w:line="240" w:lineRule="auto"/>
                    <w:ind w:firstLine="0" w:firstLineChars="0"/>
                    <w:jc w:val="left"/>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项目属于废弃矿坑生态修复项目，位于云南省昆明市寻甸县</w:t>
                  </w:r>
                  <w:r>
                    <w:rPr>
                      <w:rFonts w:hint="eastAsia" w:ascii="Times New Roman"/>
                      <w:b w:val="0"/>
                      <w:bCs w:val="0"/>
                      <w:color w:val="000000" w:themeColor="text1"/>
                      <w:sz w:val="21"/>
                      <w:highlight w:val="none"/>
                      <w:lang w:eastAsia="zh-CN"/>
                      <w14:textFill>
                        <w14:solidFill>
                          <w14:schemeClr w14:val="tx1"/>
                        </w14:solidFill>
                      </w14:textFill>
                    </w:rPr>
                    <w:t>塘子镇钟灵村委会令友采石场</w:t>
                  </w:r>
                  <w:r>
                    <w:rPr>
                      <w:rFonts w:hint="eastAsia" w:ascii="Times New Roman"/>
                      <w:b w:val="0"/>
                      <w:bCs w:val="0"/>
                      <w:color w:val="000000" w:themeColor="text1"/>
                      <w:sz w:val="21"/>
                      <w:highlight w:val="none"/>
                      <w14:textFill>
                        <w14:solidFill>
                          <w14:schemeClr w14:val="tx1"/>
                        </w14:solidFill>
                      </w14:textFill>
                    </w:rPr>
                    <w:t>，周边无学校、医院、疗养院、养老院等单位，与项目回填区距离最近的敏感点为西</w:t>
                  </w:r>
                  <w:r>
                    <w:rPr>
                      <w:rFonts w:hint="eastAsia" w:ascii="Times New Roman"/>
                      <w:b w:val="0"/>
                      <w:bCs w:val="0"/>
                      <w:color w:val="000000" w:themeColor="text1"/>
                      <w:sz w:val="21"/>
                      <w:highlight w:val="none"/>
                      <w:lang w:val="en-US" w:eastAsia="zh-CN"/>
                      <w14:textFill>
                        <w14:solidFill>
                          <w14:schemeClr w14:val="tx1"/>
                        </w14:solidFill>
                      </w14:textFill>
                    </w:rPr>
                    <w:t>北</w:t>
                  </w:r>
                  <w:r>
                    <w:rPr>
                      <w:rFonts w:hint="eastAsia" w:ascii="Times New Roman"/>
                      <w:b w:val="0"/>
                      <w:bCs w:val="0"/>
                      <w:color w:val="000000" w:themeColor="text1"/>
                      <w:sz w:val="21"/>
                      <w:highlight w:val="none"/>
                      <w14:textFill>
                        <w14:solidFill>
                          <w14:schemeClr w14:val="tx1"/>
                        </w14:solidFill>
                      </w14:textFill>
                    </w:rPr>
                    <w:t>侧</w:t>
                  </w:r>
                  <w:r>
                    <w:rPr>
                      <w:rFonts w:hint="eastAsia" w:ascii="Times New Roman"/>
                      <w:b w:val="0"/>
                      <w:bCs w:val="0"/>
                      <w:color w:val="000000" w:themeColor="text1"/>
                      <w:sz w:val="21"/>
                      <w:highlight w:val="none"/>
                      <w:lang w:val="en-US" w:eastAsia="zh-CN"/>
                      <w14:textFill>
                        <w14:solidFill>
                          <w14:schemeClr w14:val="tx1"/>
                        </w14:solidFill>
                      </w14:textFill>
                    </w:rPr>
                    <w:t>750</w:t>
                  </w:r>
                  <w:r>
                    <w:rPr>
                      <w:rFonts w:hint="eastAsia" w:ascii="Times New Roman"/>
                      <w:b w:val="0"/>
                      <w:bCs w:val="0"/>
                      <w:color w:val="000000" w:themeColor="text1"/>
                      <w:sz w:val="21"/>
                      <w:highlight w:val="none"/>
                      <w14:textFill>
                        <w14:solidFill>
                          <w14:schemeClr w14:val="tx1"/>
                        </w14:solidFill>
                      </w14:textFill>
                    </w:rPr>
                    <w:t>m处的</w:t>
                  </w:r>
                  <w:r>
                    <w:rPr>
                      <w:rFonts w:hint="eastAsia" w:ascii="Times New Roman"/>
                      <w:b w:val="0"/>
                      <w:bCs w:val="0"/>
                      <w:color w:val="000000" w:themeColor="text1"/>
                      <w:sz w:val="21"/>
                      <w:highlight w:val="none"/>
                      <w:lang w:val="en-US" w:eastAsia="zh-CN"/>
                      <w14:textFill>
                        <w14:solidFill>
                          <w14:schemeClr w14:val="tx1"/>
                        </w14:solidFill>
                      </w14:textFill>
                    </w:rPr>
                    <w:t>普家屯村</w:t>
                  </w:r>
                  <w:r>
                    <w:rPr>
                      <w:rFonts w:hint="eastAsia" w:ascii="Times New Roman"/>
                      <w:b w:val="0"/>
                      <w:bCs w:val="0"/>
                      <w:color w:val="000000" w:themeColor="text1"/>
                      <w:sz w:val="21"/>
                      <w:highlight w:val="none"/>
                      <w:lang w:eastAsia="zh-CN"/>
                      <w14:textFill>
                        <w14:solidFill>
                          <w14:schemeClr w14:val="tx1"/>
                        </w14:solidFill>
                      </w14:textFill>
                    </w:rPr>
                    <w:t>。</w:t>
                  </w:r>
                  <w:r>
                    <w:rPr>
                      <w:rFonts w:hint="eastAsia" w:ascii="Times New Roman"/>
                      <w:b w:val="0"/>
                      <w:bCs w:val="0"/>
                      <w:color w:val="000000" w:themeColor="text1"/>
                      <w:sz w:val="21"/>
                      <w:highlight w:val="none"/>
                      <w14:textFill>
                        <w14:solidFill>
                          <w14:schemeClr w14:val="tx1"/>
                        </w14:solidFill>
                      </w14:textFill>
                    </w:rPr>
                    <w:t>项目在填埋过程中采取防渗措施，严格把控入场材料，项目修复不会对周边土壤造成污染。</w:t>
                  </w:r>
                </w:p>
              </w:tc>
              <w:tc>
                <w:tcPr>
                  <w:tcW w:w="265" w:type="pct"/>
                  <w:vAlign w:val="center"/>
                </w:tcPr>
                <w:p w14:paraId="40FB0DED">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符合</w:t>
                  </w:r>
                </w:p>
              </w:tc>
            </w:tr>
            <w:tr w14:paraId="2745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0" w:type="pct"/>
                  <w:vAlign w:val="center"/>
                </w:tcPr>
                <w:p w14:paraId="3991AF02">
                  <w:pPr>
                    <w:pStyle w:val="64"/>
                    <w:adjustRightInd/>
                    <w:snapToGrid/>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各类涉及土地利用的规划和可能造成土壤污染的建设项目，应当依法进行环境影响评价。环境影响评价文件应当包括对土壤可能造成的不良影响及应当采取的相应预防措施等内容。建设项目配套建设的土壤污染防治设施，应当与主体工程同时设计、同时施工、同时投入使用。</w:t>
                  </w:r>
                </w:p>
              </w:tc>
              <w:tc>
                <w:tcPr>
                  <w:tcW w:w="2084" w:type="pct"/>
                  <w:vAlign w:val="center"/>
                </w:tcPr>
                <w:p w14:paraId="24F3B047">
                  <w:pPr>
                    <w:pStyle w:val="64"/>
                    <w:adjustRightInd/>
                    <w:snapToGrid/>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项目采用改性磷石膏对废弃矿坑回填进行生态修复，在修复过程中严格按照设计方案及各</w:t>
                  </w:r>
                  <w:r>
                    <w:rPr>
                      <w:rFonts w:hint="eastAsia" w:ascii="Times New Roman"/>
                      <w:b w:val="0"/>
                      <w:bCs w:val="0"/>
                      <w:color w:val="000000" w:themeColor="text1"/>
                      <w:sz w:val="21"/>
                      <w:highlight w:val="none"/>
                      <w:lang w:eastAsia="zh-CN"/>
                      <w14:textFill>
                        <w14:solidFill>
                          <w14:schemeClr w14:val="tx1"/>
                        </w14:solidFill>
                      </w14:textFill>
                    </w:rPr>
                    <w:t>项</w:t>
                  </w:r>
                  <w:r>
                    <w:rPr>
                      <w:rFonts w:hint="eastAsia" w:ascii="Times New Roman"/>
                      <w:b w:val="0"/>
                      <w:bCs w:val="0"/>
                      <w:color w:val="000000" w:themeColor="text1"/>
                      <w:sz w:val="21"/>
                      <w:highlight w:val="none"/>
                      <w14:textFill>
                        <w14:solidFill>
                          <w14:schemeClr w14:val="tx1"/>
                        </w14:solidFill>
                      </w14:textFill>
                    </w:rPr>
                    <w:t>规范要求进行防渗措施，不会对周围土壤环境造成污染。</w:t>
                  </w:r>
                </w:p>
              </w:tc>
              <w:tc>
                <w:tcPr>
                  <w:tcW w:w="265" w:type="pct"/>
                  <w:vAlign w:val="center"/>
                </w:tcPr>
                <w:p w14:paraId="33BE5163">
                  <w:pPr>
                    <w:pStyle w:val="64"/>
                    <w:spacing w:beforeLines="0" w:afterLines="0" w:line="240" w:lineRule="auto"/>
                    <w:ind w:firstLine="0" w:firstLineChars="0"/>
                    <w:rPr>
                      <w:rFonts w:ascii="Times New Roman"/>
                      <w:b w:val="0"/>
                      <w:bCs w:val="0"/>
                      <w:color w:val="000000" w:themeColor="text1"/>
                      <w:sz w:val="21"/>
                      <w:highlight w:val="none"/>
                      <w14:textFill>
                        <w14:solidFill>
                          <w14:schemeClr w14:val="tx1"/>
                        </w14:solidFill>
                      </w14:textFill>
                    </w:rPr>
                  </w:pPr>
                  <w:r>
                    <w:rPr>
                      <w:rFonts w:hint="eastAsia" w:ascii="Times New Roman"/>
                      <w:b w:val="0"/>
                      <w:bCs w:val="0"/>
                      <w:color w:val="000000" w:themeColor="text1"/>
                      <w:sz w:val="21"/>
                      <w:highlight w:val="none"/>
                      <w14:textFill>
                        <w14:solidFill>
                          <w14:schemeClr w14:val="tx1"/>
                        </w14:solidFill>
                      </w14:textFill>
                    </w:rPr>
                    <w:t>符合</w:t>
                  </w:r>
                </w:p>
              </w:tc>
            </w:tr>
          </w:tbl>
          <w:p w14:paraId="1D754A4B">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综上，项目建设符合《云南省土壤污染防治条例》。</w:t>
            </w:r>
          </w:p>
          <w:p w14:paraId="37AFD352">
            <w:pPr>
              <w:pStyle w:val="37"/>
              <w:spacing w:before="0" w:beforeAutospacing="0" w:after="0" w:afterAutospacing="0"/>
              <w:ind w:firstLine="482"/>
              <w:jc w:val="both"/>
              <w:rPr>
                <w:rFonts w:ascii="Times New Roman" w:hAnsi="Times New Roman"/>
                <w:b/>
                <w:bCs/>
                <w:color w:val="000000" w:themeColor="text1"/>
                <w:highlight w:val="none"/>
                <w14:textFill>
                  <w14:solidFill>
                    <w14:schemeClr w14:val="tx1"/>
                  </w14:solidFill>
                </w14:textFill>
              </w:rPr>
            </w:pPr>
            <w:r>
              <w:rPr>
                <w:rFonts w:hint="eastAsia" w:ascii="Times New Roman" w:hAnsi="Times New Roman"/>
                <w:b/>
                <w:bCs/>
                <w:color w:val="000000" w:themeColor="text1"/>
                <w:highlight w:val="none"/>
                <w14:textFill>
                  <w14:solidFill>
                    <w14:schemeClr w14:val="tx1"/>
                  </w14:solidFill>
                </w14:textFill>
              </w:rPr>
              <w:t>18、与《云南省地下水管理办法》符合性分析</w:t>
            </w:r>
          </w:p>
          <w:p w14:paraId="6F4AD3D7">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项目与《</w:t>
            </w:r>
            <w:r>
              <w:rPr>
                <w:color w:val="000000" w:themeColor="text1"/>
                <w:kern w:val="0"/>
                <w:highlight w:val="none"/>
                <w:lang w:bidi="ar"/>
                <w14:textFill>
                  <w14:solidFill>
                    <w14:schemeClr w14:val="tx1"/>
                  </w14:solidFill>
                </w14:textFill>
              </w:rPr>
              <w:t>云南省</w:t>
            </w:r>
            <w:r>
              <w:rPr>
                <w:rFonts w:hint="eastAsia"/>
                <w:color w:val="000000" w:themeColor="text1"/>
                <w:kern w:val="0"/>
                <w:highlight w:val="none"/>
                <w:lang w:bidi="ar"/>
                <w14:textFill>
                  <w14:solidFill>
                    <w14:schemeClr w14:val="tx1"/>
                  </w14:solidFill>
                </w14:textFill>
              </w:rPr>
              <w:t>地下水管理办法》符合性分析如下：</w:t>
            </w:r>
          </w:p>
          <w:p w14:paraId="24ADE441">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表1-10  项目</w:t>
            </w:r>
            <w:r>
              <w:rPr>
                <w:rFonts w:hint="eastAsia"/>
                <w:b/>
                <w:bCs/>
                <w:color w:val="000000" w:themeColor="text1"/>
                <w:kern w:val="0"/>
                <w:sz w:val="21"/>
                <w:szCs w:val="21"/>
                <w:highlight w:val="none"/>
                <w14:textFill>
                  <w14:solidFill>
                    <w14:schemeClr w14:val="tx1"/>
                  </w14:solidFill>
                </w14:textFill>
              </w:rPr>
              <w:t>与《云南省地下水管理办法》符合性</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9"/>
              <w:gridCol w:w="1976"/>
              <w:gridCol w:w="428"/>
            </w:tblGrid>
            <w:tr w14:paraId="3944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505" w:type="pct"/>
                  <w:vAlign w:val="center"/>
                </w:tcPr>
                <w:p w14:paraId="3E1A62E9">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办法内容</w:t>
                  </w:r>
                </w:p>
              </w:tc>
              <w:tc>
                <w:tcPr>
                  <w:tcW w:w="1229" w:type="pct"/>
                  <w:vAlign w:val="center"/>
                </w:tcPr>
                <w:p w14:paraId="1551618F">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65" w:type="pct"/>
                  <w:vAlign w:val="center"/>
                </w:tcPr>
                <w:p w14:paraId="6E18676A">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187E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505" w:type="pct"/>
                  <w:vAlign w:val="center"/>
                </w:tcPr>
                <w:p w14:paraId="0A01CC7D">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禁止下列污染或者可能污染地下水的行为：</w:t>
                  </w:r>
                </w:p>
                <w:p w14:paraId="020E93CE">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（一）利用渗井、渗坑、裂隙、溶洞以及私设暗管等逃避监管的方式排放水污染物；</w:t>
                  </w:r>
                </w:p>
                <w:p w14:paraId="044908C0">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（二）利用岩层孔隙、裂隙、溶洞、废弃矿坑等贮存石化原料及产品、农药、危险废物、城镇污水处理设施产生的污泥和处理后的污泥或者其他有毒有害物质；</w:t>
                  </w:r>
                </w:p>
                <w:p w14:paraId="00E1691A">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（三）利用无防渗漏措施的沟渠、坑塘等输送或者贮存含有毒污染物的废水、含病原体的污水和其他废弃物；</w:t>
                  </w:r>
                </w:p>
                <w:p w14:paraId="6289A928">
                  <w:pPr>
                    <w:pStyle w:val="64"/>
                    <w:adjustRightInd/>
                    <w:snapToGrid/>
                    <w:spacing w:beforeLines="0" w:afterLines="0"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（四）法律、法规禁止的其他污染或者可能污染地下水的行为。</w:t>
                  </w:r>
                </w:p>
              </w:tc>
              <w:tc>
                <w:tcPr>
                  <w:tcW w:w="1229" w:type="pct"/>
                  <w:vAlign w:val="center"/>
                </w:tcPr>
                <w:p w14:paraId="562B403F">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本项目采用改性磷石膏对废弃矿坑填埋进行生态修复，进场改性磷石膏须经过检测达标，项目不存在上述行为。</w:t>
                  </w:r>
                </w:p>
              </w:tc>
              <w:tc>
                <w:tcPr>
                  <w:tcW w:w="265" w:type="pct"/>
                  <w:vAlign w:val="center"/>
                </w:tcPr>
                <w:p w14:paraId="544C91B1">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066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05" w:type="pct"/>
                  <w:vAlign w:val="center"/>
                </w:tcPr>
                <w:p w14:paraId="3AB342BF">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企业事业单位和其他生产经营者应当采取下列措施，防止地下水污染：</w:t>
                  </w:r>
                </w:p>
                <w:p w14:paraId="0A146418">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（一）兴建地下工程设施或者进行地下勘探、采矿等活动，依法编制的环境影响评价文件中，应当包括地下水污染防治的内容，并采取防护性措施；</w:t>
                  </w:r>
                </w:p>
                <w:p w14:paraId="4B50A3DE">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（二）化学品生产企业以及工业集聚区、矿山开采区、尾矿库、危险废物处置场、垃圾填埋场等的运营、管理单位，应当采取防渗漏等措施，建设地下水水质监测井，按照有关标准和技术规范进行监测；</w:t>
                  </w:r>
                </w:p>
                <w:p w14:paraId="6FAB497F">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（三）加油站等的地下油罐应当使用双层罐或者采取建造防渗池等其他有效措施，并按照有关标准和技术规范进行防渗漏监测；</w:t>
                  </w:r>
                </w:p>
                <w:p w14:paraId="192F82C7">
                  <w:pPr>
                    <w:pStyle w:val="64"/>
                    <w:spacing w:before="24" w:after="24"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（四）存放可溶性剧毒废渣的场所，应当采取防水、防渗漏、防流失的措施；</w:t>
                  </w:r>
                </w:p>
                <w:p w14:paraId="4EB8C6A9">
                  <w:pPr>
                    <w:pStyle w:val="64"/>
                    <w:adjustRightInd/>
                    <w:snapToGrid/>
                    <w:spacing w:beforeLines="0" w:afterLines="0" w:line="240" w:lineRule="auto"/>
                    <w:ind w:firstLine="0" w:firstLineChars="0"/>
                    <w:jc w:val="left"/>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（五）法律、法规规定应当采取的其他防止地下水污染的措施。</w:t>
                  </w:r>
                </w:p>
              </w:tc>
              <w:tc>
                <w:tcPr>
                  <w:tcW w:w="1229" w:type="pct"/>
                  <w:vAlign w:val="center"/>
                </w:tcPr>
                <w:p w14:paraId="21AA2E58">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本项目采用改性磷石膏对废弃矿坑填埋进行生态修复，属于生态修复项目，不属于化学品生产、加油站等行业企业，项目修复过程中，采取了地下水污染防治措施，能够有效避免污染地下水。</w:t>
                  </w:r>
                </w:p>
              </w:tc>
              <w:tc>
                <w:tcPr>
                  <w:tcW w:w="265" w:type="pct"/>
                  <w:vAlign w:val="center"/>
                </w:tcPr>
                <w:p w14:paraId="18C09D7E">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bl>
          <w:p w14:paraId="6F3E877A">
            <w:pPr>
              <w:pStyle w:val="37"/>
              <w:adjustRightInd w:val="0"/>
              <w:snapToGrid w:val="0"/>
              <w:spacing w:before="0" w:beforeAutospacing="0" w:after="0" w:afterAutospacing="0"/>
              <w:ind w:firstLine="480"/>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color w:val="000000" w:themeColor="text1"/>
                <w:highlight w:val="none"/>
                <w:lang w:bidi="ar"/>
                <w14:textFill>
                  <w14:solidFill>
                    <w14:schemeClr w14:val="tx1"/>
                  </w14:solidFill>
                </w14:textFill>
              </w:rPr>
              <w:t>综上，项目建设符合《</w:t>
            </w:r>
            <w:r>
              <w:rPr>
                <w:rFonts w:ascii="Times New Roman" w:hAnsi="Times New Roman"/>
                <w:color w:val="000000" w:themeColor="text1"/>
                <w:highlight w:val="none"/>
                <w:lang w:bidi="ar"/>
                <w14:textFill>
                  <w14:solidFill>
                    <w14:schemeClr w14:val="tx1"/>
                  </w14:solidFill>
                </w14:textFill>
              </w:rPr>
              <w:t>云南省</w:t>
            </w:r>
            <w:r>
              <w:rPr>
                <w:rFonts w:hint="eastAsia" w:ascii="Times New Roman" w:hAnsi="Times New Roman"/>
                <w:color w:val="000000" w:themeColor="text1"/>
                <w:highlight w:val="none"/>
                <w:lang w:bidi="ar"/>
                <w14:textFill>
                  <w14:solidFill>
                    <w14:schemeClr w14:val="tx1"/>
                  </w14:solidFill>
                </w14:textFill>
              </w:rPr>
              <w:t>地下水管理办法》。</w:t>
            </w:r>
          </w:p>
          <w:p w14:paraId="4CE035C7">
            <w:pPr>
              <w:pStyle w:val="37"/>
              <w:adjustRightInd w:val="0"/>
              <w:snapToGrid w:val="0"/>
              <w:spacing w:before="0" w:beforeAutospacing="0" w:after="0" w:afterAutospacing="0"/>
              <w:ind w:firstLine="482"/>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b/>
                <w:bCs/>
                <w:color w:val="000000" w:themeColor="text1"/>
                <w:highlight w:val="none"/>
                <w:lang w:bidi="ar"/>
                <w14:textFill>
                  <w14:solidFill>
                    <w14:schemeClr w14:val="tx1"/>
                  </w14:solidFill>
                </w14:textFill>
              </w:rPr>
              <w:t>19、与《改性磷石膏用于矿山废弃地生态修复回填技术规范》（DB53/T1269-2024）符合性分析</w:t>
            </w:r>
          </w:p>
          <w:p w14:paraId="507BE0D8">
            <w:pPr>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项目与《改性磷石膏用于矿山废弃地生态修复回填技术规范》（DB53/T1269-2024）符合性分析如下：</w:t>
            </w:r>
          </w:p>
          <w:p w14:paraId="3B6D983C">
            <w:pPr>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表1-11  项目与《改性磷石膏用于矿山废弃地生态修复回填技术规范》</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2976"/>
              <w:gridCol w:w="446"/>
            </w:tblGrid>
            <w:tr w14:paraId="4FD4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73" w:type="pct"/>
                  <w:vAlign w:val="center"/>
                </w:tcPr>
                <w:p w14:paraId="7676007F">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规范要求</w:t>
                  </w:r>
                </w:p>
              </w:tc>
              <w:tc>
                <w:tcPr>
                  <w:tcW w:w="1850" w:type="pct"/>
                  <w:vAlign w:val="center"/>
                </w:tcPr>
                <w:p w14:paraId="27FE0C0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76" w:type="pct"/>
                  <w:vAlign w:val="center"/>
                </w:tcPr>
                <w:p w14:paraId="581F9CF0">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1F3D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000" w:type="pct"/>
                  <w:gridSpan w:val="3"/>
                  <w:vAlign w:val="center"/>
                </w:tcPr>
                <w:p w14:paraId="29F7B73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选址要求</w:t>
                  </w:r>
                </w:p>
              </w:tc>
            </w:tr>
            <w:tr w14:paraId="04DE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0F5E5FF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使用改性磷石膏进行生态修复回填的矿山废弃地应符合环境保护法律法规及相关法定规划要求，应当与当地城市总体规划和国土空间规划协调一致，应与当地的生态环境保护、水土资源保护要求相一致。</w:t>
                  </w:r>
                </w:p>
              </w:tc>
              <w:tc>
                <w:tcPr>
                  <w:tcW w:w="1850" w:type="pct"/>
                  <w:vAlign w:val="center"/>
                </w:tcPr>
                <w:p w14:paraId="3294505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采用改性磷石膏对废弃矿山进行生态修复，本项目建设符合《地下水管理条例》《云南省土壤污染防治条例》等相关法律法规，根据表1-12分析，项目与当地国土空间规划、生态环境保护要求一致，项目于2025年3月10日取得《寻甸回族彝族自治县发展和改革局关于寻甸县常青树磷石膏库综合治理项目可行性研究报告批复》（寻发改投资〔2025〕1号）。</w:t>
                  </w:r>
                </w:p>
              </w:tc>
              <w:tc>
                <w:tcPr>
                  <w:tcW w:w="276" w:type="pct"/>
                  <w:vAlign w:val="center"/>
                </w:tcPr>
                <w:p w14:paraId="7ED9CEC5">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A0A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2873" w:type="pct"/>
                  <w:vAlign w:val="center"/>
                </w:tcPr>
                <w:p w14:paraId="632B3273">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使用改性磷石膏进行生态修复回填的矿山废弃地应位于地质条件安全区域，矿山废弃地地质条件应满足回填后的承载力要求，避免地基下沉（特别是不均匀或局部下沉）的影响。</w:t>
                  </w:r>
                </w:p>
              </w:tc>
              <w:tc>
                <w:tcPr>
                  <w:tcW w:w="1850" w:type="pct"/>
                  <w:vAlign w:val="center"/>
                </w:tcPr>
                <w:p w14:paraId="0B3B54D3">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项目已编制地质灾害危险性评估报告，根据报告可知，项目区现状地质灾害不发育。</w:t>
                  </w:r>
                </w:p>
              </w:tc>
              <w:tc>
                <w:tcPr>
                  <w:tcW w:w="276" w:type="pct"/>
                  <w:vAlign w:val="center"/>
                </w:tcPr>
                <w:p w14:paraId="7E31DD78">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6D53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549F931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使用改性磷石膏进行生态修复回填的矿山废弃地不应位于饮用水源地、天然滑坡泥石流地区、生态保护红线区、永久基本农田集中区域、溶岩强发育区、存在较多落水洞和岩溶漏斗的区域与其他需要特别保护的区域内。</w:t>
                  </w:r>
                </w:p>
              </w:tc>
              <w:tc>
                <w:tcPr>
                  <w:tcW w:w="1850" w:type="pct"/>
                  <w:vAlign w:val="center"/>
                </w:tcPr>
                <w:p w14:paraId="08D9E61F">
                  <w:pPr>
                    <w:widowControl/>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根据调查，本项目修复区域不位于饮用水源地、天然滑坡泥石流地区、生态保护红线区、项目不占用永久基本农田；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寻甸县常青树磷石膏库综合治理项目</w:t>
                  </w:r>
                  <w:r>
                    <w:rPr>
                      <w:rFonts w:hint="eastAsia" w:cs="Times New Roman"/>
                      <w:color w:val="000000" w:themeColor="text1"/>
                      <w:sz w:val="21"/>
                      <w:szCs w:val="21"/>
                      <w:highlight w:val="none"/>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生态修复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水文地质勘察报告》</w:t>
                  </w:r>
                  <w:r>
                    <w:rPr>
                      <w:rFonts w:hint="eastAsia"/>
                      <w:color w:val="000000" w:themeColor="text1"/>
                      <w:kern w:val="0"/>
                      <w:sz w:val="21"/>
                      <w:szCs w:val="21"/>
                      <w:highlight w:val="none"/>
                      <w:lang w:bidi="ar"/>
                      <w14:textFill>
                        <w14:solidFill>
                          <w14:schemeClr w14:val="tx1"/>
                        </w14:solidFill>
                      </w14:textFill>
                    </w:rPr>
                    <w:t>，项目区岩溶中等发育，不存在较多落水洞和岩溶漏斗的区域与其他需要特别保护的区域内。</w:t>
                  </w:r>
                </w:p>
              </w:tc>
              <w:tc>
                <w:tcPr>
                  <w:tcW w:w="276" w:type="pct"/>
                  <w:vAlign w:val="center"/>
                </w:tcPr>
                <w:p w14:paraId="2A5DD8C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2A9B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000" w:type="pct"/>
                  <w:gridSpan w:val="3"/>
                  <w:vAlign w:val="center"/>
                </w:tcPr>
                <w:p w14:paraId="25C2509B">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回填要求</w:t>
                  </w:r>
                </w:p>
              </w:tc>
            </w:tr>
            <w:tr w14:paraId="6E95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C1A1F3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矿山废弃地回填区域占地边界原则上不应超过其历史边界，除必要的边坡修</w:t>
                  </w:r>
                  <w:r>
                    <w:rPr>
                      <w:rFonts w:hint="eastAsia"/>
                      <w:color w:val="000000" w:themeColor="text1"/>
                      <w:kern w:val="0"/>
                      <w:sz w:val="21"/>
                      <w:szCs w:val="21"/>
                      <w:highlight w:val="none"/>
                      <w:lang w:eastAsia="zh-CN" w:bidi="ar"/>
                      <w14:textFill>
                        <w14:solidFill>
                          <w14:schemeClr w14:val="tx1"/>
                        </w14:solidFill>
                      </w14:textFill>
                    </w:rPr>
                    <w:t>整</w:t>
                  </w:r>
                  <w:r>
                    <w:rPr>
                      <w:rFonts w:hint="eastAsia"/>
                      <w:color w:val="000000" w:themeColor="text1"/>
                      <w:kern w:val="0"/>
                      <w:sz w:val="21"/>
                      <w:szCs w:val="21"/>
                      <w:highlight w:val="none"/>
                      <w:lang w:bidi="ar"/>
                      <w14:textFill>
                        <w14:solidFill>
                          <w14:schemeClr w14:val="tx1"/>
                        </w14:solidFill>
                      </w14:textFill>
                    </w:rPr>
                    <w:t>等安全措施外，不应扩大矿山废弃地范围。</w:t>
                  </w:r>
                </w:p>
              </w:tc>
              <w:tc>
                <w:tcPr>
                  <w:tcW w:w="1850" w:type="pct"/>
                  <w:vAlign w:val="center"/>
                </w:tcPr>
                <w:p w14:paraId="312D2B45">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项目修复范围在原有图斑范围内进行修复，没有扩大修复范围。</w:t>
                  </w:r>
                </w:p>
              </w:tc>
              <w:tc>
                <w:tcPr>
                  <w:tcW w:w="276" w:type="pct"/>
                  <w:vAlign w:val="center"/>
                </w:tcPr>
                <w:p w14:paraId="2CE1D42E">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721C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7D64A5C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按照GB51016和GB16423对矿山废弃地边坡及生态修复回填过程中稳定性进行评价，对回填</w:t>
                  </w:r>
                  <w:r>
                    <w:rPr>
                      <w:color w:val="000000" w:themeColor="text1"/>
                      <w:kern w:val="0"/>
                      <w:sz w:val="21"/>
                      <w:szCs w:val="21"/>
                      <w:highlight w:val="none"/>
                      <w:lang w:bidi="ar"/>
                      <w14:textFill>
                        <w14:solidFill>
                          <w14:schemeClr w14:val="tx1"/>
                        </w14:solidFill>
                      </w14:textFill>
                    </w:rPr>
                    <w:t>工艺技术安全性论证，并确定施工</w:t>
                  </w:r>
                  <w:r>
                    <w:rPr>
                      <w:rFonts w:hint="eastAsia"/>
                      <w:color w:val="000000" w:themeColor="text1"/>
                      <w:kern w:val="0"/>
                      <w:sz w:val="21"/>
                      <w:szCs w:val="21"/>
                      <w:highlight w:val="none"/>
                      <w:lang w:bidi="ar"/>
                      <w14:textFill>
                        <w14:solidFill>
                          <w14:schemeClr w14:val="tx1"/>
                        </w14:solidFill>
                      </w14:textFill>
                    </w:rPr>
                    <w:t>方案</w:t>
                  </w:r>
                  <w:r>
                    <w:rPr>
                      <w:color w:val="000000" w:themeColor="text1"/>
                      <w:kern w:val="0"/>
                      <w:sz w:val="21"/>
                      <w:szCs w:val="21"/>
                      <w:highlight w:val="none"/>
                      <w:lang w:bidi="ar"/>
                      <w14:textFill>
                        <w14:solidFill>
                          <w14:schemeClr w14:val="tx1"/>
                        </w14:solidFill>
                      </w14:textFill>
                    </w:rPr>
                    <w:t>。</w:t>
                  </w:r>
                </w:p>
              </w:tc>
              <w:tc>
                <w:tcPr>
                  <w:tcW w:w="1850" w:type="pct"/>
                  <w:vAlign w:val="center"/>
                </w:tcPr>
                <w:p w14:paraId="193966D7">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项目已编制《云南省寻甸县</w:t>
                  </w:r>
                  <w:r>
                    <w:rPr>
                      <w:rFonts w:hint="eastAsia" w:ascii="Times New Roman"/>
                      <w:b w:val="0"/>
                      <w:bCs/>
                      <w:color w:val="000000" w:themeColor="text1"/>
                      <w:sz w:val="21"/>
                      <w:highlight w:val="none"/>
                      <w:lang w:eastAsia="zh-CN"/>
                      <w14:textFill>
                        <w14:solidFill>
                          <w14:schemeClr w14:val="tx1"/>
                        </w14:solidFill>
                      </w14:textFill>
                    </w:rPr>
                    <w:t>塘子镇钟灵村委会令友采石场废弃矿坑</w:t>
                  </w:r>
                  <w:r>
                    <w:rPr>
                      <w:rFonts w:hint="eastAsia" w:ascii="Times New Roman"/>
                      <w:b w:val="0"/>
                      <w:bCs/>
                      <w:color w:val="000000" w:themeColor="text1"/>
                      <w:sz w:val="21"/>
                      <w:highlight w:val="none"/>
                      <w14:textFill>
                        <w14:solidFill>
                          <w14:schemeClr w14:val="tx1"/>
                        </w14:solidFill>
                      </w14:textFill>
                    </w:rPr>
                    <w:t>堆填设计》，报告中对项目回填过程稳定性进行分析评价，且得出结论，项目用地属稳定性场地，用地适宜性为基本适宜。</w:t>
                  </w:r>
                </w:p>
              </w:tc>
              <w:tc>
                <w:tcPr>
                  <w:tcW w:w="276" w:type="pct"/>
                  <w:vAlign w:val="center"/>
                </w:tcPr>
                <w:p w14:paraId="4A2B16F4">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991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46D2A90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回填施工应避免诱发地质灾害，必要时应按照GB/T40112有关规定，在回填施工前同时开展地质灾害危险性评估。</w:t>
                  </w:r>
                </w:p>
              </w:tc>
              <w:tc>
                <w:tcPr>
                  <w:tcW w:w="1850" w:type="pct"/>
                  <w:vAlign w:val="center"/>
                </w:tcPr>
                <w:p w14:paraId="1AAA5312">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项目已经编制完成《寻甸县常青树磷石膏库综合治理项目地质灾害危险性评估报告》。根据《寻甸县常青树磷石膏库综合治理项目地质灾害危险性评估报告》可知“总体上，拟建工程建设和运营引发、遭受地质灾害危害的可能性、危害性及危险性可能性小-中等，根据现有技术条件，防治难度小。综合评定本工程建设项目用地适宜性为基本适宜。”</w:t>
                  </w:r>
                </w:p>
              </w:tc>
              <w:tc>
                <w:tcPr>
                  <w:tcW w:w="276" w:type="pct"/>
                  <w:vAlign w:val="center"/>
                </w:tcPr>
                <w:p w14:paraId="1341ACD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6317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364A048C">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当矿山废弃地天然基础层饱和</w:t>
                  </w:r>
                  <w:r>
                    <w:rPr>
                      <w:rFonts w:hint="eastAsia"/>
                      <w:color w:val="000000" w:themeColor="text1"/>
                      <w:kern w:val="0"/>
                      <w:sz w:val="21"/>
                      <w:szCs w:val="21"/>
                      <w:highlight w:val="none"/>
                      <w:lang w:bidi="ar"/>
                      <w14:textFill>
                        <w14:solidFill>
                          <w14:schemeClr w14:val="tx1"/>
                        </w14:solidFill>
                      </w14:textFill>
                    </w:rPr>
                    <w:t>渗透系数≤1.0×10</w:t>
                  </w:r>
                  <w:r>
                    <w:rPr>
                      <w:color w:val="000000" w:themeColor="text1"/>
                      <w:kern w:val="0"/>
                      <w:sz w:val="21"/>
                      <w:szCs w:val="21"/>
                      <w:highlight w:val="none"/>
                      <w:vertAlign w:val="superscript"/>
                      <w:lang w:bidi="ar"/>
                      <w14:textFill>
                        <w14:solidFill>
                          <w14:schemeClr w14:val="tx1"/>
                        </w14:solidFill>
                      </w14:textFill>
                    </w:rPr>
                    <w:t>-5</w:t>
                  </w:r>
                  <w:r>
                    <w:rPr>
                      <w:rFonts w:hint="eastAsia"/>
                      <w:color w:val="000000" w:themeColor="text1"/>
                      <w:kern w:val="0"/>
                      <w:sz w:val="21"/>
                      <w:szCs w:val="21"/>
                      <w:highlight w:val="none"/>
                      <w:lang w:bidi="ar"/>
                      <w14:textFill>
                        <w14:solidFill>
                          <w14:schemeClr w14:val="tx1"/>
                        </w14:solidFill>
                      </w14:textFill>
                    </w:rPr>
                    <w:t>cm/s，且厚度</w:t>
                  </w:r>
                  <w:r>
                    <w:rPr>
                      <w:color w:val="000000" w:themeColor="text1"/>
                      <w:kern w:val="0"/>
                      <w:sz w:val="21"/>
                      <w:szCs w:val="21"/>
                      <w:highlight w:val="none"/>
                      <w:lang w:bidi="ar"/>
                      <w14:textFill>
                        <w14:solidFill>
                          <w14:schemeClr w14:val="tx1"/>
                        </w14:solidFill>
                      </w14:textFill>
                    </w:rPr>
                    <w:t>≥0.75m时，可采用天然</w:t>
                  </w:r>
                  <w:r>
                    <w:rPr>
                      <w:rFonts w:hint="eastAsia"/>
                      <w:color w:val="000000" w:themeColor="text1"/>
                      <w:kern w:val="0"/>
                      <w:sz w:val="21"/>
                      <w:szCs w:val="21"/>
                      <w:highlight w:val="none"/>
                      <w:lang w:bidi="ar"/>
                      <w14:textFill>
                        <w14:solidFill>
                          <w14:schemeClr w14:val="tx1"/>
                        </w14:solidFill>
                      </w14:textFill>
                    </w:rPr>
                    <w:t>基础层作为防渗衬层。当天然基础层不满足上述防渗要求时，应采用改性压实粘土类衬层或具有同等以上隔水效力的其他材料防渗衬层，其防渗性能应至少相当于渗透系数为1.0×10</w:t>
                  </w:r>
                  <w:r>
                    <w:rPr>
                      <w:color w:val="000000" w:themeColor="text1"/>
                      <w:kern w:val="0"/>
                      <w:sz w:val="21"/>
                      <w:szCs w:val="21"/>
                      <w:highlight w:val="none"/>
                      <w:vertAlign w:val="superscript"/>
                      <w:lang w:bidi="ar"/>
                      <w14:textFill>
                        <w14:solidFill>
                          <w14:schemeClr w14:val="tx1"/>
                        </w14:solidFill>
                      </w14:textFill>
                    </w:rPr>
                    <w:t>-5</w:t>
                  </w:r>
                  <w:r>
                    <w:rPr>
                      <w:rFonts w:hint="eastAsia"/>
                      <w:color w:val="000000" w:themeColor="text1"/>
                      <w:kern w:val="0"/>
                      <w:sz w:val="21"/>
                      <w:szCs w:val="21"/>
                      <w:highlight w:val="none"/>
                      <w:lang w:bidi="ar"/>
                      <w14:textFill>
                        <w14:solidFill>
                          <w14:schemeClr w14:val="tx1"/>
                        </w14:solidFill>
                      </w14:textFill>
                    </w:rPr>
                    <w:t>cm/s，且厚度为0.75m的天然基础层。</w:t>
                  </w:r>
                </w:p>
              </w:tc>
              <w:tc>
                <w:tcPr>
                  <w:tcW w:w="1850" w:type="pct"/>
                  <w:vAlign w:val="center"/>
                </w:tcPr>
                <w:p w14:paraId="509D42D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根据项目堆填设计，项目区渗透系数平均值为</w:t>
                  </w:r>
                  <w:r>
                    <w:rPr>
                      <w:rFonts w:hint="eastAsia"/>
                      <w:color w:val="000000" w:themeColor="text1"/>
                      <w:kern w:val="0"/>
                      <w:sz w:val="21"/>
                      <w:szCs w:val="21"/>
                      <w:highlight w:val="none"/>
                      <w:lang w:val="en-US" w:eastAsia="zh-CN" w:bidi="ar"/>
                      <w14:textFill>
                        <w14:solidFill>
                          <w14:schemeClr w14:val="tx1"/>
                        </w14:solidFill>
                      </w14:textFill>
                    </w:rPr>
                    <w:t>6.02</w:t>
                  </w:r>
                  <w:r>
                    <w:rPr>
                      <w:rFonts w:hint="eastAsia"/>
                      <w:color w:val="000000" w:themeColor="text1"/>
                      <w:kern w:val="0"/>
                      <w:sz w:val="21"/>
                      <w:szCs w:val="21"/>
                      <w:highlight w:val="none"/>
                      <w:lang w:bidi="ar"/>
                      <w14:textFill>
                        <w14:solidFill>
                          <w14:schemeClr w14:val="tx1"/>
                        </w14:solidFill>
                      </w14:textFill>
                    </w:rPr>
                    <w:t>×10</w:t>
                  </w:r>
                  <w:r>
                    <w:rPr>
                      <w:rFonts w:hint="eastAsia"/>
                      <w:color w:val="000000" w:themeColor="text1"/>
                      <w:kern w:val="0"/>
                      <w:sz w:val="21"/>
                      <w:szCs w:val="21"/>
                      <w:highlight w:val="none"/>
                      <w:vertAlign w:val="superscript"/>
                      <w:lang w:bidi="ar"/>
                      <w14:textFill>
                        <w14:solidFill>
                          <w14:schemeClr w14:val="tx1"/>
                        </w14:solidFill>
                      </w14:textFill>
                    </w:rPr>
                    <w:t>-</w:t>
                  </w:r>
                  <w:r>
                    <w:rPr>
                      <w:rFonts w:hint="eastAsia"/>
                      <w:color w:val="000000" w:themeColor="text1"/>
                      <w:kern w:val="0"/>
                      <w:sz w:val="21"/>
                      <w:szCs w:val="21"/>
                      <w:highlight w:val="none"/>
                      <w:vertAlign w:val="superscript"/>
                      <w:lang w:val="en-US" w:eastAsia="zh-CN" w:bidi="ar"/>
                      <w14:textFill>
                        <w14:solidFill>
                          <w14:schemeClr w14:val="tx1"/>
                        </w14:solidFill>
                      </w14:textFill>
                    </w:rPr>
                    <w:t>4</w:t>
                  </w:r>
                  <w:r>
                    <w:rPr>
                      <w:rFonts w:hint="eastAsia"/>
                      <w:color w:val="000000" w:themeColor="text1"/>
                      <w:kern w:val="0"/>
                      <w:sz w:val="21"/>
                      <w:szCs w:val="21"/>
                      <w:highlight w:val="none"/>
                      <w:lang w:bidi="ar"/>
                      <w14:textFill>
                        <w14:solidFill>
                          <w14:schemeClr w14:val="tx1"/>
                        </w14:solidFill>
                      </w14:textFill>
                    </w:rPr>
                    <w:t>cm/s，设计参照磷石膏堆存防渗要求对矿坑场底及岸坡进行全防渗处置。底部及岸坡防渗层结构为在场地整平后，铺0.75m厚黏土层，然后依次铺设聚酯长丝土工布，HDPE防渗膜（渗透系数≤1.0×10</w:t>
                  </w:r>
                  <w:r>
                    <w:rPr>
                      <w:rFonts w:hint="eastAsia"/>
                      <w:color w:val="000000" w:themeColor="text1"/>
                      <w:kern w:val="0"/>
                      <w:sz w:val="21"/>
                      <w:szCs w:val="21"/>
                      <w:highlight w:val="none"/>
                      <w:vertAlign w:val="superscript"/>
                      <w:lang w:bidi="ar"/>
                      <w14:textFill>
                        <w14:solidFill>
                          <w14:schemeClr w14:val="tx1"/>
                        </w14:solidFill>
                      </w14:textFill>
                    </w:rPr>
                    <w:t>-7</w:t>
                  </w:r>
                  <w:r>
                    <w:rPr>
                      <w:rFonts w:hint="eastAsia"/>
                      <w:color w:val="000000" w:themeColor="text1"/>
                      <w:kern w:val="0"/>
                      <w:sz w:val="21"/>
                      <w:szCs w:val="21"/>
                      <w:highlight w:val="none"/>
                      <w:lang w:bidi="ar"/>
                      <w14:textFill>
                        <w14:solidFill>
                          <w14:schemeClr w14:val="tx1"/>
                        </w14:solidFill>
                      </w14:textFill>
                    </w:rPr>
                    <w:t>cm/s），聚酯长丝土工布防渗层。通过设置人工防渗系统将场地基底及岸坡与磷石膏基新型材料产品完全隔离，以达到防渗要求。</w:t>
                  </w:r>
                </w:p>
              </w:tc>
              <w:tc>
                <w:tcPr>
                  <w:tcW w:w="276" w:type="pct"/>
                  <w:vAlign w:val="center"/>
                </w:tcPr>
                <w:p w14:paraId="3C1A96CA">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EED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8540F4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回填区域应设置渗漏监控系统，监控防渗衬层的完整性</w:t>
                  </w:r>
                </w:p>
              </w:tc>
              <w:tc>
                <w:tcPr>
                  <w:tcW w:w="1850" w:type="pct"/>
                  <w:vAlign w:val="center"/>
                </w:tcPr>
                <w:p w14:paraId="6BDB0F0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项目回填区域将设置渗漏监控，符合相关要求。</w:t>
                  </w:r>
                </w:p>
              </w:tc>
              <w:tc>
                <w:tcPr>
                  <w:tcW w:w="276" w:type="pct"/>
                  <w:vAlign w:val="center"/>
                </w:tcPr>
                <w:p w14:paraId="4DDD5404">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D39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25FFB117">
                  <w:pPr>
                    <w:pStyle w:val="64"/>
                    <w:spacing w:beforeLines="0" w:afterLines="0" w:line="240" w:lineRule="auto"/>
                    <w:ind w:firstLine="0" w:firstLineChars="0"/>
                    <w:rPr>
                      <w:rFonts w:ascii="Times New Roman"/>
                      <w:b/>
                      <w:bCs/>
                      <w:color w:val="000000" w:themeColor="text1"/>
                      <w:sz w:val="21"/>
                      <w:highlight w:val="none"/>
                      <w14:textFill>
                        <w14:solidFill>
                          <w14:schemeClr w14:val="tx1"/>
                        </w14:solidFill>
                      </w14:textFill>
                    </w:rPr>
                  </w:pPr>
                  <w:r>
                    <w:rPr>
                      <w:rFonts w:hint="eastAsia" w:ascii="Times New Roman"/>
                      <w:b/>
                      <w:bCs/>
                      <w:color w:val="000000" w:themeColor="text1"/>
                      <w:sz w:val="21"/>
                      <w:highlight w:val="none"/>
                      <w:lang w:bidi="ar"/>
                      <w14:textFill>
                        <w14:solidFill>
                          <w14:schemeClr w14:val="tx1"/>
                        </w14:solidFill>
                      </w14:textFill>
                    </w:rPr>
                    <w:t>生态修复要求</w:t>
                  </w:r>
                </w:p>
              </w:tc>
            </w:tr>
            <w:tr w14:paraId="1B64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020DCF0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土地复垦要求</w:t>
                  </w:r>
                </w:p>
                <w:p w14:paraId="66CAE6C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依据当地地形条件、水资源及表土资源等自然环境条件和社会发展需求并按照相关规定进行土地复垦。土地复垦实施过程应满足TD/T 1036规定的相关土地复垦质量控制要求。土地复垦后开发利用的，应符合GB 15618和GB 36600相应规划用途的土壤环境质量要求。</w:t>
                  </w:r>
                </w:p>
              </w:tc>
              <w:tc>
                <w:tcPr>
                  <w:tcW w:w="1850" w:type="pct"/>
                  <w:vAlign w:val="center"/>
                </w:tcPr>
                <w:p w14:paraId="1104277B">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项目修复完成后，按照《土地复垦质量控制标准》（TD/T1036）规定开展土地复垦，对入场耕植土进行监测，质量满足《土壤环境质量农用地土壤污染风险管控标准（试行）》（</w:t>
                  </w:r>
                  <w:r>
                    <w:rPr>
                      <w:rFonts w:ascii="Times New Roman"/>
                      <w:b w:val="0"/>
                      <w:bCs/>
                      <w:color w:val="000000" w:themeColor="text1"/>
                      <w:sz w:val="21"/>
                      <w:highlight w:val="none"/>
                      <w14:textFill>
                        <w14:solidFill>
                          <w14:schemeClr w14:val="tx1"/>
                        </w14:solidFill>
                      </w14:textFill>
                    </w:rPr>
                    <w:t>GB15618-2018</w:t>
                  </w:r>
                  <w:r>
                    <w:rPr>
                      <w:rFonts w:hint="eastAsia" w:ascii="Times New Roman"/>
                      <w:b w:val="0"/>
                      <w:bCs/>
                      <w:color w:val="000000" w:themeColor="text1"/>
                      <w:sz w:val="21"/>
                      <w:highlight w:val="none"/>
                      <w14:textFill>
                        <w14:solidFill>
                          <w14:schemeClr w14:val="tx1"/>
                        </w14:solidFill>
                      </w14:textFill>
                    </w:rPr>
                    <w:t>）相关标准限值要求方可入场。</w:t>
                  </w:r>
                </w:p>
              </w:tc>
              <w:tc>
                <w:tcPr>
                  <w:tcW w:w="276" w:type="pct"/>
                  <w:vAlign w:val="center"/>
                </w:tcPr>
                <w:p w14:paraId="676B533A">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满足</w:t>
                  </w:r>
                </w:p>
              </w:tc>
            </w:tr>
            <w:tr w14:paraId="27DC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03E9E83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植被恢复要求</w:t>
                  </w:r>
                </w:p>
                <w:p w14:paraId="3F7E25D3">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植被恢复设计</w:t>
                  </w:r>
                  <w:r>
                    <w:rPr>
                      <w:rFonts w:hint="eastAsia"/>
                      <w:color w:val="000000" w:themeColor="text1"/>
                      <w:kern w:val="0"/>
                      <w:sz w:val="21"/>
                      <w:szCs w:val="21"/>
                      <w:highlight w:val="none"/>
                      <w:lang w:bidi="ar"/>
                      <w14:textFill>
                        <w14:solidFill>
                          <w14:schemeClr w14:val="tx1"/>
                        </w14:solidFill>
                      </w14:textFill>
                    </w:rPr>
                    <w:t>应</w:t>
                  </w:r>
                  <w:r>
                    <w:rPr>
                      <w:color w:val="000000" w:themeColor="text1"/>
                      <w:kern w:val="0"/>
                      <w:sz w:val="21"/>
                      <w:szCs w:val="21"/>
                      <w:highlight w:val="none"/>
                      <w:lang w:bidi="ar"/>
                      <w14:textFill>
                        <w14:solidFill>
                          <w14:schemeClr w14:val="tx1"/>
                        </w14:solidFill>
                      </w14:textFill>
                    </w:rPr>
                    <w:t>遵从立地条件与植物生态学特征相适应、乡土适生植物优先原则</w:t>
                  </w:r>
                  <w:r>
                    <w:rPr>
                      <w:rFonts w:hint="eastAsia"/>
                      <w:color w:val="000000" w:themeColor="text1"/>
                      <w:kern w:val="0"/>
                      <w:sz w:val="21"/>
                      <w:szCs w:val="21"/>
                      <w:highlight w:val="none"/>
                      <w:lang w:bidi="ar"/>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考虑植被适应性、结构布局合理性和物种多样性，优先使用原生表土及乡土物种，禁止引入对当地生物多样性造成威胁的外来植物种，重建与周边生态系统相协调的生态系统，最终形成可自然维持的生态系统。植被恢复设计应考虑土地利用类型、回填区与非回填区处理、坡度与边坡处理、水土保持和固土稳定等因素。</w:t>
                  </w:r>
                </w:p>
              </w:tc>
              <w:tc>
                <w:tcPr>
                  <w:tcW w:w="1850" w:type="pct"/>
                  <w:vAlign w:val="center"/>
                </w:tcPr>
                <w:p w14:paraId="657DF10F">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项目已经编制生态修复设计方案，按照方案要求进行植被恢复工作，项目植被种类选用冬樱花、三角梅、狗牙根等，均不属于外来物种。</w:t>
                  </w:r>
                </w:p>
              </w:tc>
              <w:tc>
                <w:tcPr>
                  <w:tcW w:w="276" w:type="pct"/>
                  <w:vAlign w:val="center"/>
                </w:tcPr>
                <w:p w14:paraId="2B95AB6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0146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5802DF8A">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污染控制要求</w:t>
                  </w:r>
                </w:p>
              </w:tc>
            </w:tr>
            <w:tr w14:paraId="0C6A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0C620C35">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应制定回填作业过程中的地下水、地表水、大气、噪声、固体废物、土壤等污染防治措施以及应急措施等，且应严格执行地下水水位控制、渗滤液收集、雨水截排、顶部阻隔等环境保护措施，防止回填过程对周边大气、地下水、地表水和土壤造成污染。</w:t>
                  </w:r>
                </w:p>
              </w:tc>
              <w:tc>
                <w:tcPr>
                  <w:tcW w:w="1850" w:type="pct"/>
                  <w:vAlign w:val="center"/>
                </w:tcPr>
                <w:p w14:paraId="287B0527">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本次评价对回填作业过程中的</w:t>
                  </w:r>
                  <w:r>
                    <w:rPr>
                      <w:rFonts w:hint="eastAsia" w:ascii="Times New Roman"/>
                      <w:b w:val="0"/>
                      <w:bCs/>
                      <w:color w:val="000000" w:themeColor="text1"/>
                      <w:sz w:val="21"/>
                      <w:highlight w:val="none"/>
                      <w:lang w:bidi="ar"/>
                      <w14:textFill>
                        <w14:solidFill>
                          <w14:schemeClr w14:val="tx1"/>
                        </w14:solidFill>
                      </w14:textFill>
                    </w:rPr>
                    <w:t>地下水、地表水、大气、噪声、固体废物、土壤等污染均提出防治措施，并且建设渗滤液收集、雨水截排等设施，项目回填完成后顶部采取两布一膜防渗措施。</w:t>
                  </w:r>
                </w:p>
              </w:tc>
              <w:tc>
                <w:tcPr>
                  <w:tcW w:w="276" w:type="pct"/>
                  <w:vAlign w:val="center"/>
                </w:tcPr>
                <w:p w14:paraId="12817B7B">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CAF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7916516E">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回填施工现场应设置收集设施，收集施工过程受雨水溶淋产生的淋滤水。淋滤水可用于回填区扬尘治理或满足GB8978的要求达标排放。</w:t>
                  </w:r>
                </w:p>
              </w:tc>
              <w:tc>
                <w:tcPr>
                  <w:tcW w:w="1850" w:type="pct"/>
                  <w:vAlign w:val="center"/>
                </w:tcPr>
                <w:p w14:paraId="683EDE42">
                  <w:pPr>
                    <w:pStyle w:val="64"/>
                    <w:adjustRightInd/>
                    <w:snapToGrid/>
                    <w:spacing w:beforeLines="0" w:afterLines="0" w:line="240" w:lineRule="auto"/>
                    <w:ind w:firstLine="0" w:firstLineChars="0"/>
                    <w:rPr>
                      <w:rFonts w:ascii="Times New Roman"/>
                      <w:b w:val="0"/>
                      <w:bCs/>
                      <w:color w:val="000000" w:themeColor="text1"/>
                      <w:sz w:val="21"/>
                      <w:highlight w:val="none"/>
                      <w14:textFill>
                        <w14:solidFill>
                          <w14:schemeClr w14:val="tx1"/>
                        </w14:solidFill>
                      </w14:textFill>
                    </w:rPr>
                  </w:pPr>
                  <w:r>
                    <w:rPr>
                      <w:rFonts w:hint="eastAsia" w:ascii="Times New Roman"/>
                      <w:b w:val="0"/>
                      <w:bCs/>
                      <w:color w:val="000000" w:themeColor="text1"/>
                      <w:sz w:val="21"/>
                      <w:highlight w:val="none"/>
                      <w14:textFill>
                        <w14:solidFill>
                          <w14:schemeClr w14:val="tx1"/>
                        </w14:solidFill>
                      </w14:textFill>
                    </w:rPr>
                    <w:t>项目设置渗滤液收集井用于收集渗滤液，收集后用于晴天回填区洒水降尘。</w:t>
                  </w:r>
                </w:p>
              </w:tc>
              <w:tc>
                <w:tcPr>
                  <w:tcW w:w="276" w:type="pct"/>
                  <w:vAlign w:val="center"/>
                </w:tcPr>
                <w:p w14:paraId="4EE184C9">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2FC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427238D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回填过程质量监测</w:t>
                  </w:r>
                </w:p>
              </w:tc>
            </w:tr>
            <w:tr w14:paraId="342D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4920DB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改性磷石膏的采样规则、检测要求如下：</w:t>
                  </w:r>
                </w:p>
                <w:p w14:paraId="4223D85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采样批次：回填规模≤300000T，以5000T改性磷石膏为一批次：300000T&lt;回填规模≤1000000T，以15000T改性磷石膏为一批次：回填规模&gt;1000000T，以30000T改性磷石膏为一批次。</w:t>
                  </w:r>
                </w:p>
                <w:p w14:paraId="742EDB9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采样方法：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w:t>
                  </w:r>
                </w:p>
                <w:p w14:paraId="44AC12B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c）检测要求：应对改性磷石膏浸出液进行检测，浸出方法按照HJ557，检测指标和要求按照环境影响评价文件。</w:t>
                  </w:r>
                </w:p>
              </w:tc>
              <w:tc>
                <w:tcPr>
                  <w:tcW w:w="1850" w:type="pct"/>
                  <w:vAlign w:val="center"/>
                </w:tcPr>
                <w:p w14:paraId="1856D9EA">
                  <w:pPr>
                    <w:widowControl/>
                    <w:adjustRightInd w:val="0"/>
                    <w:snapToGrid w:val="0"/>
                    <w:spacing w:line="240" w:lineRule="auto"/>
                    <w:ind w:firstLine="0" w:firstLineChars="0"/>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本项目改性磷石膏回填量</w:t>
                  </w:r>
                  <w:r>
                    <w:rPr>
                      <w:rFonts w:hint="eastAsia"/>
                      <w:color w:val="000000" w:themeColor="text1"/>
                      <w:kern w:val="0"/>
                      <w:sz w:val="21"/>
                      <w:szCs w:val="21"/>
                      <w:highlight w:val="none"/>
                      <w:lang w:val="en-US" w:eastAsia="zh-CN" w:bidi="ar"/>
                      <w14:textFill>
                        <w14:solidFill>
                          <w14:schemeClr w14:val="tx1"/>
                        </w14:solidFill>
                      </w14:textFill>
                    </w:rPr>
                    <w:t>约</w:t>
                  </w:r>
                  <w:r>
                    <w:rPr>
                      <w:rFonts w:hint="eastAsia"/>
                      <w:color w:val="000000" w:themeColor="text1"/>
                      <w:kern w:val="0"/>
                      <w:sz w:val="21"/>
                      <w:szCs w:val="21"/>
                      <w:highlight w:val="none"/>
                      <w:lang w:bidi="ar"/>
                      <w14:textFill>
                        <w14:solidFill>
                          <w14:schemeClr w14:val="tx1"/>
                        </w14:solidFill>
                      </w14:textFill>
                    </w:rPr>
                    <w:t>为</w:t>
                  </w:r>
                  <w:r>
                    <w:rPr>
                      <w:rFonts w:hint="eastAsia" w:cs="Times New Roman"/>
                      <w:color w:val="000000" w:themeColor="text1"/>
                      <w:kern w:val="0"/>
                      <w:sz w:val="21"/>
                      <w:szCs w:val="21"/>
                      <w:highlight w:val="none"/>
                      <w:lang w:val="en-US" w:eastAsia="zh-CN"/>
                      <w14:textFill>
                        <w14:solidFill>
                          <w14:schemeClr w14:val="tx1"/>
                        </w14:solidFill>
                      </w14:textFill>
                    </w:rPr>
                    <w:t>150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万吨</w:t>
                  </w:r>
                  <w:r>
                    <w:rPr>
                      <w:rFonts w:hint="eastAsia"/>
                      <w:color w:val="000000" w:themeColor="text1"/>
                      <w:kern w:val="0"/>
                      <w:sz w:val="21"/>
                      <w:szCs w:val="21"/>
                      <w:highlight w:val="none"/>
                      <w:lang w:bidi="ar"/>
                      <w14:textFill>
                        <w14:solidFill>
                          <w14:schemeClr w14:val="tx1"/>
                        </w14:solidFill>
                      </w14:textFill>
                    </w:rPr>
                    <w:t>，</w:t>
                  </w:r>
                  <w:r>
                    <w:rPr>
                      <w:rFonts w:hint="eastAsia"/>
                      <w:color w:val="000000" w:themeColor="text1"/>
                      <w:kern w:val="0"/>
                      <w:sz w:val="21"/>
                      <w:szCs w:val="21"/>
                      <w:highlight w:val="none"/>
                      <w:lang w:val="en-US" w:eastAsia="zh-CN" w:bidi="ar"/>
                      <w14:textFill>
                        <w14:solidFill>
                          <w14:schemeClr w14:val="tx1"/>
                        </w14:solidFill>
                      </w14:textFill>
                    </w:rPr>
                    <w:t>1500000</w:t>
                  </w:r>
                  <w:r>
                    <w:rPr>
                      <w:rFonts w:hint="eastAsia"/>
                      <w:color w:val="000000" w:themeColor="text1"/>
                      <w:kern w:val="0"/>
                      <w:sz w:val="21"/>
                      <w:szCs w:val="21"/>
                      <w:highlight w:val="none"/>
                      <w:lang w:bidi="ar"/>
                      <w14:textFill>
                        <w14:solidFill>
                          <w14:schemeClr w14:val="tx1"/>
                        </w14:solidFill>
                      </w14:textFill>
                    </w:rPr>
                    <w:t>T&gt;1000000T，以30000T改性磷石膏为一批次，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tc>
              <w:tc>
                <w:tcPr>
                  <w:tcW w:w="276" w:type="pct"/>
                  <w:vAlign w:val="center"/>
                </w:tcPr>
                <w:p w14:paraId="56F29AE8">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7D1E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545D772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回填过程土壤监测要求如下：</w:t>
                  </w:r>
                </w:p>
                <w:p w14:paraId="20B10EE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在矿山废弃地周边雨水易于汇流和积聚的区域以及矿山废弃地外主导风向的下风向区域布设土壤采样监测点，并根据环境风险评估结果，采集表层土壤样品。监测点位可使用5.4.2中已有监测点位或根据实际情况另行增设，表层土壤监测点位数量均不少于4个。</w:t>
                  </w:r>
                </w:p>
                <w:p w14:paraId="43947CF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b）土壤监测因子应根据场地环境质量本底情况及第7章提出，具有代表性且能表征磷石膏可能的污染特征。土壤监测因子的分析方法按GB36600或GB15618的规定执行。</w:t>
                  </w:r>
                </w:p>
                <w:p w14:paraId="328A140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c）土壤监测点的自行监测频次不少于每年1次。</w:t>
                  </w:r>
                </w:p>
              </w:tc>
              <w:tc>
                <w:tcPr>
                  <w:tcW w:w="1850" w:type="pct"/>
                  <w:vMerge w:val="restart"/>
                  <w:vAlign w:val="center"/>
                </w:tcPr>
                <w:p w14:paraId="762F084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项目已制定监测计划，详见表5-5。回填过程应严格落实监测计划，项目设置4个土壤监测</w:t>
                  </w:r>
                  <w:r>
                    <w:rPr>
                      <w:rFonts w:hint="eastAsia"/>
                      <w:color w:val="000000" w:themeColor="text1"/>
                      <w:kern w:val="0"/>
                      <w:sz w:val="21"/>
                      <w:szCs w:val="21"/>
                      <w:highlight w:val="none"/>
                      <w:lang w:val="en-US" w:eastAsia="zh-CN" w:bidi="ar"/>
                      <w14:textFill>
                        <w14:solidFill>
                          <w14:schemeClr w14:val="tx1"/>
                        </w14:solidFill>
                      </w14:textFill>
                    </w:rPr>
                    <w:t>点</w:t>
                  </w:r>
                  <w:r>
                    <w:rPr>
                      <w:color w:val="000000" w:themeColor="text1"/>
                      <w:kern w:val="0"/>
                      <w:sz w:val="21"/>
                      <w:szCs w:val="21"/>
                      <w:highlight w:val="none"/>
                      <w:lang w:bidi="ar"/>
                      <w14:textFill>
                        <w14:solidFill>
                          <w14:schemeClr w14:val="tx1"/>
                        </w14:solidFill>
                      </w14:textFill>
                    </w:rPr>
                    <w:t>。每年检测1次。运营期也需监测，每年1次，</w:t>
                  </w:r>
                  <w:r>
                    <w:rPr>
                      <w:color w:val="000000" w:themeColor="text1"/>
                      <w:sz w:val="21"/>
                      <w:szCs w:val="21"/>
                      <w:highlight w:val="none"/>
                      <w14:textFill>
                        <w14:solidFill>
                          <w14:schemeClr w14:val="tx1"/>
                        </w14:solidFill>
                      </w14:textFill>
                    </w:rPr>
                    <w:t>直到相关指标连续3年内，年均检测指标持续稳定，特征指标不呈上升趋势。</w:t>
                  </w:r>
                  <w:r>
                    <w:rPr>
                      <w:rFonts w:hint="eastAsia"/>
                      <w:color w:val="000000" w:themeColor="text1"/>
                      <w:sz w:val="21"/>
                      <w:szCs w:val="21"/>
                      <w:highlight w:val="none"/>
                      <w14:textFill>
                        <w14:solidFill>
                          <w14:schemeClr w14:val="tx1"/>
                        </w14:solidFill>
                      </w14:textFill>
                    </w:rPr>
                    <w:t>本次评价共设置</w:t>
                  </w:r>
                  <w:r>
                    <w:rPr>
                      <w:rFonts w:hint="eastAsia" w:ascii="宋体" w:hAnsi="宋体"/>
                      <w:color w:val="000000" w:themeColor="text1"/>
                      <w:kern w:val="0"/>
                      <w:sz w:val="21"/>
                      <w:szCs w:val="21"/>
                      <w:highlight w:val="none"/>
                      <w:lang w:val="en-US" w:eastAsia="zh-CN"/>
                      <w14:textFill>
                        <w14:solidFill>
                          <w14:schemeClr w14:val="tx1"/>
                        </w14:solidFill>
                      </w14:textFill>
                    </w:rPr>
                    <w:t>6</w:t>
                  </w:r>
                  <w:r>
                    <w:rPr>
                      <w:rFonts w:ascii="宋体" w:hAnsi="宋体"/>
                      <w:color w:val="000000" w:themeColor="text1"/>
                      <w:kern w:val="0"/>
                      <w:sz w:val="21"/>
                      <w:szCs w:val="21"/>
                      <w:highlight w:val="none"/>
                      <w14:textFill>
                        <w14:solidFill>
                          <w14:schemeClr w14:val="tx1"/>
                        </w14:solidFill>
                      </w14:textFill>
                    </w:rPr>
                    <w:t>口地下水</w:t>
                  </w:r>
                  <w:r>
                    <w:rPr>
                      <w:rFonts w:hint="eastAsia" w:ascii="宋体" w:hAnsi="宋体"/>
                      <w:color w:val="000000" w:themeColor="text1"/>
                      <w:kern w:val="0"/>
                      <w:sz w:val="21"/>
                      <w:szCs w:val="21"/>
                      <w:highlight w:val="none"/>
                      <w:lang w:val="en-US" w:eastAsia="zh-CN"/>
                      <w14:textFill>
                        <w14:solidFill>
                          <w14:schemeClr w14:val="tx1"/>
                        </w14:solidFill>
                      </w14:textFill>
                    </w:rPr>
                    <w:t>跟踪监控井</w:t>
                  </w:r>
                  <w:r>
                    <w:rPr>
                      <w:rFonts w:hint="eastAsia" w:ascii="宋体" w:hAnsi="宋体"/>
                      <w:color w:val="000000" w:themeColor="text1"/>
                      <w:kern w:val="0"/>
                      <w:sz w:val="21"/>
                      <w:szCs w:val="21"/>
                      <w:highlight w:val="none"/>
                      <w:lang w:eastAsia="zh-CN"/>
                      <w14:textFill>
                        <w14:solidFill>
                          <w14:schemeClr w14:val="tx1"/>
                        </w14:solidFill>
                      </w14:textFill>
                    </w:rPr>
                    <w:t>，</w:t>
                  </w:r>
                  <w:r>
                    <w:rPr>
                      <w:rFonts w:hint="eastAsia" w:ascii="宋体" w:hAnsi="宋体"/>
                      <w:color w:val="000000" w:themeColor="text1"/>
                      <w:kern w:val="0"/>
                      <w:sz w:val="21"/>
                      <w:szCs w:val="21"/>
                      <w:highlight w:val="none"/>
                      <w:lang w:val="en-US" w:eastAsia="zh-CN"/>
                      <w14:textFill>
                        <w14:solidFill>
                          <w14:schemeClr w14:val="tx1"/>
                        </w14:solidFill>
                      </w14:textFill>
                    </w:rPr>
                    <w:t>1口地下水收集井</w:t>
                  </w:r>
                  <w:r>
                    <w:rPr>
                      <w:rFonts w:hint="eastAsia"/>
                      <w:color w:val="000000" w:themeColor="text1"/>
                      <w:kern w:val="0"/>
                      <w:sz w:val="21"/>
                      <w:szCs w:val="21"/>
                      <w:highlight w:val="none"/>
                      <w:lang w:bidi="ar"/>
                      <w14:textFill>
                        <w14:solidFill>
                          <w14:schemeClr w14:val="tx1"/>
                        </w14:solidFill>
                      </w14:textFill>
                    </w:rPr>
                    <w:t>。</w:t>
                  </w:r>
                  <w:r>
                    <w:rPr>
                      <w:color w:val="000000" w:themeColor="text1"/>
                      <w:sz w:val="21"/>
                      <w:szCs w:val="21"/>
                      <w:highlight w:val="none"/>
                      <w14:textFill>
                        <w14:solidFill>
                          <w14:schemeClr w14:val="tx1"/>
                        </w14:solidFill>
                      </w14:textFill>
                    </w:rPr>
                    <w:t>施工期每年在丰水期、枯水期各监测一次，运营期每年在丰水期、枯水期各监测一次，直到相关指标连续3年内，年均检测指标持续稳定，特征指标不呈上升趋势。</w:t>
                  </w:r>
                </w:p>
              </w:tc>
              <w:tc>
                <w:tcPr>
                  <w:tcW w:w="276" w:type="pct"/>
                  <w:vMerge w:val="restart"/>
                  <w:vAlign w:val="center"/>
                </w:tcPr>
                <w:p w14:paraId="055DDE1F">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6080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285BF32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回填过程地下水监测要求如下：</w:t>
                  </w:r>
                </w:p>
                <w:p w14:paraId="6A8AF7D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回填区所在相对水文地质单元潜水含水层水质监测点应不少于3个，可能受建设项目影响的含水层1～2个。回填区上游及下游影响区的地下水水质监测点各不得少于1个；在包气带厚度超过100m的地区或监测井较难布置的基岩山区，可视情况调整数量，并说明调整理由。</w:t>
                  </w:r>
                </w:p>
                <w:p w14:paraId="70534F3E">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b）地下水常规测定项目应至少包括：氟化物、pH、氯化物、硫酸盐、硝酸盐、亚硝酸盐、铜、锌、汞、砷、硒、镉、铬、铅等监测指标以及改性磷石膏的特征污染物。</w:t>
                  </w:r>
                </w:p>
                <w:p w14:paraId="4713F0B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c）地下水每年在丰、枯水期各监测1次。如监测结果出现异常，应及时进行重新监测，间隔时间不得超过1个月。</w:t>
                  </w:r>
                </w:p>
              </w:tc>
              <w:tc>
                <w:tcPr>
                  <w:tcW w:w="1850" w:type="pct"/>
                  <w:vMerge w:val="continue"/>
                  <w:vAlign w:val="center"/>
                </w:tcPr>
                <w:p w14:paraId="630570D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62C5FCCE">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16FD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38F6378C">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回填过程地表水监测要求如下：</w:t>
                  </w:r>
                </w:p>
                <w:p w14:paraId="58BDCFD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a）对于存在影响地表水的回填项目，应按照HJ819要求，确定地表水监测点位。</w:t>
                  </w:r>
                </w:p>
                <w:p w14:paraId="04DB977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根据GB3838及第7章确定监测指标。监测点位和采样具体要求与5.4.4中要求保持一致。c）监测频次为季度性监测，对于周边存在地表水环境敏感区域或目标的，还需要增加监测频次。如监测结果出现异常，应及时进行重新监测，间隔时间不得超过1个月。</w:t>
                  </w:r>
                </w:p>
              </w:tc>
              <w:tc>
                <w:tcPr>
                  <w:tcW w:w="1850" w:type="pct"/>
                  <w:vMerge w:val="continue"/>
                  <w:vAlign w:val="center"/>
                </w:tcPr>
                <w:p w14:paraId="774D9B3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7747C280">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3129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918F75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回填过程淋滤水监测要求如下：</w:t>
                  </w:r>
                </w:p>
                <w:p w14:paraId="6DD5F4A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a）回填过程中，对淋滤水等进行收集，并根据GB 8978及第7章确定监测指标。</w:t>
                  </w:r>
                </w:p>
                <w:p w14:paraId="4418D83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b）监测频次为季度性监测。</w:t>
                  </w:r>
                </w:p>
              </w:tc>
              <w:tc>
                <w:tcPr>
                  <w:tcW w:w="1850" w:type="pct"/>
                  <w:vMerge w:val="continue"/>
                  <w:vAlign w:val="center"/>
                </w:tcPr>
                <w:p w14:paraId="082C369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2337DD15">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2386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70A7E1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回填过程大气监测要求如下：</w:t>
                  </w:r>
                </w:p>
                <w:p w14:paraId="0892EA8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a）采样点布设、采样及分析方法按 GB 16297的规定执行，污染源下风方向应为主要监测范围。</w:t>
                  </w:r>
                </w:p>
                <w:p w14:paraId="073C182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b）无组织气体排放常规监测因子应至少包括颗粒物等。</w:t>
                  </w:r>
                </w:p>
                <w:p w14:paraId="27778B9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c）监测频次不少于每季度1次。如监测结果出现异常，应及时进行重新监测，间隔时间不得超过1周。</w:t>
                  </w:r>
                </w:p>
              </w:tc>
              <w:tc>
                <w:tcPr>
                  <w:tcW w:w="1850" w:type="pct"/>
                  <w:vMerge w:val="continue"/>
                  <w:vAlign w:val="center"/>
                </w:tcPr>
                <w:p w14:paraId="3032667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18919177">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2332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6F318DA3">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回填过程噪声监测要求如下：</w:t>
                  </w:r>
                </w:p>
                <w:p w14:paraId="5B13A6F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a）回填作业期间的噪声测量方法及环境噪声排放限值按照GB12523的规定执行。</w:t>
                  </w:r>
                </w:p>
                <w:p w14:paraId="1BF847C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b）监测频次不少于每季度1次。</w:t>
                  </w:r>
                </w:p>
              </w:tc>
              <w:tc>
                <w:tcPr>
                  <w:tcW w:w="1850" w:type="pct"/>
                  <w:vMerge w:val="continue"/>
                  <w:vAlign w:val="center"/>
                </w:tcPr>
                <w:p w14:paraId="1EE6DAD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196718E5">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23A8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6C8B1D25">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生态环境质量监测要求</w:t>
                  </w:r>
                </w:p>
                <w:p w14:paraId="2FE9FF9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生态修复后，工程区域土壤质量监测按照12.2.3执行、地下水质量监测按照12.2.4执行、地表水质量监测按照12.2.5执行，直到相关指标连续3年内，年均检测指标持续稳定，特征指标不呈上升趋势。当发现年均监测指标呈上升趋势，应当采取相应的对策措施。</w:t>
                  </w:r>
                </w:p>
              </w:tc>
              <w:tc>
                <w:tcPr>
                  <w:tcW w:w="1850" w:type="pct"/>
                  <w:vMerge w:val="continue"/>
                  <w:vAlign w:val="center"/>
                </w:tcPr>
                <w:p w14:paraId="3EFF141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5AB317E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bl>
          <w:p w14:paraId="0BE9C620">
            <w:pPr>
              <w:pStyle w:val="2"/>
              <w:ind w:firstLine="480"/>
              <w:rPr>
                <w:color w:val="000000" w:themeColor="text1"/>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综上，项目建设符合《改性磷石膏用于矿山废弃地生态修复回填技术规范》（DB53/T1269-2024）要求。</w:t>
            </w:r>
          </w:p>
          <w:p w14:paraId="22627BCA">
            <w:pPr>
              <w:pStyle w:val="37"/>
              <w:adjustRightInd w:val="0"/>
              <w:snapToGrid w:val="0"/>
              <w:spacing w:before="0" w:beforeAutospacing="0" w:after="0" w:afterAutospacing="0"/>
              <w:ind w:firstLine="482"/>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b/>
                <w:bCs/>
                <w:color w:val="000000" w:themeColor="text1"/>
                <w:highlight w:val="none"/>
                <w:lang w:bidi="ar"/>
                <w14:textFill>
                  <w14:solidFill>
                    <w14:schemeClr w14:val="tx1"/>
                  </w14:solidFill>
                </w14:textFill>
              </w:rPr>
              <w:t>20、与昆明市改性磷石膏综合利用相关规范符合性分析</w:t>
            </w:r>
          </w:p>
          <w:p w14:paraId="3733B6C5">
            <w:pPr>
              <w:widowControl/>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表1-12  项目与昆明市改性磷石膏综合利用相关规范符合性分析</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3"/>
              <w:gridCol w:w="3669"/>
              <w:gridCol w:w="441"/>
            </w:tblGrid>
            <w:tr w14:paraId="2A91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45" w:type="pct"/>
                  <w:vAlign w:val="center"/>
                </w:tcPr>
                <w:p w14:paraId="55F77ADB">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规范要求</w:t>
                  </w:r>
                </w:p>
              </w:tc>
              <w:tc>
                <w:tcPr>
                  <w:tcW w:w="2281" w:type="pct"/>
                  <w:vAlign w:val="center"/>
                </w:tcPr>
                <w:p w14:paraId="123114DA">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72" w:type="pct"/>
                  <w:vAlign w:val="center"/>
                </w:tcPr>
                <w:p w14:paraId="7FF9BB3E">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3AB4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00" w:type="pct"/>
                  <w:gridSpan w:val="3"/>
                  <w:vAlign w:val="center"/>
                </w:tcPr>
                <w:p w14:paraId="2279EE36">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改性磷石膏综合利用  矿山生态修复过程环境监管规范</w:t>
                  </w:r>
                </w:p>
              </w:tc>
            </w:tr>
            <w:tr w14:paraId="3174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000" w:type="pct"/>
                  <w:gridSpan w:val="3"/>
                  <w:vAlign w:val="center"/>
                </w:tcPr>
                <w:p w14:paraId="31B615EF">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入场管理</w:t>
                  </w:r>
                </w:p>
              </w:tc>
            </w:tr>
            <w:tr w14:paraId="35BA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52938C71">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改性磷石膏的质量特性应满足DB5301/T98-2023中4.2的规定</w:t>
                  </w:r>
                </w:p>
              </w:tc>
              <w:tc>
                <w:tcPr>
                  <w:tcW w:w="2281" w:type="pct"/>
                  <w:vAlign w:val="center"/>
                </w:tcPr>
                <w:p w14:paraId="017FAE1C">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项目要求改性磷石膏生态修复材料需经检测满足相关规定</w:t>
                  </w:r>
                </w:p>
              </w:tc>
              <w:tc>
                <w:tcPr>
                  <w:tcW w:w="272" w:type="pct"/>
                  <w:vAlign w:val="center"/>
                </w:tcPr>
                <w:p w14:paraId="1A472098">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462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4414287F">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lang w:bidi="ar"/>
                      <w14:textFill>
                        <w14:solidFill>
                          <w14:schemeClr w14:val="tx1"/>
                        </w14:solidFill>
                      </w14:textFill>
                    </w:rPr>
                    <w:t>改性磷石膏综合利用  矿山生态修复环境风险评估规范</w:t>
                  </w:r>
                </w:p>
              </w:tc>
            </w:tr>
            <w:tr w14:paraId="22F9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5CF31FB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对改性磷石膏用于露天开采矿山生态修复项目选址、环境现状和环境风险进行评估，提出项目实施对土壤、地表水、地下水环境和风险受体存在的风险，为改性磷石膏用于露天开采矿山生态修复的生态环境可接受性提供技术依据。</w:t>
                  </w:r>
                </w:p>
              </w:tc>
              <w:tc>
                <w:tcPr>
                  <w:tcW w:w="2281" w:type="pct"/>
                  <w:vAlign w:val="center"/>
                </w:tcPr>
                <w:p w14:paraId="76150194">
                  <w:pPr>
                    <w:widowControl/>
                    <w:tabs>
                      <w:tab w:val="left" w:pos="1440"/>
                    </w:tabs>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本项目已经根据规范要求编制了环境风险评估报告并于2025年</w:t>
                  </w:r>
                  <w:r>
                    <w:rPr>
                      <w:rFonts w:hint="eastAsia"/>
                      <w:color w:val="000000" w:themeColor="text1"/>
                      <w:kern w:val="0"/>
                      <w:sz w:val="21"/>
                      <w:szCs w:val="21"/>
                      <w:highlight w:val="none"/>
                      <w:lang w:val="en-US" w:eastAsia="zh-CN" w:bidi="ar"/>
                      <w14:textFill>
                        <w14:solidFill>
                          <w14:schemeClr w14:val="tx1"/>
                        </w14:solidFill>
                      </w14:textFill>
                    </w:rPr>
                    <w:t>12</w:t>
                  </w:r>
                  <w:r>
                    <w:rPr>
                      <w:rFonts w:hint="eastAsia"/>
                      <w:color w:val="000000" w:themeColor="text1"/>
                      <w:kern w:val="0"/>
                      <w:sz w:val="21"/>
                      <w:szCs w:val="21"/>
                      <w:highlight w:val="none"/>
                      <w:lang w:bidi="ar"/>
                      <w14:textFill>
                        <w14:solidFill>
                          <w14:schemeClr w14:val="tx1"/>
                        </w14:solidFill>
                      </w14:textFill>
                    </w:rPr>
                    <w:t>月通过专家评审会，取得评审意见。根据《</w:t>
                  </w:r>
                  <w:r>
                    <w:rPr>
                      <w:rFonts w:hint="eastAsia"/>
                      <w:color w:val="000000" w:themeColor="text1"/>
                      <w:kern w:val="0"/>
                      <w:sz w:val="21"/>
                      <w:szCs w:val="21"/>
                      <w:highlight w:val="none"/>
                      <w:lang w:eastAsia="zh-CN" w:bidi="ar"/>
                      <w14:textFill>
                        <w14:solidFill>
                          <w14:schemeClr w14:val="tx1"/>
                        </w14:solidFill>
                      </w14:textFill>
                    </w:rPr>
                    <w:t>寻甸县常青树磷石膏库综合治理项目（塘子镇钟灵村委会令友采石场生态修复工程）</w:t>
                  </w:r>
                  <w:r>
                    <w:rPr>
                      <w:rFonts w:hint="eastAsia"/>
                      <w:color w:val="000000" w:themeColor="text1"/>
                      <w:kern w:val="0"/>
                      <w:sz w:val="21"/>
                      <w:szCs w:val="21"/>
                      <w:highlight w:val="none"/>
                      <w:lang w:bidi="ar"/>
                      <w14:textFill>
                        <w14:solidFill>
                          <w14:schemeClr w14:val="tx1"/>
                        </w14:solidFill>
                      </w14:textFill>
                    </w:rPr>
                    <w:t>》可知，项目实施后对区域生态环境恢复以及对提高区域改性磷石膏基生态修复材料综合利用率具有积极作用。项目选址符合环境保护法律法规及相关法定规划的要求，与该区域生态环境保护、矿山生态修复计划、水土资源保持目标相一致。项目区及周边环境质量良好，在采取相关措施后，项目渗滤液泄漏的概率很低，对引起土壤氟化物污染的风险较低。项目实施后，林草植被覆盖率的增加，能改善土壤物理、化学性状，提高土壤肥力，项目实施对该区域土壤结构改善有积极意义。对施工废水以及渗滤液进行收集，收集设施与项目区做好防渗后，对周边区域地表水、地下水影响较小。项目实施对项目区土壤、地下水、地表水环境和风险受体存在的风险可接受，项目实施可行，建设单位应该认真按照设计方案进行施工建设，并认真委托专业单位开展施工监理工作，生态修复回填作业过程中定期对回填完毕台阶和截排水沟进行巡检，根据应急预案做好各项风险防范措施，完善管理制度，项目环境风险可控。</w:t>
                  </w:r>
                </w:p>
              </w:tc>
              <w:tc>
                <w:tcPr>
                  <w:tcW w:w="272" w:type="pct"/>
                  <w:vAlign w:val="center"/>
                </w:tcPr>
                <w:p w14:paraId="1EEA70E5">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42BA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63E7AF83">
                  <w:pPr>
                    <w:widowControl/>
                    <w:adjustRightInd w:val="0"/>
                    <w:snapToGrid w:val="0"/>
                    <w:spacing w:line="240" w:lineRule="auto"/>
                    <w:ind w:firstLine="0" w:firstLineChars="0"/>
                    <w:rPr>
                      <w:color w:val="000000" w:themeColor="text1"/>
                      <w:highlight w:val="none"/>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5.1选址应符合环境保护法律法规及相关法定规划的要求，与该区域生态环境保护、矿山生态修复计划、水土资源保护目标相一致。</w:t>
                  </w:r>
                </w:p>
              </w:tc>
              <w:tc>
                <w:tcPr>
                  <w:tcW w:w="2281" w:type="pct"/>
                  <w:vAlign w:val="center"/>
                </w:tcPr>
                <w:p w14:paraId="4A4515C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项目修复区域位于寻甸县</w:t>
                  </w:r>
                  <w:r>
                    <w:rPr>
                      <w:rFonts w:hint="eastAsia"/>
                      <w:color w:val="000000" w:themeColor="text1"/>
                      <w:kern w:val="0"/>
                      <w:sz w:val="21"/>
                      <w:szCs w:val="21"/>
                      <w:highlight w:val="none"/>
                      <w:lang w:eastAsia="zh-CN" w:bidi="ar"/>
                      <w14:textFill>
                        <w14:solidFill>
                          <w14:schemeClr w14:val="tx1"/>
                        </w14:solidFill>
                      </w14:textFill>
                    </w:rPr>
                    <w:t>塘子镇钟灵村委会令友采石场</w:t>
                  </w:r>
                  <w:r>
                    <w:rPr>
                      <w:rFonts w:hint="eastAsia"/>
                      <w:color w:val="000000" w:themeColor="text1"/>
                      <w:kern w:val="0"/>
                      <w:sz w:val="21"/>
                      <w:szCs w:val="21"/>
                      <w:highlight w:val="none"/>
                      <w:lang w:bidi="ar"/>
                      <w14:textFill>
                        <w14:solidFill>
                          <w14:schemeClr w14:val="tx1"/>
                        </w14:solidFill>
                      </w14:textFill>
                    </w:rPr>
                    <w:t>废弃矿坑，项目选址符合环境保护法律法规及相关法定规划的要求。</w:t>
                  </w:r>
                </w:p>
              </w:tc>
              <w:tc>
                <w:tcPr>
                  <w:tcW w:w="272" w:type="pct"/>
                  <w:vAlign w:val="center"/>
                </w:tcPr>
                <w:p w14:paraId="576116F5">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20E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0CAD27A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5.2选址区域地质结构条件应满足生态修复后承载力的要求，不应位于下列区域：a）国务院有关部门及地方人民政府划定的生态保护红线区域、永久基本农田集中区域和其他需要特定保护的区域内，以及法律法规规定的其他禁止建设区域；b）活动断层、溶洞区、天然滑坡或泥石流影响区以及湿地等区域；c）集中式饮用水源保护区，江河、湖泊、运河、渠道、水库最高水位线以下的滩地和岸坡，以及国家和地方长远规划中的水库等人工蓄水设施的淹没区和保护区。</w:t>
                  </w:r>
                </w:p>
              </w:tc>
              <w:tc>
                <w:tcPr>
                  <w:tcW w:w="2281" w:type="pct"/>
                  <w:vAlign w:val="center"/>
                </w:tcPr>
                <w:p w14:paraId="49CCB5AC">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区域岩土体硬度较高，稳定性较好，满足生态修复后承载力。项目不位于国务院有关部门及地方人民政府划定的生态保护红线区域、永久基本农田集中区域和其他需要特定保护的区域内，以及法律法规规定的其他禁止建设区域。根据相关查询意见，项目不涉及生态保护红线、永久基本农田，不在城镇开发边界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寻甸县常青树磷石膏库综合治理项目</w:t>
                  </w:r>
                  <w:r>
                    <w:rPr>
                      <w:rFonts w:hint="eastAsia" w:cs="Times New Roman"/>
                      <w:color w:val="000000" w:themeColor="text1"/>
                      <w:sz w:val="21"/>
                      <w:szCs w:val="21"/>
                      <w:highlight w:val="none"/>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生态修复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水文地质勘察报告》</w:t>
                  </w:r>
                  <w:r>
                    <w:rPr>
                      <w:rFonts w:hint="eastAsia"/>
                      <w:color w:val="000000" w:themeColor="text1"/>
                      <w:kern w:val="0"/>
                      <w:sz w:val="21"/>
                      <w:szCs w:val="21"/>
                      <w:highlight w:val="none"/>
                      <w:lang w:bidi="ar"/>
                      <w14:textFill>
                        <w14:solidFill>
                          <w14:schemeClr w14:val="tx1"/>
                        </w14:solidFill>
                      </w14:textFill>
                    </w:rPr>
                    <w:t>，项目区岩溶中等发育，不存在较多落水洞和岩溶漏斗的区域与其他需要特别保护的区域内。项目不位于集中式饮用水源保护区，江河、湖泊、运河、渠道、水库最高水位线以下的滩地和岸坡，以及国家和地方长远规划中的水库等人工蓄水设施的淹没区和保护区。</w:t>
                  </w:r>
                </w:p>
              </w:tc>
              <w:tc>
                <w:tcPr>
                  <w:tcW w:w="272" w:type="pct"/>
                  <w:vAlign w:val="center"/>
                </w:tcPr>
                <w:p w14:paraId="4D626020">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bl>
          <w:p w14:paraId="11739FCB">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综上，项目建设符合昆明市发布的改性磷石膏综合利用相关标准规范。</w:t>
            </w:r>
          </w:p>
          <w:p w14:paraId="1BC5F6FB">
            <w:pPr>
              <w:pStyle w:val="37"/>
              <w:adjustRightInd w:val="0"/>
              <w:snapToGrid w:val="0"/>
              <w:spacing w:before="0" w:beforeAutospacing="0" w:after="0" w:afterAutospacing="0"/>
              <w:ind w:firstLine="482"/>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b/>
                <w:bCs/>
                <w:color w:val="000000" w:themeColor="text1"/>
                <w:highlight w:val="none"/>
                <w:lang w:bidi="ar"/>
                <w14:textFill>
                  <w14:solidFill>
                    <w14:schemeClr w14:val="tx1"/>
                  </w14:solidFill>
                </w14:textFill>
              </w:rPr>
              <w:t>21、与《寻甸回族彝族自治县国土空间总体规划（2021—2035年）》符合性分析</w:t>
            </w:r>
          </w:p>
          <w:p w14:paraId="14A0B28F">
            <w:pPr>
              <w:pStyle w:val="4"/>
              <w:spacing w:line="240" w:lineRule="auto"/>
              <w:ind w:firstLine="0" w:firstLineChars="0"/>
              <w:jc w:val="center"/>
              <w:rPr>
                <w:b/>
                <w:bCs/>
                <w:color w:val="000000" w:themeColor="text1"/>
                <w:kern w:val="0"/>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表1-13 项目与《寻甸回族彝族自治县国土空间总体规划（2021—2035年）》符合性分析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950"/>
              <w:gridCol w:w="896"/>
            </w:tblGrid>
            <w:tr w14:paraId="7817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tcPr>
                <w:p w14:paraId="73EED457">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规划要求</w:t>
                  </w:r>
                </w:p>
              </w:tc>
              <w:tc>
                <w:tcPr>
                  <w:tcW w:w="2950" w:type="dxa"/>
                </w:tcPr>
                <w:p w14:paraId="2C54F6E2">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项目情况</w:t>
                  </w:r>
                </w:p>
              </w:tc>
              <w:tc>
                <w:tcPr>
                  <w:tcW w:w="896" w:type="dxa"/>
                </w:tcPr>
                <w:p w14:paraId="528FF785">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符合性</w:t>
                  </w:r>
                </w:p>
              </w:tc>
            </w:tr>
            <w:tr w14:paraId="53C3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394BC47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中部——发展绿色工业、加工服务型农业、城市配套综合服务业；东部——推动仁德、七星联动，发展康体休闲度假养老养生旅游；西部——生态涵养功能提升，巩固发展山地牧业、特色种植业和乡村旅游业/休闲观光体验农业。</w:t>
                  </w:r>
                </w:p>
              </w:tc>
              <w:tc>
                <w:tcPr>
                  <w:tcW w:w="2950" w:type="dxa"/>
                  <w:vAlign w:val="center"/>
                </w:tcPr>
                <w:p w14:paraId="2ABDBF10">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本项目属于矿坑生态修复项目，项目位于云南省昆明市寻甸县</w:t>
                  </w:r>
                  <w:r>
                    <w:rPr>
                      <w:rFonts w:hint="eastAsia"/>
                      <w:color w:val="000000" w:themeColor="text1"/>
                      <w:highlight w:val="none"/>
                      <w:lang w:eastAsia="zh-CN"/>
                      <w14:textFill>
                        <w14:solidFill>
                          <w14:schemeClr w14:val="tx1"/>
                        </w14:solidFill>
                      </w14:textFill>
                    </w:rPr>
                    <w:t>塘子镇钟灵村委会令友采石场</w:t>
                  </w:r>
                  <w:r>
                    <w:rPr>
                      <w:rFonts w:hint="eastAsia"/>
                      <w:color w:val="000000" w:themeColor="text1"/>
                      <w:highlight w:val="none"/>
                      <w14:textFill>
                        <w14:solidFill>
                          <w14:schemeClr w14:val="tx1"/>
                        </w14:solidFill>
                      </w14:textFill>
                    </w:rPr>
                    <w:t>，处于寻甸县西部，项目的建设不与寻甸县中部发展格局要求相悖，且项目建成后能够美化周边环境，符合相关文件要求。</w:t>
                  </w:r>
                </w:p>
              </w:tc>
              <w:tc>
                <w:tcPr>
                  <w:tcW w:w="896" w:type="dxa"/>
                  <w:vAlign w:val="center"/>
                </w:tcPr>
                <w:p w14:paraId="4C577F82">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3719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10518E47">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守区域生态安全底线，坚持生态优先，绿色发展。对生态保护红线范围内的自然保护地核心保护区，严格禁止人为活动；其他区域在符合现行法律法规前提下，除国家重大战略项目外，仅允许对生态功能不造成破坏的有限人为活动。</w:t>
                  </w:r>
                </w:p>
              </w:tc>
              <w:tc>
                <w:tcPr>
                  <w:tcW w:w="2950" w:type="dxa"/>
                  <w:vAlign w:val="center"/>
                </w:tcPr>
                <w:p w14:paraId="23CBF1C4">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根据相关查询意见可知，项目不涉及生态保护红线，不涉及自然保护地</w:t>
                  </w:r>
                  <w:r>
                    <w:rPr>
                      <w:color w:val="000000" w:themeColor="text1"/>
                      <w:highlight w:val="none"/>
                      <w14:textFill>
                        <w14:solidFill>
                          <w14:schemeClr w14:val="tx1"/>
                        </w14:solidFill>
                      </w14:textFill>
                    </w:rPr>
                    <w:t>核心保护区</w:t>
                  </w:r>
                  <w:r>
                    <w:rPr>
                      <w:rFonts w:hint="eastAsia"/>
                      <w:color w:val="000000" w:themeColor="text1"/>
                      <w:highlight w:val="none"/>
                      <w14:textFill>
                        <w14:solidFill>
                          <w14:schemeClr w14:val="tx1"/>
                        </w14:solidFill>
                      </w14:textFill>
                    </w:rPr>
                    <w:t>。</w:t>
                  </w:r>
                </w:p>
              </w:tc>
              <w:tc>
                <w:tcPr>
                  <w:tcW w:w="896" w:type="dxa"/>
                  <w:vAlign w:val="center"/>
                </w:tcPr>
                <w:p w14:paraId="6206B9FA">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753E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6C48921D">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坚守最严格的耕地保护制度，保障国家粮食安全和重要农产品供给的底线，对永久基本农田施行永久特殊保护，任何单位和个人不得擅自占用或改变其用途。符合国家规定的项目难以避让的，应按“数量不减、质量不降、布局稳定”的原则进行补划。</w:t>
                  </w:r>
                </w:p>
              </w:tc>
              <w:tc>
                <w:tcPr>
                  <w:tcW w:w="2950" w:type="dxa"/>
                  <w:vAlign w:val="center"/>
                </w:tcPr>
                <w:p w14:paraId="371A412C">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项目不占用永久基本农田。</w:t>
                  </w:r>
                </w:p>
              </w:tc>
              <w:tc>
                <w:tcPr>
                  <w:tcW w:w="896" w:type="dxa"/>
                  <w:vAlign w:val="center"/>
                </w:tcPr>
                <w:p w14:paraId="0542F85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3830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6D55E057">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耕地提质改造  以生态环境保护为前提，选择坡度较缓，近村、近路、近水地块实施耕地提质改造，设计好排水系统，以及给水，防止串坡垮塌；在缓坡区通过配置水窖、池等，健全排灌和水利设施配套，提高耕地质量，有效增加耕地面积。</w:t>
                  </w:r>
                </w:p>
              </w:tc>
              <w:tc>
                <w:tcPr>
                  <w:tcW w:w="2950" w:type="dxa"/>
                  <w:vAlign w:val="center"/>
                </w:tcPr>
                <w:p w14:paraId="128C60F8">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本项目属于矿坑生态修复项目，项目位于云南省昆明市寻甸县</w:t>
                  </w:r>
                  <w:r>
                    <w:rPr>
                      <w:rFonts w:hint="eastAsia"/>
                      <w:color w:val="000000" w:themeColor="text1"/>
                      <w:highlight w:val="none"/>
                      <w:lang w:eastAsia="zh-CN"/>
                      <w14:textFill>
                        <w14:solidFill>
                          <w14:schemeClr w14:val="tx1"/>
                        </w14:solidFill>
                      </w14:textFill>
                    </w:rPr>
                    <w:t>塘子镇钟灵村委会令友采石场</w:t>
                  </w:r>
                  <w:r>
                    <w:rPr>
                      <w:rFonts w:hint="eastAsia"/>
                      <w:color w:val="000000" w:themeColor="text1"/>
                      <w:highlight w:val="none"/>
                      <w14:textFill>
                        <w14:solidFill>
                          <w14:schemeClr w14:val="tx1"/>
                        </w14:solidFill>
                      </w14:textFill>
                    </w:rPr>
                    <w:t>，项目堆填结束后</w:t>
                  </w:r>
                  <w:r>
                    <w:rPr>
                      <w:color w:val="000000" w:themeColor="text1"/>
                      <w:szCs w:val="21"/>
                      <w:highlight w:val="none"/>
                      <w14:textFill>
                        <w14:solidFill>
                          <w14:schemeClr w14:val="tx1"/>
                        </w14:solidFill>
                      </w14:textFill>
                    </w:rPr>
                    <w:t>回填后表面进行防渗处理，覆土并恢复为</w:t>
                  </w:r>
                  <w:r>
                    <w:rPr>
                      <w:rFonts w:hint="eastAsia"/>
                      <w:color w:val="000000" w:themeColor="text1"/>
                      <w:szCs w:val="21"/>
                      <w:highlight w:val="none"/>
                      <w:lang w:val="en-US" w:eastAsia="zh-CN"/>
                      <w14:textFill>
                        <w14:solidFill>
                          <w14:schemeClr w14:val="tx1"/>
                        </w14:solidFill>
                      </w14:textFill>
                    </w:rPr>
                    <w:t>旱地和</w:t>
                  </w:r>
                  <w:r>
                    <w:rPr>
                      <w:color w:val="000000" w:themeColor="text1"/>
                      <w:szCs w:val="21"/>
                      <w:highlight w:val="none"/>
                      <w14:textFill>
                        <w14:solidFill>
                          <w14:schemeClr w14:val="tx1"/>
                        </w14:solidFill>
                      </w14:textFill>
                    </w:rPr>
                    <w:t>林地。</w:t>
                  </w:r>
                </w:p>
              </w:tc>
              <w:tc>
                <w:tcPr>
                  <w:tcW w:w="896" w:type="dxa"/>
                  <w:vAlign w:val="center"/>
                </w:tcPr>
                <w:p w14:paraId="2E70CB35">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0AE2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384B769C">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耕地后备资源开发  将具有开发潜力的其他草地、裸土地，通过开挖、平整、降坡等技术手段将其转变为具有耕作条件的耕地，实现耕地补充。</w:t>
                  </w:r>
                </w:p>
              </w:tc>
              <w:tc>
                <w:tcPr>
                  <w:tcW w:w="2950" w:type="dxa"/>
                  <w:vAlign w:val="center"/>
                </w:tcPr>
                <w:p w14:paraId="4212045B">
                  <w:pPr>
                    <w:pStyle w:val="87"/>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项目生态修复为</w:t>
                  </w:r>
                  <w:r>
                    <w:rPr>
                      <w:rFonts w:hint="eastAsia"/>
                      <w:color w:val="000000" w:themeColor="text1"/>
                      <w:szCs w:val="21"/>
                      <w:highlight w:val="none"/>
                      <w:lang w:val="en-US" w:eastAsia="zh-CN"/>
                      <w14:textFill>
                        <w14:solidFill>
                          <w14:schemeClr w14:val="tx1"/>
                        </w14:solidFill>
                      </w14:textFill>
                    </w:rPr>
                    <w:t>旱地和</w:t>
                  </w:r>
                  <w:r>
                    <w:rPr>
                      <w:rFonts w:hint="eastAsia"/>
                      <w:color w:val="000000" w:themeColor="text1"/>
                      <w:szCs w:val="21"/>
                      <w:highlight w:val="none"/>
                      <w14:textFill>
                        <w14:solidFill>
                          <w14:schemeClr w14:val="tx1"/>
                        </w14:solidFill>
                      </w14:textFill>
                    </w:rPr>
                    <w:t>林地</w:t>
                  </w:r>
                </w:p>
              </w:tc>
              <w:tc>
                <w:tcPr>
                  <w:tcW w:w="896" w:type="dxa"/>
                  <w:vAlign w:val="center"/>
                </w:tcPr>
                <w:p w14:paraId="483DEE0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不冲突</w:t>
                  </w:r>
                </w:p>
              </w:tc>
            </w:tr>
            <w:tr w14:paraId="1EC2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2476C79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矿山复垦及地质环境修复治理  矿山复垦及地质环境修复治理主要以采空区回填、滑坡与泥石流治理、尾矿库与废石场加固、土地复垦与植被恢复为重点。</w:t>
                  </w:r>
                </w:p>
              </w:tc>
              <w:tc>
                <w:tcPr>
                  <w:tcW w:w="2950" w:type="dxa"/>
                  <w:vAlign w:val="center"/>
                </w:tcPr>
                <w:p w14:paraId="7BD4B862">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本项目为矿坑生态修复项目，项目位于云南省昆明市寻甸县</w:t>
                  </w:r>
                  <w:r>
                    <w:rPr>
                      <w:rFonts w:hint="eastAsia"/>
                      <w:color w:val="000000" w:themeColor="text1"/>
                      <w:highlight w:val="none"/>
                      <w:lang w:eastAsia="zh-CN"/>
                      <w14:textFill>
                        <w14:solidFill>
                          <w14:schemeClr w14:val="tx1"/>
                        </w14:solidFill>
                      </w14:textFill>
                    </w:rPr>
                    <w:t>塘子镇钟灵村委会令友采石场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项目修复范围均在矿坑遗留用地内进行修复，未新增占地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项目修复区</w:t>
                  </w:r>
                  <w:r>
                    <w:rPr>
                      <w:rFonts w:hint="eastAsia"/>
                      <w:color w:val="000000" w:themeColor="text1"/>
                      <w:highlight w:val="none"/>
                      <w14:textFill>
                        <w14:solidFill>
                          <w14:schemeClr w14:val="tx1"/>
                        </w14:solidFill>
                      </w14:textFill>
                    </w:rPr>
                    <w:t>复垦方向初步是林地</w:t>
                  </w:r>
                  <w:r>
                    <w:rPr>
                      <w:rFonts w:hint="eastAsia"/>
                      <w:color w:val="000000" w:themeColor="text1"/>
                      <w:highlight w:val="none"/>
                      <w:lang w:val="en-US" w:eastAsia="zh-CN"/>
                      <w14:textFill>
                        <w14:solidFill>
                          <w14:schemeClr w14:val="tx1"/>
                        </w14:solidFill>
                      </w14:textFill>
                    </w:rPr>
                    <w:t>和旱地</w:t>
                  </w:r>
                  <w:r>
                    <w:rPr>
                      <w:rFonts w:hint="eastAsia"/>
                      <w:color w:val="000000" w:themeColor="text1"/>
                      <w:highlight w:val="none"/>
                      <w14:textFill>
                        <w14:solidFill>
                          <w14:schemeClr w14:val="tx1"/>
                        </w14:solidFill>
                      </w14:textFill>
                    </w:rPr>
                    <w:t>，具体复垦方向后期按评审过的生态修复方案为主。符合相关要求。</w:t>
                  </w:r>
                </w:p>
              </w:tc>
              <w:tc>
                <w:tcPr>
                  <w:tcW w:w="896" w:type="dxa"/>
                  <w:vAlign w:val="center"/>
                </w:tcPr>
                <w:p w14:paraId="2AB28C73">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3806C8B5">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综上，项目建设符合《寻甸回族彝族自治县国土空间总体规划（2021—2035年）》相关要求。</w:t>
            </w:r>
          </w:p>
          <w:p w14:paraId="774EA915">
            <w:pPr>
              <w:pStyle w:val="2"/>
              <w:ind w:firstLine="482"/>
              <w:rPr>
                <w:b/>
                <w:bCs/>
                <w:color w:val="000000" w:themeColor="text1"/>
                <w:kern w:val="0"/>
                <w:highlight w:val="none"/>
                <w:lang w:bidi="ar"/>
                <w14:textFill>
                  <w14:solidFill>
                    <w14:schemeClr w14:val="tx1"/>
                  </w14:solidFill>
                </w14:textFill>
              </w:rPr>
            </w:pPr>
            <w:r>
              <w:rPr>
                <w:rFonts w:hint="eastAsia"/>
                <w:b/>
                <w:bCs/>
                <w:color w:val="000000" w:themeColor="text1"/>
                <w:kern w:val="0"/>
                <w:highlight w:val="none"/>
                <w:lang w:bidi="ar"/>
                <w14:textFill>
                  <w14:solidFill>
                    <w14:schemeClr w14:val="tx1"/>
                  </w14:solidFill>
                </w14:textFill>
              </w:rPr>
              <w:t>22、与《云南省空气质量持续改善行动实施方案》符合性分析</w:t>
            </w:r>
          </w:p>
          <w:p w14:paraId="1FB988F6">
            <w:pPr>
              <w:pStyle w:val="4"/>
              <w:spacing w:after="0"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表1-14 项目与《云南省空气质量持续改善行动实施方案》符合性分析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7"/>
              <w:gridCol w:w="3057"/>
              <w:gridCol w:w="852"/>
            </w:tblGrid>
            <w:tr w14:paraId="4BAD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2BC8026F">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方案要求</w:t>
                  </w:r>
                </w:p>
              </w:tc>
              <w:tc>
                <w:tcPr>
                  <w:tcW w:w="3057" w:type="dxa"/>
                </w:tcPr>
                <w:p w14:paraId="33123797">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项目情况</w:t>
                  </w:r>
                </w:p>
              </w:tc>
              <w:tc>
                <w:tcPr>
                  <w:tcW w:w="852" w:type="dxa"/>
                </w:tcPr>
                <w:p w14:paraId="5CEB5879">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符合性</w:t>
                  </w:r>
                </w:p>
              </w:tc>
            </w:tr>
            <w:tr w14:paraId="32FE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6B210E45">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3057" w:type="dxa"/>
                  <w:vAlign w:val="center"/>
                </w:tcPr>
                <w:p w14:paraId="6E2D68FF">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本项目属于废弃矿坑生态修复项目，不属于“两高一低”项目，项目建设符合《昆明市生态环境分区管控动态更新方案（2023年）》《</w:t>
                  </w:r>
                  <w:r>
                    <w:rPr>
                      <w:rFonts w:hint="eastAsia"/>
                      <w:color w:val="000000" w:themeColor="text1"/>
                      <w:highlight w:val="none"/>
                      <w:lang w:bidi="ar"/>
                      <w14:textFill>
                        <w14:solidFill>
                          <w14:schemeClr w14:val="tx1"/>
                        </w14:solidFill>
                      </w14:textFill>
                    </w:rPr>
                    <w:t>寻甸回族彝族自治县国土空间总体规划（2021—2035年）》《云南省地下水管理办法》等相关文件要求，项目不涉及总量削减。</w:t>
                  </w:r>
                </w:p>
              </w:tc>
              <w:tc>
                <w:tcPr>
                  <w:tcW w:w="852" w:type="dxa"/>
                  <w:vAlign w:val="center"/>
                </w:tcPr>
                <w:p w14:paraId="5F21E942">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47B2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66DF1E0A">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3057" w:type="dxa"/>
                  <w:vAlign w:val="center"/>
                </w:tcPr>
                <w:p w14:paraId="18905D4C">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项目不属于限制类项目，不涉及升级改造。</w:t>
                  </w:r>
                </w:p>
              </w:tc>
              <w:tc>
                <w:tcPr>
                  <w:tcW w:w="852" w:type="dxa"/>
                  <w:vAlign w:val="center"/>
                </w:tcPr>
                <w:p w14:paraId="7557E327">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08E7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1FF4B1BE">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tc>
              <w:tc>
                <w:tcPr>
                  <w:tcW w:w="3057" w:type="dxa"/>
                  <w:vAlign w:val="center"/>
                </w:tcPr>
                <w:p w14:paraId="09538438">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项目施工、运营过程不涉及使用VOCs原辅材料。</w:t>
                  </w:r>
                </w:p>
              </w:tc>
              <w:tc>
                <w:tcPr>
                  <w:tcW w:w="852" w:type="dxa"/>
                  <w:vAlign w:val="center"/>
                </w:tcPr>
                <w:p w14:paraId="640402A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47C9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37DB681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3057" w:type="dxa"/>
                  <w:vAlign w:val="center"/>
                </w:tcPr>
                <w:p w14:paraId="77354DF6">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项目施工、运营过程不涉及使用VOCs原辅材料。</w:t>
                  </w:r>
                </w:p>
              </w:tc>
              <w:tc>
                <w:tcPr>
                  <w:tcW w:w="852" w:type="dxa"/>
                  <w:vAlign w:val="center"/>
                </w:tcPr>
                <w:p w14:paraId="52FCD020">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7C84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0E0C1CC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（十五）加强矿山生态环境综合整治。新建矿山原则上同步建设铁路专用线或采用其他清洁运输方式。对限期整改仍不达标的矿山，根据安全生产、水土保持、生态环境等要求依法关闭。</w:t>
                  </w:r>
                </w:p>
              </w:tc>
              <w:tc>
                <w:tcPr>
                  <w:tcW w:w="3057" w:type="dxa"/>
                  <w:vAlign w:val="center"/>
                </w:tcPr>
                <w:p w14:paraId="01B8F4E9">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项目属于废弃矿坑生态修复项目，对采石场进行填埋、复绿修复，不属于新建矿山项目。</w:t>
                  </w:r>
                </w:p>
              </w:tc>
              <w:tc>
                <w:tcPr>
                  <w:tcW w:w="852" w:type="dxa"/>
                  <w:vAlign w:val="center"/>
                </w:tcPr>
                <w:p w14:paraId="2F98305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76226920">
            <w:pPr>
              <w:ind w:firstLine="480"/>
              <w:rPr>
                <w:color w:val="000000" w:themeColor="text1"/>
                <w:highlight w:val="none"/>
                <w:lang w:bidi="ar"/>
                <w14:textFill>
                  <w14:solidFill>
                    <w14:schemeClr w14:val="tx1"/>
                  </w14:solidFill>
                </w14:textFill>
              </w:rPr>
            </w:pPr>
            <w:r>
              <w:rPr>
                <w:rFonts w:hint="eastAsia"/>
                <w:color w:val="000000" w:themeColor="text1"/>
                <w:highlight w:val="none"/>
                <w14:textFill>
                  <w14:solidFill>
                    <w14:schemeClr w14:val="tx1"/>
                  </w14:solidFill>
                </w14:textFill>
              </w:rPr>
              <w:t>综上，项目建设符合</w:t>
            </w:r>
            <w:r>
              <w:rPr>
                <w:rFonts w:hint="eastAsia"/>
                <w:color w:val="000000" w:themeColor="text1"/>
                <w:highlight w:val="none"/>
                <w:lang w:bidi="ar"/>
                <w14:textFill>
                  <w14:solidFill>
                    <w14:schemeClr w14:val="tx1"/>
                  </w14:solidFill>
                </w14:textFill>
              </w:rPr>
              <w:t>《云南省空气质量持续改善行动实施方案》相关要求。</w:t>
            </w:r>
          </w:p>
          <w:p w14:paraId="2127F686">
            <w:pPr>
              <w:pStyle w:val="2"/>
              <w:ind w:firstLine="4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23、与</w:t>
            </w:r>
            <w:r>
              <w:rPr>
                <w:rFonts w:hint="eastAsia"/>
                <w:b/>
                <w:bCs/>
                <w:color w:val="000000" w:themeColor="text1"/>
                <w:highlight w:val="none"/>
                <w14:textFill>
                  <w14:solidFill>
                    <w14:schemeClr w14:val="tx1"/>
                  </w14:solidFill>
                </w14:textFill>
              </w:rPr>
              <w:t>《昆明市“十四五”生态环境保护规划》符合性分析</w:t>
            </w:r>
          </w:p>
          <w:p w14:paraId="15293CF0">
            <w:pPr>
              <w:pStyle w:val="4"/>
              <w:spacing w:after="0"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表1-15 项目与《昆明市“十四五”生态环境保护规划》符合性分析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6"/>
              <w:gridCol w:w="2570"/>
              <w:gridCol w:w="840"/>
            </w:tblGrid>
            <w:tr w14:paraId="6D46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tcPr>
                <w:p w14:paraId="6A1376E3">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规划要求</w:t>
                  </w:r>
                </w:p>
              </w:tc>
              <w:tc>
                <w:tcPr>
                  <w:tcW w:w="2570" w:type="dxa"/>
                </w:tcPr>
                <w:p w14:paraId="07C4C90C">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项目情况</w:t>
                  </w:r>
                </w:p>
              </w:tc>
              <w:tc>
                <w:tcPr>
                  <w:tcW w:w="840" w:type="dxa"/>
                </w:tcPr>
                <w:p w14:paraId="23617806">
                  <w:pPr>
                    <w:pStyle w:val="87"/>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符合性</w:t>
                  </w:r>
                </w:p>
              </w:tc>
            </w:tr>
            <w:tr w14:paraId="5BE3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3D191B98">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进“一带四区、两湖六脉、多点保育”生态保育和修复，提升水源涵养和水土保持等重要生态功能，强化东川、寻甸、禄劝等北部生态涵养功能区的生态修复保护力度，实施滇池流域山水林田湖草沙一体化保护与修复。持续开展森林建设和国土绿化“青山”行动，实施天然林保护、石漠化治理等重要生态系统保护，推动历史遗留矿山治理与生态修复，持续实施生态隔离带建设。</w:t>
                  </w:r>
                </w:p>
              </w:tc>
              <w:tc>
                <w:tcPr>
                  <w:tcW w:w="2570" w:type="dxa"/>
                  <w:vAlign w:val="center"/>
                </w:tcPr>
                <w:p w14:paraId="07447143">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项目建设可以提升环境质量，符合相关要求。</w:t>
                  </w:r>
                </w:p>
              </w:tc>
              <w:tc>
                <w:tcPr>
                  <w:tcW w:w="840" w:type="dxa"/>
                  <w:vAlign w:val="center"/>
                </w:tcPr>
                <w:p w14:paraId="67B9BF0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59A5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37312723">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落实矿山及尾矿库用地土壤污染管控。以东川区、安宁市、西山区、晋宁区的矿山采选、冶炼等行业集中区域为重点，推进尾矿库污染排查与整治，制定并实施“一库一策”，严格落实各项污染治理措施，并加强尾矿库安全管理。防控矿产开发过程污染，矿山企业依法编制矿山地质环境保护及复垦方案，完善落实水土流失防治及土壤环境污染修复工程措施；重视废弃矿山风险管控，强化周边农田及地下水环境保护。</w:t>
                  </w:r>
                </w:p>
              </w:tc>
              <w:tc>
                <w:tcPr>
                  <w:tcW w:w="2570" w:type="dxa"/>
                  <w:vAlign w:val="center"/>
                </w:tcPr>
                <w:p w14:paraId="73B749D8">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本项目为废弃矿坑生态修复项目，不属于尾矿库项目，项目已编制</w:t>
                  </w:r>
                  <w:r>
                    <w:rPr>
                      <w:rFonts w:hint="eastAsia" w:cs="Times New Roman"/>
                      <w:color w:val="000000" w:themeColor="text1"/>
                      <w:kern w:val="0"/>
                      <w:szCs w:val="21"/>
                      <w:highlight w:val="none"/>
                      <w:lang w:bidi="ar"/>
                      <w14:textFill>
                        <w14:solidFill>
                          <w14:schemeClr w14:val="tx1"/>
                        </w14:solidFill>
                      </w14:textFill>
                    </w:rPr>
                    <w:t>《</w:t>
                  </w:r>
                  <w:r>
                    <w:rPr>
                      <w:rFonts w:hint="eastAsia" w:cs="Times New Roman"/>
                      <w:color w:val="000000" w:themeColor="text1"/>
                      <w:kern w:val="0"/>
                      <w:szCs w:val="21"/>
                      <w:highlight w:val="none"/>
                      <w:lang w:eastAsia="zh-CN" w:bidi="ar"/>
                      <w14:textFill>
                        <w14:solidFill>
                          <w14:schemeClr w14:val="tx1"/>
                        </w14:solidFill>
                      </w14:textFill>
                    </w:rPr>
                    <w:t>寻甸县常青树磷石膏库综合治理项目（塘子镇钟灵村委会令友采石场生态修复工程）</w:t>
                  </w:r>
                  <w:r>
                    <w:rPr>
                      <w:rFonts w:hint="eastAsia" w:cs="Times New Roman"/>
                      <w:color w:val="000000" w:themeColor="text1"/>
                      <w:kern w:val="0"/>
                      <w:szCs w:val="21"/>
                      <w:highlight w:val="none"/>
                      <w:lang w:bidi="ar"/>
                      <w14:textFill>
                        <w14:solidFill>
                          <w14:schemeClr w14:val="tx1"/>
                        </w14:solidFill>
                      </w14:textFill>
                    </w:rPr>
                    <w:t>》，并通过了评审，项目在严格按照相关风险控制措施进行建设后风险可控。</w:t>
                  </w:r>
                </w:p>
              </w:tc>
              <w:tc>
                <w:tcPr>
                  <w:tcW w:w="840" w:type="dxa"/>
                  <w:vAlign w:val="center"/>
                </w:tcPr>
                <w:p w14:paraId="5998E565">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1072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30A28E26">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加强污染地块开发利用监管。加强新建项目审批管理，严控建设项目新增污染物总量。开展全市土壤污染状况调查评估，逐步更新建设用地污染地块名录。加强对有色金属冶炼、石油加工、化工等重点行业企业在产及关闭搬迁企业地块风险管控，制定土壤污染风险防控方案。加强工矿企业污染源环境监管，动态更新土壤污染重点监管单位名录，监督土壤污染重点监管单位全面落实土壤污染防治义务，定期对土壤污染重点监管单位周边土壤开展监督性监测。2025年底前，至少完成一轮土壤污染隐患排查。</w:t>
                  </w:r>
                </w:p>
              </w:tc>
              <w:tc>
                <w:tcPr>
                  <w:tcW w:w="2570" w:type="dxa"/>
                  <w:vAlign w:val="center"/>
                </w:tcPr>
                <w:p w14:paraId="67341667">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本项目为废弃矿坑生态修复项目，项目采用改性磷石膏修复材料对采石场进行回填修复，项目建设过程中将严格按照相应风险防范措施进行建设，确保土壤环境质量。</w:t>
                  </w:r>
                </w:p>
              </w:tc>
              <w:tc>
                <w:tcPr>
                  <w:tcW w:w="840" w:type="dxa"/>
                  <w:vAlign w:val="center"/>
                </w:tcPr>
                <w:p w14:paraId="544C5C03">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73D0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1CC2CD69">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落实矿山及尾矿库用地土壤污染管控。以东川区、安宁市、西山区、晋宁区的矿山采选、冶炼等行业集中区域为重点，推进尾矿库污染排查与整治，制定并实施“一库一策”，严格落实各项污染治理措施，并加强尾矿库安全管理。防控矿产开发过程污染，矿山企业依法编制矿山地质环境保护及复垦方案，完善落实水土流失防治及土壤环境污染修复工程措施；重视废弃矿山风险管控，强化周边农田及地下水环境保护。</w:t>
                  </w:r>
                </w:p>
              </w:tc>
              <w:tc>
                <w:tcPr>
                  <w:tcW w:w="2570" w:type="dxa"/>
                  <w:vAlign w:val="center"/>
                </w:tcPr>
                <w:p w14:paraId="784EF80D">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本项目为废弃矿坑生态修复项目，不属于尾矿库项目，项目建设过程中将严格按照相应风险防范措施进行建设，确保风险可控。</w:t>
                  </w:r>
                </w:p>
              </w:tc>
              <w:tc>
                <w:tcPr>
                  <w:tcW w:w="840" w:type="dxa"/>
                  <w:vAlign w:val="center"/>
                </w:tcPr>
                <w:p w14:paraId="088F12CC">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2BE9887A">
            <w:pPr>
              <w:pStyle w:val="2"/>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综上，项目建设符合《昆明市“十四五”生态环境保护规划》相关要求。</w:t>
            </w:r>
          </w:p>
          <w:p w14:paraId="39257FAC">
            <w:pPr>
              <w:pStyle w:val="4"/>
              <w:ind w:firstLine="24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24、</w:t>
            </w:r>
            <w:r>
              <w:rPr>
                <w:rFonts w:hint="eastAsia"/>
                <w:b/>
                <w:bCs/>
                <w:color w:val="000000" w:themeColor="text1"/>
                <w:highlight w:val="none"/>
                <w:lang w:bidi="ar"/>
                <w14:textFill>
                  <w14:solidFill>
                    <w14:schemeClr w14:val="tx1"/>
                  </w14:solidFill>
                </w14:textFill>
              </w:rPr>
              <w:t>与</w:t>
            </w:r>
            <w:r>
              <w:rPr>
                <w:rFonts w:hint="eastAsia"/>
                <w:b/>
                <w:bCs/>
                <w:color w:val="000000" w:themeColor="text1"/>
                <w:highlight w:val="none"/>
                <w14:textFill>
                  <w14:solidFill>
                    <w14:schemeClr w14:val="tx1"/>
                  </w14:solidFill>
                </w14:textFill>
              </w:rPr>
              <w:t>《</w:t>
            </w:r>
            <w:r>
              <w:rPr>
                <w:rFonts w:hint="eastAsia"/>
                <w:b/>
                <w:bCs/>
                <w:color w:val="000000" w:themeColor="text1"/>
                <w:kern w:val="0"/>
                <w:highlight w:val="none"/>
                <w14:textFill>
                  <w14:solidFill>
                    <w14:schemeClr w14:val="tx1"/>
                  </w14:solidFill>
                </w14:textFill>
              </w:rPr>
              <w:t>云南省牛栏江保护条例</w:t>
            </w:r>
            <w:r>
              <w:rPr>
                <w:rFonts w:hint="eastAsia"/>
                <w:b/>
                <w:bCs/>
                <w:color w:val="000000" w:themeColor="text1"/>
                <w:highlight w:val="none"/>
                <w14:textFill>
                  <w14:solidFill>
                    <w14:schemeClr w14:val="tx1"/>
                  </w14:solidFill>
                </w14:textFill>
              </w:rPr>
              <w:t>》符合性分析</w:t>
            </w:r>
          </w:p>
          <w:p w14:paraId="6E9FAAAB">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《云南省牛栏江保护条例》2012年9月28日云南省第十一届</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"https://baike.so.com/doc/443459-469584.html" \t "https://baike.so.com/doc/_blank"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人民代表大会常务委员会</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第三十四次会议通过，2012年9月28日云南省第十一届人民代表大会常务委员会公告第68号公布。</w:t>
            </w:r>
            <w:r>
              <w:rPr>
                <w:rFonts w:hint="eastAsia"/>
                <w:color w:val="000000" w:themeColor="text1"/>
                <w:highlight w:val="none"/>
                <w14:textFill>
                  <w14:solidFill>
                    <w14:schemeClr w14:val="tx1"/>
                  </w14:solidFill>
                </w14:textFill>
              </w:rPr>
              <w:t>本项目为废弃矿坑生态修复项目，根据叠图（附图14）分析可知，项目不涉及牛栏江德泽水库以上重点保护区（Ⅰ区）、牛栏江德泽水库以下生态环境保护区（</w:t>
            </w:r>
            <w:r>
              <w:rPr>
                <w:color w:val="000000" w:themeColor="text1"/>
                <w:highlight w:val="none"/>
                <w14:textFill>
                  <w14:solidFill>
                    <w14:schemeClr w14:val="tx1"/>
                  </w14:solidFill>
                </w14:textFill>
              </w:rPr>
              <w:t>П</w:t>
            </w:r>
            <w:r>
              <w:rPr>
                <w:rFonts w:hint="eastAsia"/>
                <w:color w:val="000000" w:themeColor="text1"/>
                <w:highlight w:val="none"/>
                <w14:textFill>
                  <w14:solidFill>
                    <w14:schemeClr w14:val="tx1"/>
                  </w14:solidFill>
                </w14:textFill>
              </w:rPr>
              <w:t>区）。</w:t>
            </w:r>
          </w:p>
          <w:p w14:paraId="32F117BF">
            <w:pPr>
              <w:pStyle w:val="24"/>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25、与《磷石膏利用和无害化贮存污染控制技术规范》（HJ 1415-2025）的符合性分析</w:t>
            </w:r>
          </w:p>
          <w:p w14:paraId="15DD9CFA">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生态环境部于2025年5月31日发布了《磷石膏利用和无害化贮存污染控制技术规范》（HJ 1415-2025），本项目与该文件相符性分析见下表。</w:t>
            </w:r>
          </w:p>
          <w:p w14:paraId="5C0A31BE">
            <w:pPr>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w:t>
            </w:r>
            <w:r>
              <w:rPr>
                <w:rFonts w:hint="eastAsia"/>
                <w:b/>
                <w:bCs/>
                <w:color w:val="000000" w:themeColor="text1"/>
                <w:kern w:val="0"/>
                <w:sz w:val="21"/>
                <w:szCs w:val="21"/>
                <w:highlight w:val="none"/>
                <w:lang w:val="en-US" w:eastAsia="zh-CN" w:bidi="ar"/>
                <w14:textFill>
                  <w14:solidFill>
                    <w14:schemeClr w14:val="tx1"/>
                  </w14:solidFill>
                </w14:textFill>
              </w:rPr>
              <w:t>6</w:t>
            </w:r>
            <w:r>
              <w:rPr>
                <w:rFonts w:hint="eastAsia"/>
                <w:b/>
                <w:bCs/>
                <w:color w:val="000000" w:themeColor="text1"/>
                <w:kern w:val="0"/>
                <w:sz w:val="21"/>
                <w:szCs w:val="21"/>
                <w:highlight w:val="none"/>
                <w:lang w:bidi="ar"/>
                <w14:textFill>
                  <w14:solidFill>
                    <w14:schemeClr w14:val="tx1"/>
                  </w14:solidFill>
                </w14:textFill>
              </w:rPr>
              <w:t xml:space="preserve">  项目与《改性磷石膏用于矿山废弃地生态修复回填技术规范》</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2976"/>
              <w:gridCol w:w="447"/>
            </w:tblGrid>
            <w:tr w14:paraId="4FFA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72" w:type="pct"/>
                  <w:vAlign w:val="center"/>
                </w:tcPr>
                <w:p w14:paraId="4DA0EB21">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规范要求</w:t>
                  </w:r>
                </w:p>
              </w:tc>
              <w:tc>
                <w:tcPr>
                  <w:tcW w:w="1850" w:type="pct"/>
                  <w:vAlign w:val="center"/>
                </w:tcPr>
                <w:p w14:paraId="4EEF14DC">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77" w:type="pct"/>
                  <w:vAlign w:val="center"/>
                </w:tcPr>
                <w:p w14:paraId="7542E92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015F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000" w:type="pct"/>
                  <w:gridSpan w:val="3"/>
                  <w:vAlign w:val="center"/>
                </w:tcPr>
                <w:p w14:paraId="582EC715">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hint="eastAsia" w:ascii="Times New Roman"/>
                      <w:b/>
                      <w:bCs/>
                      <w:color w:val="000000" w:themeColor="text1"/>
                      <w:sz w:val="21"/>
                      <w:szCs w:val="21"/>
                      <w:highlight w:val="none"/>
                      <w:lang w:val="en-US" w:eastAsia="zh-CN"/>
                      <w14:textFill>
                        <w14:solidFill>
                          <w14:schemeClr w14:val="tx1"/>
                        </w14:solidFill>
                      </w14:textFill>
                    </w:rPr>
                    <w:t>总体</w:t>
                  </w:r>
                  <w:r>
                    <w:rPr>
                      <w:rFonts w:hint="eastAsia" w:ascii="Times New Roman"/>
                      <w:b/>
                      <w:bCs/>
                      <w:color w:val="000000" w:themeColor="text1"/>
                      <w:sz w:val="21"/>
                      <w:szCs w:val="21"/>
                      <w:highlight w:val="none"/>
                      <w14:textFill>
                        <w14:solidFill>
                          <w14:schemeClr w14:val="tx1"/>
                        </w14:solidFill>
                      </w14:textFill>
                    </w:rPr>
                    <w:t>要求</w:t>
                  </w:r>
                </w:p>
              </w:tc>
            </w:tr>
            <w:tr w14:paraId="0ABF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2701D4C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磷石膏用于符合本标准规定的筑路、回填、充填和土地利用时，应避开饮用水水源和其他特殊水 体保护区；用于筑路和回填利用时，还应避开活动断层，泉域保护范围以及岩溶强发育、存在较多落水 洞和岩溶漏斗的区域，湿地，江河、湖泊、运河、渠道、最高水位线以下的滩地和岸坡，以及国家和地 方规划中的水库等人工蓄水设施的淹没区和保护区等。</w:t>
                  </w:r>
                </w:p>
              </w:tc>
              <w:tc>
                <w:tcPr>
                  <w:tcW w:w="1850" w:type="pct"/>
                  <w:vAlign w:val="center"/>
                </w:tcPr>
                <w:p w14:paraId="0AE98E1A">
                  <w:pPr>
                    <w:widowControl/>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本项目使用改性磷石膏进行矿山生态修复，</w:t>
                  </w:r>
                  <w:r>
                    <w:rPr>
                      <w:rFonts w:hint="eastAsia"/>
                      <w:color w:val="000000" w:themeColor="text1"/>
                      <w:kern w:val="0"/>
                      <w:sz w:val="21"/>
                      <w:szCs w:val="21"/>
                      <w:highlight w:val="none"/>
                      <w:lang w:bidi="ar"/>
                      <w14:textFill>
                        <w14:solidFill>
                          <w14:schemeClr w14:val="tx1"/>
                        </w14:solidFill>
                      </w14:textFill>
                    </w:rPr>
                    <w:t>根据调查，本项目修复区域不位于饮用水源地、天然滑坡泥石流地区、生态保护红线区、项目不占用永久基本农田；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寻甸县常青树磷石膏库综合治理项目</w:t>
                  </w:r>
                  <w:r>
                    <w:rPr>
                      <w:rFonts w:hint="eastAsia" w:cs="Times New Roman"/>
                      <w:color w:val="000000" w:themeColor="text1"/>
                      <w:sz w:val="21"/>
                      <w:szCs w:val="21"/>
                      <w:highlight w:val="none"/>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生态修复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水文地质勘察报告》</w:t>
                  </w:r>
                  <w:r>
                    <w:rPr>
                      <w:rFonts w:hint="eastAsia"/>
                      <w:color w:val="000000" w:themeColor="text1"/>
                      <w:kern w:val="0"/>
                      <w:sz w:val="21"/>
                      <w:szCs w:val="21"/>
                      <w:highlight w:val="none"/>
                      <w:lang w:bidi="ar"/>
                      <w14:textFill>
                        <w14:solidFill>
                          <w14:schemeClr w14:val="tx1"/>
                        </w14:solidFill>
                      </w14:textFill>
                    </w:rPr>
                    <w:t>，项目区岩溶中等发育，不存在较多落水洞和岩溶漏斗的区域与其他需要特别保护的区域内。</w:t>
                  </w:r>
                </w:p>
              </w:tc>
              <w:tc>
                <w:tcPr>
                  <w:tcW w:w="277" w:type="pct"/>
                  <w:vAlign w:val="center"/>
                </w:tcPr>
                <w:p w14:paraId="7B1B7AC0">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符合</w:t>
                  </w:r>
                </w:p>
              </w:tc>
            </w:tr>
            <w:tr w14:paraId="3ADF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1A95730E">
                  <w:pPr>
                    <w:widowControl/>
                    <w:adjustRightInd w:val="0"/>
                    <w:snapToGrid w:val="0"/>
                    <w:spacing w:line="240" w:lineRule="auto"/>
                    <w:ind w:firstLine="0" w:firstLineChars="0"/>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磷石膏利用和贮存过程涉及的国家安全生产、职业健康、交通运输、消防等，应符合国家和地方 相关法律法规及标准的规定。</w:t>
                  </w:r>
                </w:p>
              </w:tc>
              <w:tc>
                <w:tcPr>
                  <w:tcW w:w="1850" w:type="pct"/>
                  <w:vAlign w:val="center"/>
                </w:tcPr>
                <w:p w14:paraId="0D683FD2">
                  <w:pPr>
                    <w:widowControl/>
                    <w:adjustRightInd w:val="0"/>
                    <w:snapToGrid w:val="0"/>
                    <w:spacing w:line="240" w:lineRule="auto"/>
                    <w:ind w:firstLine="0" w:firstLineChars="0"/>
                    <w:jc w:val="center"/>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本项目施工和运营过程中将按照</w:t>
                  </w:r>
                  <w:r>
                    <w:rPr>
                      <w:rFonts w:ascii="宋体" w:hAnsi="宋体" w:eastAsia="宋体" w:cs="宋体"/>
                      <w:color w:val="000000" w:themeColor="text1"/>
                      <w:sz w:val="21"/>
                      <w:szCs w:val="21"/>
                      <w:highlight w:val="none"/>
                      <w14:textFill>
                        <w14:solidFill>
                          <w14:schemeClr w14:val="tx1"/>
                        </w14:solidFill>
                      </w14:textFill>
                    </w:rPr>
                    <w:t>国家和地方相关法律法规及标准的规定</w:t>
                  </w:r>
                  <w:r>
                    <w:rPr>
                      <w:rFonts w:hint="eastAsia" w:ascii="宋体" w:hAnsi="宋体" w:eastAsia="宋体" w:cs="宋体"/>
                      <w:color w:val="000000" w:themeColor="text1"/>
                      <w:sz w:val="21"/>
                      <w:szCs w:val="21"/>
                      <w:highlight w:val="none"/>
                      <w:lang w:val="en-US" w:eastAsia="zh-CN"/>
                      <w14:textFill>
                        <w14:solidFill>
                          <w14:schemeClr w14:val="tx1"/>
                        </w14:solidFill>
                      </w14:textFill>
                    </w:rPr>
                    <w:t>生产经营。</w:t>
                  </w:r>
                </w:p>
              </w:tc>
              <w:tc>
                <w:tcPr>
                  <w:tcW w:w="277" w:type="pct"/>
                  <w:vAlign w:val="center"/>
                </w:tcPr>
                <w:p w14:paraId="202C857D">
                  <w:pPr>
                    <w:pStyle w:val="64"/>
                    <w:spacing w:beforeLines="0" w:afterLines="0" w:line="240" w:lineRule="auto"/>
                    <w:ind w:firstLine="0" w:firstLineChars="0"/>
                    <w:rPr>
                      <w:rFonts w:hint="eastAsia" w:ascii="Times New Roman"/>
                      <w:color w:val="000000" w:themeColor="text1"/>
                      <w:sz w:val="21"/>
                      <w:szCs w:val="21"/>
                      <w:highlight w:val="none"/>
                      <w14:textFill>
                        <w14:solidFill>
                          <w14:schemeClr w14:val="tx1"/>
                        </w14:solidFill>
                      </w14:textFill>
                    </w:rPr>
                  </w:pPr>
                </w:p>
              </w:tc>
            </w:tr>
            <w:tr w14:paraId="64CD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000" w:type="pct"/>
                  <w:gridSpan w:val="3"/>
                  <w:vAlign w:val="center"/>
                </w:tcPr>
                <w:p w14:paraId="738C009A">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ascii="宋体" w:hAnsi="宋体" w:eastAsia="宋体" w:cs="宋体"/>
                      <w:b/>
                      <w:bCs/>
                      <w:color w:val="000000" w:themeColor="text1"/>
                      <w:sz w:val="21"/>
                      <w:szCs w:val="21"/>
                      <w:highlight w:val="none"/>
                      <w14:textFill>
                        <w14:solidFill>
                          <w14:schemeClr w14:val="tx1"/>
                        </w14:solidFill>
                      </w14:textFill>
                    </w:rPr>
                    <w:t>利用过程污染控制技术要求</w:t>
                  </w:r>
                </w:p>
              </w:tc>
            </w:tr>
            <w:tr w14:paraId="7E6D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4675C61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回填场地底部高程应高于地下水</w:t>
                  </w:r>
                  <w:r>
                    <w:rPr>
                      <w:rFonts w:hint="eastAsia" w:ascii="宋体" w:hAnsi="宋体" w:cs="宋体"/>
                      <w:color w:val="000000" w:themeColor="text1"/>
                      <w:sz w:val="21"/>
                      <w:szCs w:val="21"/>
                      <w:highlight w:val="none"/>
                      <w:lang w:eastAsia="zh-CN"/>
                      <w14:textFill>
                        <w14:solidFill>
                          <w14:schemeClr w14:val="tx1"/>
                        </w14:solidFill>
                      </w14:textFill>
                    </w:rPr>
                    <w:t>面</w:t>
                  </w:r>
                  <w:r>
                    <w:rPr>
                      <w:rFonts w:ascii="宋体" w:hAnsi="宋体" w:eastAsia="宋体" w:cs="宋体"/>
                      <w:color w:val="000000" w:themeColor="text1"/>
                      <w:sz w:val="21"/>
                      <w:szCs w:val="21"/>
                      <w:highlight w:val="none"/>
                      <w14:textFill>
                        <w14:solidFill>
                          <w14:schemeClr w14:val="tx1"/>
                        </w14:solidFill>
                      </w14:textFill>
                    </w:rPr>
                    <w:t>最高水位。</w:t>
                  </w:r>
                </w:p>
              </w:tc>
              <w:tc>
                <w:tcPr>
                  <w:tcW w:w="1850" w:type="pct"/>
                  <w:vAlign w:val="center"/>
                </w:tcPr>
                <w:p w14:paraId="4C5F7F38">
                  <w:pPr>
                    <w:pStyle w:val="64"/>
                    <w:adjustRightInd/>
                    <w:snapToGrid/>
                    <w:spacing w:beforeLines="0" w:afterLines="0" w:line="240" w:lineRule="auto"/>
                    <w:ind w:firstLine="0" w:firstLineChars="0"/>
                    <w:rPr>
                      <w:rFonts w:hint="eastAsia" w:ascii="Times New Roman" w:eastAsia="宋体"/>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根据广西华蓝岩土工程有限公司编制的《寻甸县常青树磷石膏库综合治理项目</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塘子镇钟灵村委会令友采石场</w:t>
                  </w:r>
                  <w:r>
                    <w:rPr>
                      <w:rFonts w:hint="default"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生态修复水文地质勘察报告》、《寻甸县常青树磷石膏库综合治理项目</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塘子镇钟灵村委会令友采石场</w:t>
                  </w:r>
                  <w:r>
                    <w:rPr>
                      <w:rFonts w:hint="default"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生态修复工程地质勘察报告》内容，修复区最低点位于</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最低点位于采石场中部内，海拔标高为</w:t>
                  </w:r>
                  <w:r>
                    <w:rPr>
                      <w:rFonts w:hint="default"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204</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9.18m，</w:t>
                  </w:r>
                  <w:r>
                    <w:rPr>
                      <w:rFonts w:hint="default" w:ascii="Times New Roman" w:hAnsi="Times New Roman" w:cs="Times New Roman"/>
                      <w:b w:val="0"/>
                      <w:bCs/>
                      <w:color w:val="000000" w:themeColor="text1"/>
                      <w:kern w:val="0"/>
                      <w:sz w:val="21"/>
                      <w:szCs w:val="21"/>
                      <w:highlight w:val="none"/>
                      <w:lang w:val="zh-CN" w:eastAsia="zh-CN" w:bidi="ar"/>
                      <w14:textFill>
                        <w14:solidFill>
                          <w14:schemeClr w14:val="tx1"/>
                        </w14:solidFill>
                      </w14:textFill>
                    </w:rPr>
                    <w:t>场址区地下水位标高20</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cs="Times New Roman"/>
                      <w:b w:val="0"/>
                      <w:bCs/>
                      <w:color w:val="000000" w:themeColor="text1"/>
                      <w:kern w:val="0"/>
                      <w:sz w:val="21"/>
                      <w:szCs w:val="21"/>
                      <w:highlight w:val="none"/>
                      <w:lang w:val="zh-CN" w:eastAsia="zh-CN" w:bidi="ar"/>
                      <w14:textFill>
                        <w14:solidFill>
                          <w14:schemeClr w14:val="tx1"/>
                        </w14:solidFill>
                      </w14:textFill>
                    </w:rPr>
                    <w:t>0.03m-20</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cs="Times New Roman"/>
                      <w:b w:val="0"/>
                      <w:bCs/>
                      <w:color w:val="000000" w:themeColor="text1"/>
                      <w:kern w:val="0"/>
                      <w:sz w:val="21"/>
                      <w:szCs w:val="21"/>
                      <w:highlight w:val="none"/>
                      <w:lang w:val="zh-CN" w:eastAsia="zh-CN" w:bidi="ar"/>
                      <w14:textFill>
                        <w14:solidFill>
                          <w14:schemeClr w14:val="tx1"/>
                        </w14:solidFill>
                      </w14:textFill>
                    </w:rPr>
                    <w:t>0.61m</w:t>
                  </w:r>
                  <w:r>
                    <w:rPr>
                      <w:rFonts w:hint="eastAsia" w:ascii="Times New Roman" w:hAnsi="Times New Roman" w:cs="Times New Roman"/>
                      <w:b w:val="0"/>
                      <w:bCs/>
                      <w:color w:val="000000" w:themeColor="text1"/>
                      <w:kern w:val="0"/>
                      <w:sz w:val="21"/>
                      <w:szCs w:val="21"/>
                      <w:highlight w:val="none"/>
                      <w:lang w:val="zh-CN" w:eastAsia="zh-CN" w:bidi="ar"/>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回填场地底部高程高于地下水年最高水位。</w:t>
                  </w:r>
                </w:p>
              </w:tc>
              <w:tc>
                <w:tcPr>
                  <w:tcW w:w="277" w:type="pct"/>
                  <w:vAlign w:val="center"/>
                </w:tcPr>
                <w:p w14:paraId="6290B304">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符合</w:t>
                  </w:r>
                </w:p>
              </w:tc>
            </w:tr>
            <w:tr w14:paraId="6361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47985B5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回填工程应采取雨污分流等措施减少渗滤液的产生量，底部基础层的设计应确保渗滤液得到有效收集和导排。基础层饱和渗透系数应不大于 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cm/s，且厚度不小于0.75m，当基础层不能满足上述要求时，可采用天然或改性粘土类衬层，其防渗性能应至少相当于渗透系数为 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cm/s且厚 度为0.75m的基础层。</w:t>
                  </w:r>
                </w:p>
              </w:tc>
              <w:tc>
                <w:tcPr>
                  <w:tcW w:w="1850" w:type="pct"/>
                  <w:vAlign w:val="center"/>
                </w:tcPr>
                <w:p w14:paraId="712E3CC4">
                  <w:pPr>
                    <w:pStyle w:val="64"/>
                    <w:adjustRightInd/>
                    <w:snapToGrid/>
                    <w:spacing w:beforeLines="0" w:afterLines="0" w:line="240" w:lineRule="auto"/>
                    <w:ind w:firstLine="0" w:firstLineChars="0"/>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项</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雨污分流等措施</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设计在</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采石场</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修复回填区周边设置周边截水沟，修复回填区场内</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均</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设置纵横雨水沟，导排场内雨水进入周边截水沟外排</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p w14:paraId="59F0BCC1">
                  <w:pPr>
                    <w:pStyle w:val="64"/>
                    <w:adjustRightInd/>
                    <w:snapToGrid/>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lang w:bidi="ar"/>
                      <w14:textFill>
                        <w14:solidFill>
                          <w14:schemeClr w14:val="tx1"/>
                        </w14:solidFill>
                      </w14:textFill>
                    </w:rPr>
                    <w:t>根据项目堆填设计，项目区粘土、粉质土渗透系数平均值为</w:t>
                  </w:r>
                  <w:r>
                    <w:rPr>
                      <w:rFonts w:hint="eastAsia" w:ascii="Times New Roman" w:hAnsi="Times New Roman" w:cs="Times New Roman"/>
                      <w:b w:val="0"/>
                      <w:bCs/>
                      <w:color w:val="000000" w:themeColor="text1"/>
                      <w:kern w:val="0"/>
                      <w:sz w:val="21"/>
                      <w:szCs w:val="21"/>
                      <w:highlight w:val="none"/>
                      <w:lang w:val="en-US" w:eastAsia="zh-CN" w:bidi="ar"/>
                      <w14:textFill>
                        <w14:solidFill>
                          <w14:schemeClr w14:val="tx1"/>
                        </w14:solidFill>
                      </w14:textFill>
                    </w:rPr>
                    <w:t>6.02</w:t>
                  </w:r>
                  <w:r>
                    <w:rPr>
                      <w:rFonts w:hint="default" w:ascii="Times New Roman" w:hAnsi="Times New Roman" w:cs="Times New Roman"/>
                      <w:b w:val="0"/>
                      <w:bCs/>
                      <w:color w:val="000000" w:themeColor="text1"/>
                      <w:kern w:val="0"/>
                      <w:sz w:val="21"/>
                      <w:szCs w:val="21"/>
                      <w:highlight w:val="none"/>
                      <w:lang w:bidi="ar"/>
                      <w14:textFill>
                        <w14:solidFill>
                          <w14:schemeClr w14:val="tx1"/>
                        </w14:solidFill>
                      </w14:textFill>
                    </w:rPr>
                    <w:t>×10</w:t>
                  </w:r>
                  <w:r>
                    <w:rPr>
                      <w:rFonts w:hint="default" w:ascii="Times New Roman" w:hAnsi="Times New Roman" w:cs="Times New Roman"/>
                      <w:b w:val="0"/>
                      <w:bCs/>
                      <w:color w:val="000000" w:themeColor="text1"/>
                      <w:kern w:val="0"/>
                      <w:sz w:val="21"/>
                      <w:szCs w:val="21"/>
                      <w:highlight w:val="none"/>
                      <w:vertAlign w:val="superscript"/>
                      <w:lang w:bidi="ar"/>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superscript"/>
                      <w:lang w:val="en-US" w:eastAsia="zh-CN" w:bidi="ar"/>
                      <w14:textFill>
                        <w14:solidFill>
                          <w14:schemeClr w14:val="tx1"/>
                        </w14:solidFill>
                      </w14:textFill>
                    </w:rPr>
                    <w:t>4</w:t>
                  </w:r>
                  <w:r>
                    <w:rPr>
                      <w:rFonts w:hint="default" w:ascii="Times New Roman" w:hAnsi="Times New Roman" w:cs="Times New Roman"/>
                      <w:b w:val="0"/>
                      <w:bCs/>
                      <w:color w:val="000000" w:themeColor="text1"/>
                      <w:kern w:val="0"/>
                      <w:sz w:val="21"/>
                      <w:szCs w:val="21"/>
                      <w:highlight w:val="none"/>
                      <w:lang w:bidi="ar"/>
                      <w14:textFill>
                        <w14:solidFill>
                          <w14:schemeClr w14:val="tx1"/>
                        </w14:solidFill>
                      </w14:textFill>
                    </w:rPr>
                    <w:t>cm/s，设计参照磷石膏堆存防渗要求对矿坑场底及岸坡进行全防渗处置。底部及岸坡防渗层结构为在场地整平后，铺0.75m厚黏土层，然后依次铺设聚酯长丝土工布，HDPE防渗膜（渗透系数≤1.0×10</w:t>
                  </w:r>
                  <w:r>
                    <w:rPr>
                      <w:rFonts w:hint="default" w:ascii="Times New Roman" w:hAnsi="Times New Roman" w:cs="Times New Roman"/>
                      <w:b w:val="0"/>
                      <w:bCs/>
                      <w:color w:val="000000" w:themeColor="text1"/>
                      <w:kern w:val="0"/>
                      <w:sz w:val="21"/>
                      <w:szCs w:val="21"/>
                      <w:highlight w:val="none"/>
                      <w:vertAlign w:val="superscript"/>
                      <w:lang w:bidi="ar"/>
                      <w14:textFill>
                        <w14:solidFill>
                          <w14:schemeClr w14:val="tx1"/>
                        </w14:solidFill>
                      </w14:textFill>
                    </w:rPr>
                    <w:t>-7</w:t>
                  </w:r>
                  <w:r>
                    <w:rPr>
                      <w:rFonts w:hint="default" w:ascii="Times New Roman" w:hAnsi="Times New Roman" w:cs="Times New Roman"/>
                      <w:b w:val="0"/>
                      <w:bCs/>
                      <w:color w:val="000000" w:themeColor="text1"/>
                      <w:kern w:val="0"/>
                      <w:sz w:val="21"/>
                      <w:szCs w:val="21"/>
                      <w:highlight w:val="none"/>
                      <w:lang w:bidi="ar"/>
                      <w14:textFill>
                        <w14:solidFill>
                          <w14:schemeClr w14:val="tx1"/>
                        </w14:solidFill>
                      </w14:textFill>
                    </w:rPr>
                    <w:t>cm/s），聚酯长丝土工布防渗层。通过设置人工防渗系统将场地基底及岸坡与磷石膏基新型材料产品完全隔离，以达到防渗要求。</w:t>
                  </w:r>
                </w:p>
              </w:tc>
              <w:tc>
                <w:tcPr>
                  <w:tcW w:w="277" w:type="pct"/>
                  <w:vAlign w:val="center"/>
                </w:tcPr>
                <w:p w14:paraId="63AAA0CD">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符合</w:t>
                  </w:r>
                </w:p>
              </w:tc>
            </w:tr>
            <w:tr w14:paraId="38FA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1DC63BA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磷石膏经预处理后进行回填利用时，回填物料按照 HJ 557制备的浸出液中pH值、氟化物、磷 酸盐（以 P 计）、氨氮、化学需氧量、总铅、总镉、总砷、总汞和总铬浓度应满足 GB 18599 中界定的 第Ⅰ类一般工业固体废物的要求。</w:t>
                  </w:r>
                </w:p>
              </w:tc>
              <w:tc>
                <w:tcPr>
                  <w:tcW w:w="1850" w:type="pct"/>
                  <w:vAlign w:val="center"/>
                </w:tcPr>
                <w:p w14:paraId="7F06F734">
                  <w:pPr>
                    <w:widowControl/>
                    <w:spacing w:line="240" w:lineRule="auto"/>
                    <w:ind w:firstLine="0" w:firstLineChars="0"/>
                    <w:jc w:val="left"/>
                    <w:rPr>
                      <w:rFonts w:asci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本项目采用无害化处理后的改性磷石膏对矿坑进行回填作业，改性磷石膏的质量特性满足云南省地方标准《改性磷石膏用于矿山废弃地生态修复回填技术规范》（DB53/T1269-2024）中5.4要求。</w:t>
                  </w:r>
                  <w:r>
                    <w:rPr>
                      <w:rFonts w:ascii="宋体" w:hAnsi="宋体" w:eastAsia="宋体" w:cs="宋体"/>
                      <w:color w:val="000000" w:themeColor="text1"/>
                      <w:sz w:val="21"/>
                      <w:szCs w:val="21"/>
                      <w:highlight w:val="none"/>
                      <w14:textFill>
                        <w14:solidFill>
                          <w14:schemeClr w14:val="tx1"/>
                        </w14:solidFill>
                      </w14:textFill>
                    </w:rPr>
                    <w:t>回填物料按照HJ557制备的浸出液中pH值、氟化物、磷 酸盐（以P计）、氨氮、化学需氧量、总铅、总镉、总砷、总汞和总铬浓度满足GB18599中界定的第Ⅰ类一般工业固体废物的要求。</w:t>
                  </w:r>
                </w:p>
              </w:tc>
              <w:tc>
                <w:tcPr>
                  <w:tcW w:w="277" w:type="pct"/>
                  <w:vAlign w:val="center"/>
                </w:tcPr>
                <w:p w14:paraId="0B95F9CB">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符合</w:t>
                  </w:r>
                </w:p>
              </w:tc>
            </w:tr>
            <w:tr w14:paraId="081E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3632239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回填作业宜分区进行，分区作业时间不宜超过3年，回填作业结束后进行封场和土地复垦。封场结构应包括阻隔层、雨水导排层、覆盖土层。覆盖土层的厚度视拟种植物的种类及其对阻隔层可能产生的损坏确定。</w:t>
                  </w:r>
                </w:p>
              </w:tc>
              <w:tc>
                <w:tcPr>
                  <w:tcW w:w="1850" w:type="pct"/>
                  <w:vAlign w:val="center"/>
                </w:tcPr>
                <w:p w14:paraId="2F365676">
                  <w:pPr>
                    <w:widowControl/>
                    <w:adjustRightInd w:val="0"/>
                    <w:snapToGrid w:val="0"/>
                    <w:spacing w:line="240" w:lineRule="auto"/>
                    <w:ind w:firstLine="0" w:firstLineChars="0"/>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本项目回填作业时间为1年，管护期为3年，</w:t>
                  </w:r>
                  <w:r>
                    <w:rPr>
                      <w:rFonts w:ascii="宋体" w:hAnsi="宋体" w:eastAsia="宋体" w:cs="宋体"/>
                      <w:color w:val="000000" w:themeColor="text1"/>
                      <w:sz w:val="21"/>
                      <w:szCs w:val="21"/>
                      <w:highlight w:val="none"/>
                      <w14:textFill>
                        <w14:solidFill>
                          <w14:schemeClr w14:val="tx1"/>
                        </w14:solidFill>
                      </w14:textFill>
                    </w:rPr>
                    <w:t>封场结构包括</w:t>
                  </w:r>
                  <w:r>
                    <w:rPr>
                      <w:rFonts w:hint="eastAsia" w:ascii="宋体" w:hAnsi="宋体" w:eastAsia="宋体" w:cs="宋体"/>
                      <w:color w:val="000000" w:themeColor="text1"/>
                      <w:sz w:val="21"/>
                      <w:szCs w:val="21"/>
                      <w:highlight w:val="none"/>
                      <w:lang w:val="en-US" w:eastAsia="zh-CN"/>
                      <w14:textFill>
                        <w14:solidFill>
                          <w14:schemeClr w14:val="tx1"/>
                        </w14:solidFill>
                      </w14:textFill>
                    </w:rPr>
                    <w:t>了</w:t>
                  </w:r>
                  <w:r>
                    <w:rPr>
                      <w:rFonts w:ascii="宋体" w:hAnsi="宋体" w:eastAsia="宋体" w:cs="宋体"/>
                      <w:color w:val="000000" w:themeColor="text1"/>
                      <w:sz w:val="21"/>
                      <w:szCs w:val="21"/>
                      <w:highlight w:val="none"/>
                      <w14:textFill>
                        <w14:solidFill>
                          <w14:schemeClr w14:val="tx1"/>
                        </w14:solidFill>
                      </w14:textFill>
                    </w:rPr>
                    <w:t>阻隔层、雨水导排层、覆盖土层</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根据项目实施方案</w:t>
                  </w:r>
                  <w:r>
                    <w:rPr>
                      <w:rFonts w:ascii="宋体" w:hAnsi="宋体" w:eastAsia="宋体" w:cs="宋体"/>
                      <w:color w:val="000000" w:themeColor="text1"/>
                      <w:sz w:val="21"/>
                      <w:szCs w:val="21"/>
                      <w:highlight w:val="none"/>
                      <w14:textFill>
                        <w14:solidFill>
                          <w14:schemeClr w14:val="tx1"/>
                        </w14:solidFill>
                      </w14:textFill>
                    </w:rPr>
                    <w:t>覆盖土层的厚度</w:t>
                  </w:r>
                  <w:r>
                    <w:rPr>
                      <w:rFonts w:hint="eastAsia" w:ascii="宋体" w:hAnsi="宋体" w:eastAsia="宋体" w:cs="宋体"/>
                      <w:color w:val="000000" w:themeColor="text1"/>
                      <w:sz w:val="21"/>
                      <w:szCs w:val="21"/>
                      <w:highlight w:val="none"/>
                      <w:lang w:val="en-US" w:eastAsia="zh-CN"/>
                      <w14:textFill>
                        <w14:solidFill>
                          <w14:schemeClr w14:val="tx1"/>
                        </w14:solidFill>
                      </w14:textFill>
                    </w:rPr>
                    <w:t>为0.6m</w:t>
                  </w: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277" w:type="pct"/>
                  <w:vAlign w:val="center"/>
                </w:tcPr>
                <w:p w14:paraId="719750F9">
                  <w:pPr>
                    <w:pStyle w:val="64"/>
                    <w:spacing w:beforeLines="0" w:afterLines="0" w:line="240" w:lineRule="auto"/>
                    <w:ind w:firstLine="0" w:firstLineChars="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符合</w:t>
                  </w:r>
                </w:p>
              </w:tc>
            </w:tr>
            <w:tr w14:paraId="3D2B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1994DF93">
                  <w:pPr>
                    <w:pStyle w:val="64"/>
                    <w:spacing w:beforeLines="0" w:afterLines="0" w:line="240" w:lineRule="auto"/>
                    <w:ind w:firstLine="0" w:firstLineChars="0"/>
                    <w:rPr>
                      <w:rFonts w:ascii="Times New Roman"/>
                      <w:b/>
                      <w:bCs/>
                      <w:color w:val="000000" w:themeColor="text1"/>
                      <w:sz w:val="21"/>
                      <w:szCs w:val="21"/>
                      <w:highlight w:val="none"/>
                      <w14:textFill>
                        <w14:solidFill>
                          <w14:schemeClr w14:val="tx1"/>
                        </w14:solidFill>
                      </w14:textFill>
                    </w:rPr>
                  </w:pPr>
                  <w:r>
                    <w:rPr>
                      <w:rFonts w:ascii="宋体" w:hAnsi="宋体" w:eastAsia="宋体" w:cs="宋体"/>
                      <w:b/>
                      <w:bCs/>
                      <w:color w:val="000000" w:themeColor="text1"/>
                      <w:sz w:val="21"/>
                      <w:szCs w:val="21"/>
                      <w:highlight w:val="none"/>
                      <w14:textFill>
                        <w14:solidFill>
                          <w14:schemeClr w14:val="tx1"/>
                        </w14:solidFill>
                      </w14:textFill>
                    </w:rPr>
                    <w:t>环境和污染物监测要求</w:t>
                  </w:r>
                </w:p>
              </w:tc>
            </w:tr>
            <w:tr w14:paraId="3145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22371E3A">
                  <w:pPr>
                    <w:widowControl/>
                    <w:adjustRightInd w:val="0"/>
                    <w:snapToGrid w:val="0"/>
                    <w:spacing w:line="240" w:lineRule="auto"/>
                    <w:ind w:firstLine="0" w:firstLineChars="0"/>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 xml:space="preserve">利用过程污染物监测 </w:t>
                  </w:r>
                </w:p>
                <w:p w14:paraId="67D8043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筑路、回填、充填和土地利用产物的监测应满足以下要求： a）磷石膏回填和土地利用产物中污染物的监测频次应不低于每周 3 次；连续 2 周监测结果均不超 出 5.2.3 和 5.4 条规定限值时，在磷石膏来源及投加量稳定的前提下，频次可减为每月 1 次；连 续 3 个月监测结果均不超出规定限值，频次可减为每年 2 次。若在此期间监测结果超出规定限 值，或磷石膏来源发生变化，或利用活动中断 3 个月以上，则监测频次重新调整为每周 3 次， 依次重复。每次采样数量应不少于 10 份，每份样品不小于 0.5 kg，混合均匀后进行分析测试。 b）应对磷石膏筑路和充填产物进行留样监测，监测结果应满足 5.1.1 和 5.3.2 规定限值，监测频次 和采样数量应符合 7.1.1 中 a）款规定。</w:t>
                  </w:r>
                </w:p>
              </w:tc>
              <w:tc>
                <w:tcPr>
                  <w:tcW w:w="1850" w:type="pct"/>
                  <w:vAlign w:val="center"/>
                </w:tcPr>
                <w:p w14:paraId="3F1225DC">
                  <w:pPr>
                    <w:pStyle w:val="64"/>
                    <w:adjustRightInd/>
                    <w:snapToGrid/>
                    <w:spacing w:beforeLines="0" w:afterLines="0" w:line="240" w:lineRule="auto"/>
                    <w:ind w:firstLine="0" w:firstLineChars="0"/>
                    <w:rPr>
                      <w:rFonts w:hint="default" w:ascii="Times New Roman" w:eastAsia="宋体"/>
                      <w:b w:val="0"/>
                      <w:bCs/>
                      <w:color w:val="000000" w:themeColor="text1"/>
                      <w:sz w:val="21"/>
                      <w:szCs w:val="21"/>
                      <w:highlight w:val="none"/>
                      <w:lang w:val="en-US" w:eastAsia="zh-CN"/>
                      <w14:textFill>
                        <w14:solidFill>
                          <w14:schemeClr w14:val="tx1"/>
                        </w14:solidFill>
                      </w14:textFill>
                    </w:rPr>
                  </w:pPr>
                  <w:r>
                    <w:rPr>
                      <w:rFonts w:hint="eastAsia" w:ascii="Times New Roman"/>
                      <w:b w:val="0"/>
                      <w:bCs/>
                      <w:color w:val="000000" w:themeColor="text1"/>
                      <w:sz w:val="21"/>
                      <w:szCs w:val="21"/>
                      <w:highlight w:val="none"/>
                      <w:lang w:val="en-US" w:eastAsia="zh-CN"/>
                      <w14:textFill>
                        <w14:solidFill>
                          <w14:schemeClr w14:val="tx1"/>
                        </w14:solidFill>
                      </w14:textFill>
                    </w:rPr>
                    <w:t>项目回填过程中将按照文件要求进行检测。</w:t>
                  </w:r>
                </w:p>
              </w:tc>
              <w:tc>
                <w:tcPr>
                  <w:tcW w:w="277" w:type="pct"/>
                  <w:vAlign w:val="center"/>
                </w:tcPr>
                <w:p w14:paraId="7ECF3FE5">
                  <w:pPr>
                    <w:pStyle w:val="64"/>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z w:val="21"/>
                      <w:szCs w:val="21"/>
                      <w:highlight w:val="none"/>
                      <w14:textFill>
                        <w14:solidFill>
                          <w14:schemeClr w14:val="tx1"/>
                        </w14:solidFill>
                      </w14:textFill>
                    </w:rPr>
                    <w:t>满足</w:t>
                  </w:r>
                </w:p>
              </w:tc>
            </w:tr>
            <w:tr w14:paraId="2141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728BEE6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利用过程大气和废水污染物的监测应执行相关的国家或地方标准的规定。</w:t>
                  </w:r>
                </w:p>
              </w:tc>
              <w:tc>
                <w:tcPr>
                  <w:tcW w:w="1850" w:type="pct"/>
                  <w:vAlign w:val="center"/>
                </w:tcPr>
                <w:p w14:paraId="65136CFE">
                  <w:pPr>
                    <w:pStyle w:val="64"/>
                    <w:adjustRightInd/>
                    <w:snapToGrid/>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z w:val="21"/>
                      <w:szCs w:val="21"/>
                      <w:highlight w:val="none"/>
                      <w14:textFill>
                        <w14:solidFill>
                          <w14:schemeClr w14:val="tx1"/>
                        </w14:solidFill>
                      </w14:textFill>
                    </w:rPr>
                    <w:t>项目已经编制生态修复设计方案，按照方案要求进行植被恢复工作，项目植被种类选用冬樱花、三角梅、狗牙根等，均不属于外来物种。</w:t>
                  </w:r>
                </w:p>
              </w:tc>
              <w:tc>
                <w:tcPr>
                  <w:tcW w:w="277" w:type="pct"/>
                  <w:vAlign w:val="center"/>
                </w:tcPr>
                <w:p w14:paraId="6CDCBEB9">
                  <w:pPr>
                    <w:pStyle w:val="64"/>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z w:val="21"/>
                      <w:szCs w:val="21"/>
                      <w:highlight w:val="none"/>
                      <w14:textFill>
                        <w14:solidFill>
                          <w14:schemeClr w14:val="tx1"/>
                        </w14:solidFill>
                      </w14:textFill>
                    </w:rPr>
                    <w:t>符合</w:t>
                  </w:r>
                </w:p>
              </w:tc>
            </w:tr>
            <w:tr w14:paraId="5E93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34C625A6">
                  <w:pPr>
                    <w:widowControl/>
                    <w:adjustRightInd w:val="0"/>
                    <w:snapToGrid w:val="0"/>
                    <w:spacing w:line="240" w:lineRule="auto"/>
                    <w:ind w:firstLine="0" w:firstLineChars="0"/>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回填和充填工程的地下水监测应满足以下要求： a）回填工程应结合地下水流场合理布设地下水监测井，在上游应布置 1 个监测井，在下游应至少 布置 1 个监测井。当回填作业结束后，基于最新的地下水流场对监测井位置进行调整。 b）充填工程应结合现有设施合理布设地下水监测井，在上游应布置 1 个监测井，在下游应至少布 置 1 个监测井。 c）充填或回填工程地下水监测井的监测频次至少每季度 1 次，充填或回填作业结束后，当地下水 水质连续 5 年不超出上游地下水水质或者所在区域地下水水质本底水平时可停止监测。 d）对于地下水含水层埋藏较深或地下水监测井较难布设的区域，经环境影响论证确认地下水不会 受到污染时，可不设置地下水监测井。</w:t>
                  </w:r>
                </w:p>
              </w:tc>
              <w:tc>
                <w:tcPr>
                  <w:tcW w:w="1850" w:type="pct"/>
                  <w:vAlign w:val="center"/>
                </w:tcPr>
                <w:p w14:paraId="25F6A2D2">
                  <w:pPr>
                    <w:pStyle w:val="64"/>
                    <w:adjustRightInd/>
                    <w:snapToGrid/>
                    <w:spacing w:beforeLines="0" w:afterLines="0" w:line="240" w:lineRule="auto"/>
                    <w:ind w:firstLine="0" w:firstLineChars="0"/>
                    <w:rPr>
                      <w:rFonts w:hint="eastAsia" w:ascii="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项目设置</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个地下水</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跟踪监控井</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1口地下水收集井</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设置6个地下水水质监测井，其中上游1个，下游1个，修复区周边3个，八角洞村设置1口监控井，在采石场设置1口地下水收集井</w:t>
                  </w:r>
                  <w:r>
                    <w:rPr>
                      <w:rFonts w:hint="eastAsia" w:ascii="Times New Roman" w:cs="Times New Roman"/>
                      <w:b w:val="0"/>
                      <w:bCs/>
                      <w:color w:val="000000" w:themeColor="text1"/>
                      <w:sz w:val="21"/>
                      <w:szCs w:val="21"/>
                      <w:highlight w:val="none"/>
                      <w:lang w:val="en-US" w:eastAsia="zh-CN"/>
                      <w14:textFill>
                        <w14:solidFill>
                          <w14:schemeClr w14:val="tx1"/>
                        </w14:solidFill>
                      </w14:textFill>
                    </w:rPr>
                    <w:t>。</w:t>
                  </w:r>
                </w:p>
              </w:tc>
              <w:tc>
                <w:tcPr>
                  <w:tcW w:w="277" w:type="pct"/>
                  <w:vAlign w:val="center"/>
                </w:tcPr>
                <w:p w14:paraId="530B3162">
                  <w:pPr>
                    <w:pStyle w:val="64"/>
                    <w:spacing w:beforeLines="0" w:afterLines="0" w:line="240" w:lineRule="auto"/>
                    <w:ind w:firstLine="0" w:firstLineChars="0"/>
                    <w:rPr>
                      <w:rFonts w:hint="eastAsia" w:ascii="Times New Roman"/>
                      <w:b w:val="0"/>
                      <w:bCs/>
                      <w:color w:val="000000" w:themeColor="text1"/>
                      <w:sz w:val="21"/>
                      <w:szCs w:val="21"/>
                      <w:highlight w:val="none"/>
                      <w14:textFill>
                        <w14:solidFill>
                          <w14:schemeClr w14:val="tx1"/>
                        </w14:solidFill>
                      </w14:textFill>
                    </w:rPr>
                  </w:pPr>
                </w:p>
              </w:tc>
            </w:tr>
            <w:tr w14:paraId="328D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776E7F6D">
                  <w:pPr>
                    <w:pStyle w:val="64"/>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14:textFill>
                        <w14:solidFill>
                          <w14:schemeClr w14:val="tx1"/>
                        </w14:solidFill>
                      </w14:textFill>
                    </w:rPr>
                    <w:t>环境管理要求</w:t>
                  </w:r>
                </w:p>
              </w:tc>
            </w:tr>
            <w:tr w14:paraId="130E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738C098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8.1 磷石膏贮存企业应编制环境应急预案，并定期开展培训和演练。环境应急预案可参照 HJ 740 及《尾 矿库环境应急预案编制指南》的要求编制。</w:t>
                  </w:r>
                </w:p>
              </w:tc>
              <w:tc>
                <w:tcPr>
                  <w:tcW w:w="1850" w:type="pct"/>
                  <w:vAlign w:val="center"/>
                </w:tcPr>
                <w:p w14:paraId="780ED329">
                  <w:pPr>
                    <w:pStyle w:val="64"/>
                    <w:adjustRightInd/>
                    <w:snapToGrid/>
                    <w:spacing w:beforeLines="0" w:afterLines="0" w:line="240" w:lineRule="auto"/>
                    <w:ind w:firstLine="0" w:firstLineChars="0"/>
                    <w:rPr>
                      <w:rFonts w:hint="eastAsia" w:ascii="Times New Roman" w:eastAsia="宋体"/>
                      <w:b w:val="0"/>
                      <w:bCs/>
                      <w:color w:val="000000" w:themeColor="text1"/>
                      <w:sz w:val="21"/>
                      <w:szCs w:val="21"/>
                      <w:highlight w:val="none"/>
                      <w:lang w:val="en-US" w:eastAsia="zh-CN"/>
                      <w14:textFill>
                        <w14:solidFill>
                          <w14:schemeClr w14:val="tx1"/>
                        </w14:solidFill>
                      </w14:textFill>
                    </w:rPr>
                  </w:pPr>
                  <w:r>
                    <w:rPr>
                      <w:rFonts w:hint="eastAsia" w:ascii="Times New Roman"/>
                      <w:b w:val="0"/>
                      <w:bCs/>
                      <w:color w:val="000000" w:themeColor="text1"/>
                      <w:sz w:val="21"/>
                      <w:szCs w:val="21"/>
                      <w:highlight w:val="none"/>
                      <w:lang w:val="en-US" w:eastAsia="zh-CN"/>
                      <w14:textFill>
                        <w14:solidFill>
                          <w14:schemeClr w14:val="tx1"/>
                        </w14:solidFill>
                      </w14:textFill>
                    </w:rPr>
                    <w:t>本次环评要求项目实施完成后应按照要求</w:t>
                  </w:r>
                  <w:r>
                    <w:rPr>
                      <w:rFonts w:ascii="宋体" w:hAnsi="宋体" w:eastAsia="宋体" w:cs="宋体"/>
                      <w:b w:val="0"/>
                      <w:bCs/>
                      <w:color w:val="000000" w:themeColor="text1"/>
                      <w:sz w:val="21"/>
                      <w:szCs w:val="21"/>
                      <w:highlight w:val="none"/>
                      <w14:textFill>
                        <w14:solidFill>
                          <w14:schemeClr w14:val="tx1"/>
                        </w14:solidFill>
                      </w14:textFill>
                    </w:rPr>
                    <w:t>编制环境应急预案，并定期开展培训和演练</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p>
              </w:tc>
              <w:tc>
                <w:tcPr>
                  <w:tcW w:w="277" w:type="pct"/>
                  <w:vAlign w:val="center"/>
                </w:tcPr>
                <w:p w14:paraId="31F23ADE">
                  <w:pPr>
                    <w:pStyle w:val="64"/>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z w:val="21"/>
                      <w:szCs w:val="21"/>
                      <w:highlight w:val="none"/>
                      <w14:textFill>
                        <w14:solidFill>
                          <w14:schemeClr w14:val="tx1"/>
                        </w14:solidFill>
                      </w14:textFill>
                    </w:rPr>
                    <w:t>符合</w:t>
                  </w:r>
                </w:p>
              </w:tc>
            </w:tr>
            <w:tr w14:paraId="0E21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2" w:type="pct"/>
                  <w:vAlign w:val="center"/>
                </w:tcPr>
                <w:p w14:paraId="66FA999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8.2 企业应保存环境应急预案及培训记录、环境管理台账等，保存时间不得少于5年。</w:t>
                  </w:r>
                </w:p>
              </w:tc>
              <w:tc>
                <w:tcPr>
                  <w:tcW w:w="1850" w:type="pct"/>
                  <w:vAlign w:val="center"/>
                </w:tcPr>
                <w:p w14:paraId="74259701">
                  <w:pPr>
                    <w:pStyle w:val="64"/>
                    <w:adjustRightInd/>
                    <w:snapToGrid/>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z w:val="21"/>
                      <w:szCs w:val="21"/>
                      <w:highlight w:val="none"/>
                      <w:lang w:val="en-US" w:eastAsia="zh-CN"/>
                      <w14:textFill>
                        <w14:solidFill>
                          <w14:schemeClr w14:val="tx1"/>
                        </w14:solidFill>
                      </w14:textFill>
                    </w:rPr>
                    <w:t>本次环评要求</w:t>
                  </w:r>
                  <w:r>
                    <w:rPr>
                      <w:rFonts w:ascii="宋体" w:hAnsi="宋体" w:eastAsia="宋体" w:cs="宋体"/>
                      <w:b w:val="0"/>
                      <w:bCs/>
                      <w:color w:val="000000" w:themeColor="text1"/>
                      <w:sz w:val="21"/>
                      <w:szCs w:val="21"/>
                      <w:highlight w:val="none"/>
                      <w14:textFill>
                        <w14:solidFill>
                          <w14:schemeClr w14:val="tx1"/>
                        </w14:solidFill>
                      </w14:textFill>
                    </w:rPr>
                    <w:t>企业应保存环境应急预案及培训记录、环境管理台账等，保存时间不得少于5年。</w:t>
                  </w:r>
                </w:p>
              </w:tc>
              <w:tc>
                <w:tcPr>
                  <w:tcW w:w="277" w:type="pct"/>
                  <w:vAlign w:val="center"/>
                </w:tcPr>
                <w:p w14:paraId="0E3A120E">
                  <w:pPr>
                    <w:pStyle w:val="64"/>
                    <w:spacing w:beforeLines="0" w:afterLines="0" w:line="240" w:lineRule="auto"/>
                    <w:ind w:firstLine="0" w:firstLineChars="0"/>
                    <w:rPr>
                      <w:rFonts w:ascii="Times New Roman"/>
                      <w:b w:val="0"/>
                      <w:bCs/>
                      <w:color w:val="000000" w:themeColor="text1"/>
                      <w:sz w:val="21"/>
                      <w:szCs w:val="21"/>
                      <w:highlight w:val="none"/>
                      <w14:textFill>
                        <w14:solidFill>
                          <w14:schemeClr w14:val="tx1"/>
                        </w14:solidFill>
                      </w14:textFill>
                    </w:rPr>
                  </w:pPr>
                  <w:r>
                    <w:rPr>
                      <w:rFonts w:hint="eastAsia" w:ascii="Times New Roman"/>
                      <w:b w:val="0"/>
                      <w:bCs/>
                      <w:color w:val="000000" w:themeColor="text1"/>
                      <w:sz w:val="21"/>
                      <w:szCs w:val="21"/>
                      <w:highlight w:val="none"/>
                      <w14:textFill>
                        <w14:solidFill>
                          <w14:schemeClr w14:val="tx1"/>
                        </w14:solidFill>
                      </w14:textFill>
                    </w:rPr>
                    <w:t>符合</w:t>
                  </w:r>
                </w:p>
              </w:tc>
            </w:tr>
          </w:tbl>
          <w:p w14:paraId="2C55396F">
            <w:pPr>
              <w:pStyle w:val="26"/>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综上，本项目与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 1415-2025）是相符的。</w:t>
            </w:r>
          </w:p>
          <w:p w14:paraId="69384006">
            <w:pPr>
              <w:pStyle w:val="27"/>
              <w:rPr>
                <w:rFonts w:hint="eastAsia"/>
                <w:color w:val="000000" w:themeColor="text1"/>
                <w:highlight w:val="none"/>
                <w14:textFill>
                  <w14:solidFill>
                    <w14:schemeClr w14:val="tx1"/>
                  </w14:solidFill>
                </w14:textFill>
              </w:rPr>
            </w:pPr>
          </w:p>
          <w:p w14:paraId="7E39AA41">
            <w:pPr>
              <w:pStyle w:val="28"/>
              <w:rPr>
                <w:rFonts w:hint="eastAsia"/>
                <w:color w:val="000000" w:themeColor="text1"/>
                <w:highlight w:val="none"/>
                <w14:textFill>
                  <w14:solidFill>
                    <w14:schemeClr w14:val="tx1"/>
                  </w14:solidFill>
                </w14:textFill>
              </w:rPr>
            </w:pPr>
          </w:p>
          <w:p w14:paraId="0A06C53E">
            <w:pPr>
              <w:pStyle w:val="12"/>
              <w:rPr>
                <w:rFonts w:hint="eastAsia"/>
                <w:color w:val="000000" w:themeColor="text1"/>
                <w:highlight w:val="none"/>
                <w14:textFill>
                  <w14:solidFill>
                    <w14:schemeClr w14:val="tx1"/>
                  </w14:solidFill>
                </w14:textFill>
              </w:rPr>
            </w:pPr>
          </w:p>
          <w:p w14:paraId="349874FC">
            <w:pPr>
              <w:pStyle w:val="13"/>
              <w:rPr>
                <w:rFonts w:hint="eastAsia"/>
                <w:color w:val="000000" w:themeColor="text1"/>
                <w:highlight w:val="none"/>
                <w14:textFill>
                  <w14:solidFill>
                    <w14:schemeClr w14:val="tx1"/>
                  </w14:solidFill>
                </w14:textFill>
              </w:rPr>
            </w:pPr>
          </w:p>
          <w:p w14:paraId="64A04B2E">
            <w:pPr>
              <w:pStyle w:val="14"/>
              <w:rPr>
                <w:rFonts w:hint="eastAsia"/>
                <w:color w:val="000000" w:themeColor="text1"/>
                <w:highlight w:val="none"/>
                <w14:textFill>
                  <w14:solidFill>
                    <w14:schemeClr w14:val="tx1"/>
                  </w14:solidFill>
                </w14:textFill>
              </w:rPr>
            </w:pPr>
          </w:p>
          <w:p w14:paraId="2A55F452">
            <w:pPr>
              <w:pStyle w:val="15"/>
              <w:numPr>
                <w:ilvl w:val="0"/>
                <w:numId w:val="0"/>
              </w:numPr>
              <w:rPr>
                <w:color w:val="000000" w:themeColor="text1"/>
                <w:highlight w:val="none"/>
                <w14:textFill>
                  <w14:solidFill>
                    <w14:schemeClr w14:val="tx1"/>
                  </w14:solidFill>
                </w14:textFill>
              </w:rPr>
            </w:pPr>
          </w:p>
          <w:p w14:paraId="269EDFE4">
            <w:pPr>
              <w:pStyle w:val="17"/>
              <w:rPr>
                <w:rFonts w:hint="eastAsia"/>
                <w:color w:val="000000" w:themeColor="text1"/>
                <w:highlight w:val="none"/>
                <w14:textFill>
                  <w14:solidFill>
                    <w14:schemeClr w14:val="tx1"/>
                  </w14:solidFill>
                </w14:textFill>
              </w:rPr>
            </w:pPr>
          </w:p>
          <w:p w14:paraId="52E3F9DF">
            <w:pPr>
              <w:pStyle w:val="18"/>
              <w:rPr>
                <w:rFonts w:hint="eastAsia"/>
                <w:color w:val="000000" w:themeColor="text1"/>
                <w:highlight w:val="none"/>
                <w14:textFill>
                  <w14:solidFill>
                    <w14:schemeClr w14:val="tx1"/>
                  </w14:solidFill>
                </w14:textFill>
              </w:rPr>
            </w:pPr>
          </w:p>
          <w:p w14:paraId="6CFA9E4D">
            <w:pPr>
              <w:rPr>
                <w:rFonts w:hint="eastAsia"/>
                <w:color w:val="000000" w:themeColor="text1"/>
                <w:highlight w:val="none"/>
                <w14:textFill>
                  <w14:solidFill>
                    <w14:schemeClr w14:val="tx1"/>
                  </w14:solidFill>
                </w14:textFill>
              </w:rPr>
            </w:pPr>
          </w:p>
          <w:p w14:paraId="5BF6B0D7">
            <w:pPr>
              <w:rPr>
                <w:rFonts w:hint="eastAsia"/>
                <w:color w:val="000000" w:themeColor="text1"/>
                <w:highlight w:val="none"/>
                <w14:textFill>
                  <w14:solidFill>
                    <w14:schemeClr w14:val="tx1"/>
                  </w14:solidFill>
                </w14:textFill>
              </w:rPr>
            </w:pPr>
          </w:p>
          <w:p w14:paraId="673724F4">
            <w:pPr>
              <w:rPr>
                <w:rFonts w:hint="eastAsia"/>
                <w:color w:val="000000" w:themeColor="text1"/>
                <w:highlight w:val="none"/>
                <w14:textFill>
                  <w14:solidFill>
                    <w14:schemeClr w14:val="tx1"/>
                  </w14:solidFill>
                </w14:textFill>
              </w:rPr>
            </w:pPr>
          </w:p>
          <w:p w14:paraId="021542CE">
            <w:pPr>
              <w:rPr>
                <w:rFonts w:hint="eastAsia"/>
                <w:color w:val="000000" w:themeColor="text1"/>
                <w:highlight w:val="none"/>
                <w14:textFill>
                  <w14:solidFill>
                    <w14:schemeClr w14:val="tx1"/>
                  </w14:solidFill>
                </w14:textFill>
              </w:rPr>
            </w:pPr>
          </w:p>
          <w:p w14:paraId="67CC97A1">
            <w:pPr>
              <w:rPr>
                <w:rFonts w:hint="eastAsia"/>
                <w:color w:val="000000" w:themeColor="text1"/>
                <w:highlight w:val="none"/>
                <w14:textFill>
                  <w14:solidFill>
                    <w14:schemeClr w14:val="tx1"/>
                  </w14:solidFill>
                </w14:textFill>
              </w:rPr>
            </w:pPr>
          </w:p>
          <w:p w14:paraId="025BECA8">
            <w:pPr>
              <w:rPr>
                <w:rFonts w:hint="eastAsia"/>
                <w:color w:val="000000" w:themeColor="text1"/>
                <w:highlight w:val="none"/>
                <w14:textFill>
                  <w14:solidFill>
                    <w14:schemeClr w14:val="tx1"/>
                  </w14:solidFill>
                </w14:textFill>
              </w:rPr>
            </w:pPr>
          </w:p>
          <w:p w14:paraId="31BDDBCC">
            <w:pPr>
              <w:rPr>
                <w:rFonts w:hint="eastAsia"/>
                <w:color w:val="000000" w:themeColor="text1"/>
                <w:highlight w:val="none"/>
                <w14:textFill>
                  <w14:solidFill>
                    <w14:schemeClr w14:val="tx1"/>
                  </w14:solidFill>
                </w14:textFill>
              </w:rPr>
            </w:pPr>
          </w:p>
          <w:p w14:paraId="166561BA">
            <w:pPr>
              <w:rPr>
                <w:rFonts w:hint="eastAsia"/>
                <w:color w:val="000000" w:themeColor="text1"/>
                <w:highlight w:val="none"/>
                <w14:textFill>
                  <w14:solidFill>
                    <w14:schemeClr w14:val="tx1"/>
                  </w14:solidFill>
                </w14:textFill>
              </w:rPr>
            </w:pPr>
          </w:p>
          <w:p w14:paraId="308432F8">
            <w:pPr>
              <w:rPr>
                <w:rFonts w:hint="eastAsia"/>
                <w:color w:val="000000" w:themeColor="text1"/>
                <w:highlight w:val="none"/>
                <w14:textFill>
                  <w14:solidFill>
                    <w14:schemeClr w14:val="tx1"/>
                  </w14:solidFill>
                </w14:textFill>
              </w:rPr>
            </w:pPr>
          </w:p>
          <w:p w14:paraId="501DA883">
            <w:pPr>
              <w:rPr>
                <w:color w:val="000000" w:themeColor="text1"/>
                <w:highlight w:val="none"/>
                <w14:textFill>
                  <w14:solidFill>
                    <w14:schemeClr w14:val="tx1"/>
                  </w14:solidFill>
                </w14:textFill>
              </w:rPr>
            </w:pPr>
          </w:p>
          <w:p w14:paraId="2237BCC0">
            <w:pPr>
              <w:rPr>
                <w:color w:val="000000" w:themeColor="text1"/>
                <w:highlight w:val="none"/>
                <w14:textFill>
                  <w14:solidFill>
                    <w14:schemeClr w14:val="tx1"/>
                  </w14:solidFill>
                </w14:textFill>
              </w:rPr>
            </w:pPr>
          </w:p>
          <w:p w14:paraId="3FE06644">
            <w:pPr>
              <w:pStyle w:val="23"/>
              <w:rPr>
                <w:color w:val="000000" w:themeColor="text1"/>
                <w:highlight w:val="none"/>
                <w14:textFill>
                  <w14:solidFill>
                    <w14:schemeClr w14:val="tx1"/>
                  </w14:solidFill>
                </w14:textFill>
              </w:rPr>
            </w:pPr>
          </w:p>
        </w:tc>
      </w:tr>
    </w:tbl>
    <w:p w14:paraId="45E81A17">
      <w:pPr>
        <w:ind w:firstLine="600"/>
        <w:rPr>
          <w:color w:val="000000" w:themeColor="text1"/>
          <w:sz w:val="3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43DB174">
      <w:pPr>
        <w:pStyle w:val="37"/>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bookmarkStart w:id="4" w:name="_Toc29043"/>
      <w:bookmarkStart w:id="5" w:name="_Toc16823"/>
      <w:r>
        <w:rPr>
          <w:rFonts w:hint="eastAsia" w:ascii="Times New Roman" w:hAnsi="Times New Roman"/>
          <w:snapToGrid w:val="0"/>
          <w:color w:val="000000" w:themeColor="text1"/>
          <w:sz w:val="30"/>
          <w:szCs w:val="30"/>
          <w14:textFill>
            <w14:solidFill>
              <w14:schemeClr w14:val="tx1"/>
            </w14:solidFill>
          </w14:textFill>
        </w:rPr>
        <w:t>二、建设内容</w:t>
      </w:r>
      <w:bookmarkEnd w:id="4"/>
      <w:bookmarkEnd w:id="5"/>
    </w:p>
    <w:tbl>
      <w:tblPr>
        <w:tblStyle w:val="40"/>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23"/>
      </w:tblGrid>
      <w:tr w14:paraId="4281C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DCDABD1">
            <w:pPr>
              <w:adjustRightInd w:val="0"/>
              <w:snapToGrid w:val="0"/>
              <w:spacing w:line="240" w:lineRule="auto"/>
              <w:ind w:firstLine="0" w:firstLineChars="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地理位置</w:t>
            </w:r>
          </w:p>
        </w:tc>
        <w:tc>
          <w:tcPr>
            <w:tcW w:w="8623" w:type="dxa"/>
            <w:vAlign w:val="center"/>
          </w:tcPr>
          <w:p w14:paraId="56457AB8">
            <w:pPr>
              <w:ind w:firstLine="480"/>
              <w:rPr>
                <w:color w:val="000000" w:themeColor="text1"/>
                <w:highlight w:val="none"/>
                <w14:textFill>
                  <w14:solidFill>
                    <w14:schemeClr w14:val="tx1"/>
                  </w14:solidFill>
                </w14:textFill>
              </w:rPr>
            </w:pPr>
            <w:r>
              <w:rPr>
                <w:color w:val="000000" w:themeColor="text1"/>
                <w:kern w:val="0"/>
                <w:highlight w:val="none"/>
                <w:lang w:bidi="ar"/>
                <w14:textFill>
                  <w14:solidFill>
                    <w14:schemeClr w14:val="tx1"/>
                  </w14:solidFill>
                </w14:textFill>
              </w:rPr>
              <w:t>寻甸县常青树磷石膏库综合治理项目位于寻甸县</w:t>
            </w:r>
            <w:r>
              <w:rPr>
                <w:rFonts w:hint="eastAsia"/>
                <w:color w:val="000000" w:themeColor="text1"/>
                <w:kern w:val="0"/>
                <w:highlight w:val="none"/>
                <w:lang w:eastAsia="zh-CN" w:bidi="ar"/>
                <w14:textFill>
                  <w14:solidFill>
                    <w14:schemeClr w14:val="tx1"/>
                  </w14:solidFill>
                </w14:textFill>
              </w:rPr>
              <w:t>塘子镇钟灵村委会令友采石场</w:t>
            </w:r>
            <w:r>
              <w:rPr>
                <w:color w:val="000000" w:themeColor="text1"/>
                <w:kern w:val="0"/>
                <w:highlight w:val="none"/>
                <w:lang w:bidi="ar"/>
                <w14:textFill>
                  <w14:solidFill>
                    <w14:schemeClr w14:val="tx1"/>
                  </w14:solidFill>
                </w14:textFill>
              </w:rPr>
              <w:t>，中心坐标：</w:t>
            </w:r>
            <w:r>
              <w:rPr>
                <w:rFonts w:hint="eastAsia"/>
                <w:color w:val="000000" w:themeColor="text1"/>
                <w:kern w:val="0"/>
                <w:highlight w:val="none"/>
                <w:lang w:bidi="ar"/>
                <w14:textFill>
                  <w14:solidFill>
                    <w14:schemeClr w14:val="tx1"/>
                  </w14:solidFill>
                </w14:textFill>
              </w:rPr>
              <w:t>东经</w:t>
            </w:r>
            <w:r>
              <w:rPr>
                <w:rFonts w:hint="eastAsia"/>
                <w:color w:val="000000" w:themeColor="text1"/>
                <w:highlight w:val="none"/>
                <w14:textFill>
                  <w14:solidFill>
                    <w14:schemeClr w14:val="tx1"/>
                  </w14:solidFill>
                </w14:textFill>
              </w:rPr>
              <w:t>103°17′39.40934″，北纬</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5°23′58.21863″</w:t>
            </w:r>
            <w:r>
              <w:rPr>
                <w:color w:val="000000" w:themeColor="text1"/>
                <w:kern w:val="0"/>
                <w:highlight w:val="none"/>
                <w:lang w:bidi="ar"/>
                <w14:textFill>
                  <w14:solidFill>
                    <w14:schemeClr w14:val="tx1"/>
                  </w14:solidFill>
                </w14:textFill>
              </w:rPr>
              <w:t>。项目地理位置图见附图1，项目生态修复范围拐点坐标表见表2-2。</w:t>
            </w:r>
          </w:p>
        </w:tc>
      </w:tr>
      <w:tr w14:paraId="402FB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6B68EAA">
            <w:pPr>
              <w:adjustRightInd w:val="0"/>
              <w:snapToGrid w:val="0"/>
              <w:spacing w:line="240" w:lineRule="auto"/>
              <w:ind w:firstLine="0" w:firstLineChars="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项目组成及规模</w:t>
            </w:r>
          </w:p>
        </w:tc>
        <w:tc>
          <w:tcPr>
            <w:tcW w:w="8623" w:type="dxa"/>
            <w:vAlign w:val="center"/>
          </w:tcPr>
          <w:p w14:paraId="248BBD17">
            <w:pPr>
              <w:adjustRightInd w:val="0"/>
              <w:ind w:firstLine="482"/>
              <w:rPr>
                <w:b/>
                <w:bCs/>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1、项目概况</w:t>
            </w:r>
          </w:p>
          <w:p w14:paraId="1FE1F113">
            <w:pPr>
              <w:adjustRightInd w:val="0"/>
              <w:ind w:firstLine="482"/>
              <w:jc w:val="left"/>
              <w:rPr>
                <w:b/>
                <w:bCs/>
                <w:color w:val="000000" w:themeColor="text1"/>
                <w:highlight w:val="none"/>
                <w14:textFill>
                  <w14:solidFill>
                    <w14:schemeClr w14:val="tx1"/>
                  </w14:solidFill>
                </w14:textFill>
              </w:rPr>
            </w:pPr>
            <w:r>
              <w:rPr>
                <w:b/>
                <w:bCs/>
                <w:color w:val="000000" w:themeColor="text1"/>
                <w:kern w:val="0"/>
                <w:highlight w:val="none"/>
                <w:lang w:bidi="ar"/>
                <w14:textFill>
                  <w14:solidFill>
                    <w14:schemeClr w14:val="tx1"/>
                  </w14:solidFill>
                </w14:textFill>
              </w:rPr>
              <w:t>（1）项目背景及评价内容</w:t>
            </w:r>
          </w:p>
          <w:p w14:paraId="6DFC1918">
            <w:pPr>
              <w:widowControl/>
              <w:kinsoku w:val="0"/>
              <w:autoSpaceDE w:val="0"/>
              <w:autoSpaceDN w:val="0"/>
              <w:adjustRightInd w:val="0"/>
              <w:snapToGrid w:val="0"/>
              <w:ind w:firstLine="480"/>
              <w:jc w:val="left"/>
              <w:textAlignment w:val="baseline"/>
              <w:rPr>
                <w:rFonts w:hint="default" w:eastAsia="宋体"/>
                <w:snapToGrid w:val="0"/>
                <w:color w:val="000000" w:themeColor="text1"/>
                <w:kern w:val="0"/>
                <w:highlight w:val="none"/>
                <w:lang w:val="en-US" w:eastAsia="zh-CN"/>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根据2024年3月昆明市生态环境局对云南常青树化工有限公司磷石膏渣场进行现场检查及云南常青树化工有限公司自查自验识别的环境问题，云南常青树化工有限公司存在：1、地方溯源分析认为厂区对聂鼠龙河造成污染；2、常青树磷石膏渣库不满足II类固废防渗要求；3、下游龙潭地下水氟化物、总磷超标</w:t>
            </w:r>
            <w:r>
              <w:rPr>
                <w:rFonts w:hint="eastAsia" w:ascii="Times New Roman" w:hAnsi="Times New Roman"/>
                <w:color w:val="000000" w:themeColor="text1"/>
                <w:sz w:val="24"/>
                <w:szCs w:val="24"/>
                <w:highlight w:val="none"/>
                <w:lang w:val="en-US" w:eastAsia="zh-CN"/>
                <w14:textFill>
                  <w14:solidFill>
                    <w14:schemeClr w14:val="tx1"/>
                  </w14:solidFill>
                </w14:textFill>
              </w:rPr>
              <w:t>等环境问题。</w:t>
            </w:r>
            <w:r>
              <w:rPr>
                <w:rFonts w:ascii="Times New Roman" w:hAnsi="Times New Roman"/>
                <w:color w:val="000000" w:themeColor="text1"/>
                <w:sz w:val="24"/>
                <w:szCs w:val="24"/>
                <w:highlight w:val="none"/>
                <w14:textFill>
                  <w14:solidFill>
                    <w14:schemeClr w14:val="tx1"/>
                  </w14:solidFill>
                </w14:textFill>
              </w:rPr>
              <w:t>由于云南常青树化工有限公司长期经营亏损，资金有限，无法彻底解决磷石膏渣场环境问题，无法从源头实现污染治理</w:t>
            </w:r>
            <w:r>
              <w:rPr>
                <w:rFonts w:hint="eastAsia"/>
                <w:color w:val="000000" w:themeColor="text1"/>
                <w:sz w:val="24"/>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无法履行企业主体责任</w:t>
            </w:r>
            <w:r>
              <w:rPr>
                <w:rFonts w:hint="eastAsia"/>
                <w:color w:val="000000" w:themeColor="text1"/>
                <w:highlight w:val="none"/>
                <w:lang w:eastAsia="zh-CN"/>
                <w14:textFill>
                  <w14:solidFill>
                    <w14:schemeClr w14:val="tx1"/>
                  </w14:solidFill>
                </w14:textFill>
              </w:rPr>
              <w:t>。</w:t>
            </w:r>
            <w:bookmarkStart w:id="6" w:name="_Toc21251"/>
            <w:bookmarkStart w:id="7" w:name="_Toc173834295"/>
            <w:bookmarkStart w:id="8" w:name="_Toc173834663"/>
            <w:bookmarkStart w:id="9" w:name="_Toc173835049"/>
            <w:r>
              <w:rPr>
                <w:color w:val="000000" w:themeColor="text1"/>
                <w:highlight w:val="none"/>
                <w14:textFill>
                  <w14:solidFill>
                    <w14:schemeClr w14:val="tx1"/>
                  </w14:solidFill>
                </w14:textFill>
              </w:rPr>
              <w:t>鉴于此，寻甸县人民政府经研究决定政府兜底责任，</w:t>
            </w:r>
            <w:r>
              <w:rPr>
                <w:rFonts w:hint="eastAsia"/>
                <w:snapToGrid w:val="0"/>
                <w:color w:val="000000" w:themeColor="text1"/>
                <w:spacing w:val="-4"/>
                <w:kern w:val="0"/>
                <w:highlight w:val="none"/>
                <w14:textFill>
                  <w14:solidFill>
                    <w14:schemeClr w14:val="tx1"/>
                  </w14:solidFill>
                </w14:textFill>
              </w:rPr>
              <w:t>由寻甸县</w:t>
            </w:r>
            <w:r>
              <w:rPr>
                <w:snapToGrid w:val="0"/>
                <w:color w:val="000000" w:themeColor="text1"/>
                <w:spacing w:val="-4"/>
                <w:kern w:val="0"/>
                <w:highlight w:val="none"/>
                <w14:textFill>
                  <w14:solidFill>
                    <w14:schemeClr w14:val="tx1"/>
                  </w14:solidFill>
                </w14:textFill>
              </w:rPr>
              <w:t>科技和工业信息化局</w:t>
            </w:r>
            <w:r>
              <w:rPr>
                <w:color w:val="000000" w:themeColor="text1"/>
                <w:highlight w:val="none"/>
                <w14:textFill>
                  <w14:solidFill>
                    <w14:schemeClr w14:val="tx1"/>
                  </w14:solidFill>
                </w14:textFill>
              </w:rPr>
              <w:t>承担云南常青树化工有限公司磷石膏渣场的综合治理任务</w:t>
            </w:r>
            <w:r>
              <w:rPr>
                <w:snapToGrid w:val="0"/>
                <w:color w:val="000000" w:themeColor="text1"/>
                <w:spacing w:val="-4"/>
                <w:kern w:val="0"/>
                <w:highlight w:val="none"/>
                <w14:textFill>
                  <w14:solidFill>
                    <w14:schemeClr w14:val="tx1"/>
                  </w14:solidFill>
                </w14:textFill>
              </w:rPr>
              <w:t>，</w:t>
            </w:r>
            <w:r>
              <w:rPr>
                <w:rFonts w:hint="eastAsia"/>
                <w:snapToGrid w:val="0"/>
                <w:color w:val="000000" w:themeColor="text1"/>
                <w:spacing w:val="-4"/>
                <w:kern w:val="0"/>
                <w:highlight w:val="none"/>
                <w14:textFill>
                  <w14:solidFill>
                    <w14:schemeClr w14:val="tx1"/>
                  </w14:solidFill>
                </w14:textFill>
              </w:rPr>
              <w:t>利用</w:t>
            </w:r>
            <w:r>
              <w:rPr>
                <w:color w:val="000000" w:themeColor="text1"/>
                <w:highlight w:val="none"/>
                <w14:textFill>
                  <w14:solidFill>
                    <w14:schemeClr w14:val="tx1"/>
                  </w14:solidFill>
                </w14:textFill>
              </w:rPr>
              <w:t>云南常青树化工有限公司</w:t>
            </w:r>
            <w:r>
              <w:rPr>
                <w:rFonts w:hint="eastAsia"/>
                <w:color w:val="000000" w:themeColor="text1"/>
                <w:highlight w:val="none"/>
                <w14:textFill>
                  <w14:solidFill>
                    <w14:schemeClr w14:val="tx1"/>
                  </w14:solidFill>
                </w14:textFill>
              </w:rPr>
              <w:t>磷石膏经改性后</w:t>
            </w:r>
            <w:r>
              <w:rPr>
                <w:snapToGrid w:val="0"/>
                <w:color w:val="000000" w:themeColor="text1"/>
                <w:spacing w:val="-4"/>
                <w:kern w:val="0"/>
                <w:highlight w:val="none"/>
                <w14:textFill>
                  <w14:solidFill>
                    <w14:schemeClr w14:val="tx1"/>
                  </w14:solidFill>
                </w14:textFill>
              </w:rPr>
              <w:t>对</w:t>
            </w:r>
            <w:r>
              <w:rPr>
                <w:rFonts w:hint="eastAsia"/>
                <w:snapToGrid w:val="0"/>
                <w:color w:val="000000" w:themeColor="text1"/>
                <w:kern w:val="0"/>
                <w:highlight w:val="none"/>
                <w:lang w:eastAsia="zh-CN"/>
                <w14:textFill>
                  <w14:solidFill>
                    <w14:schemeClr w14:val="tx1"/>
                  </w14:solidFill>
                </w14:textFill>
              </w:rPr>
              <w:t>寻甸县塘子镇钟灵村委会令友采石场</w:t>
            </w:r>
            <w:r>
              <w:rPr>
                <w:snapToGrid w:val="0"/>
                <w:color w:val="000000" w:themeColor="text1"/>
                <w:kern w:val="0"/>
                <w:highlight w:val="none"/>
                <w14:textFill>
                  <w14:solidFill>
                    <w14:schemeClr w14:val="tx1"/>
                  </w14:solidFill>
                </w14:textFill>
              </w:rPr>
              <w:t>进行矿</w:t>
            </w:r>
            <w:r>
              <w:rPr>
                <w:snapToGrid w:val="0"/>
                <w:color w:val="000000" w:themeColor="text1"/>
                <w:spacing w:val="-4"/>
                <w:kern w:val="0"/>
                <w:highlight w:val="none"/>
                <w14:textFill>
                  <w14:solidFill>
                    <w14:schemeClr w14:val="tx1"/>
                  </w14:solidFill>
                </w14:textFill>
              </w:rPr>
              <w:t>山生态修复工程充填，实现常青树磷石膏库清空处置，消除隐患风险</w:t>
            </w:r>
            <w:r>
              <w:rPr>
                <w:snapToGrid w:val="0"/>
                <w:color w:val="000000" w:themeColor="text1"/>
                <w:spacing w:val="-1"/>
                <w:kern w:val="0"/>
                <w:highlight w:val="none"/>
                <w14:textFill>
                  <w14:solidFill>
                    <w14:schemeClr w14:val="tx1"/>
                  </w14:solidFill>
                </w14:textFill>
              </w:rPr>
              <w:t>。</w:t>
            </w:r>
            <w:r>
              <w:rPr>
                <w:rFonts w:hint="eastAsia"/>
                <w:snapToGrid w:val="0"/>
                <w:color w:val="000000" w:themeColor="text1"/>
                <w:spacing w:val="-4"/>
                <w:kern w:val="0"/>
                <w:highlight w:val="none"/>
                <w14:textFill>
                  <w14:solidFill>
                    <w14:schemeClr w14:val="tx1"/>
                  </w14:solidFill>
                </w14:textFill>
              </w:rPr>
              <w:t>寻甸县</w:t>
            </w:r>
            <w:r>
              <w:rPr>
                <w:snapToGrid w:val="0"/>
                <w:color w:val="000000" w:themeColor="text1"/>
                <w:spacing w:val="-4"/>
                <w:kern w:val="0"/>
                <w:highlight w:val="none"/>
                <w14:textFill>
                  <w14:solidFill>
                    <w14:schemeClr w14:val="tx1"/>
                  </w14:solidFill>
                </w14:textFill>
              </w:rPr>
              <w:t>科技和工业信息化局</w:t>
            </w:r>
            <w:r>
              <w:rPr>
                <w:rFonts w:hint="eastAsia"/>
                <w:snapToGrid w:val="0"/>
                <w:color w:val="000000" w:themeColor="text1"/>
                <w:spacing w:val="-4"/>
                <w:kern w:val="0"/>
                <w:highlight w:val="none"/>
                <w:lang w:val="en-US" w:eastAsia="zh-CN"/>
                <w14:textFill>
                  <w14:solidFill>
                    <w14:schemeClr w14:val="tx1"/>
                  </w14:solidFill>
                </w14:textFill>
              </w:rPr>
              <w:t>和采石场签订了矿山修复协议（详见附件18），明确了双方的权利和义务，</w:t>
            </w:r>
            <w:r>
              <w:rPr>
                <w:rFonts w:hint="eastAsia"/>
                <w:snapToGrid w:val="0"/>
                <w:color w:val="000000" w:themeColor="text1"/>
                <w:spacing w:val="-4"/>
                <w:kern w:val="0"/>
                <w:highlight w:val="none"/>
                <w14:textFill>
                  <w14:solidFill>
                    <w14:schemeClr w14:val="tx1"/>
                  </w14:solidFill>
                </w14:textFill>
              </w:rPr>
              <w:t>寻甸县</w:t>
            </w:r>
            <w:r>
              <w:rPr>
                <w:snapToGrid w:val="0"/>
                <w:color w:val="000000" w:themeColor="text1"/>
                <w:spacing w:val="-4"/>
                <w:kern w:val="0"/>
                <w:highlight w:val="none"/>
                <w14:textFill>
                  <w14:solidFill>
                    <w14:schemeClr w14:val="tx1"/>
                  </w14:solidFill>
                </w14:textFill>
              </w:rPr>
              <w:t>科技和工业信息化局</w:t>
            </w:r>
            <w:r>
              <w:rPr>
                <w:rFonts w:hint="eastAsia"/>
                <w:snapToGrid w:val="0"/>
                <w:color w:val="000000" w:themeColor="text1"/>
                <w:spacing w:val="-4"/>
                <w:kern w:val="0"/>
                <w:highlight w:val="none"/>
                <w:lang w:val="en-US" w:eastAsia="zh-CN"/>
                <w14:textFill>
                  <w14:solidFill>
                    <w14:schemeClr w14:val="tx1"/>
                  </w14:solidFill>
                </w14:textFill>
              </w:rPr>
              <w:t>完全承担矿山修复义务，并承担相应的环保责任及项目管理义务。</w:t>
            </w:r>
          </w:p>
          <w:p w14:paraId="330D0CB1">
            <w:pPr>
              <w:spacing w:line="360" w:lineRule="auto"/>
              <w:ind w:firstLine="480" w:firstLineChars="20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本项目是寻甸县深入贯彻习近平生态文明思想、习近平总书记考察云南重要讲话以及关于长江生态环境保护、磷石膏综合治理的重要指示批示精神，基于云南常青树化工有限公司磷石膏渣场现状实际提出的一项环境保护和生态治理项目，是基于云南常青树化工有限公司磷石膏渣场常年堆存磷石膏渣造成的环境污染，以及</w:t>
            </w:r>
            <w:r>
              <w:rPr>
                <w:rFonts w:hint="eastAsia"/>
                <w:color w:val="000000" w:themeColor="text1"/>
                <w:sz w:val="24"/>
                <w:szCs w:val="24"/>
                <w:highlight w:val="none"/>
                <w:lang w:eastAsia="zh-CN"/>
                <w14:textFill>
                  <w14:solidFill>
                    <w14:schemeClr w14:val="tx1"/>
                  </w14:solidFill>
                </w14:textFill>
              </w:rPr>
              <w:t>寻甸县塘子镇钟灵村委会令友采石场</w:t>
            </w:r>
            <w:r>
              <w:rPr>
                <w:rFonts w:ascii="Times New Roman" w:hAnsi="Times New Roman"/>
                <w:color w:val="000000" w:themeColor="text1"/>
                <w:sz w:val="24"/>
                <w:szCs w:val="24"/>
                <w:highlight w:val="none"/>
                <w14:textFill>
                  <w14:solidFill>
                    <w14:schemeClr w14:val="tx1"/>
                  </w14:solidFill>
                </w14:textFill>
              </w:rPr>
              <w:t>废弃矿山生态修复任务而提出的统筹解决方案。</w:t>
            </w:r>
          </w:p>
          <w:bookmarkEnd w:id="6"/>
          <w:bookmarkEnd w:id="7"/>
          <w:bookmarkEnd w:id="8"/>
          <w:bookmarkEnd w:id="9"/>
          <w:p w14:paraId="29A151A3">
            <w:pPr>
              <w:pStyle w:val="21"/>
              <w:ind w:firstLine="480"/>
              <w:rPr>
                <w:color w:val="000000" w:themeColor="text1"/>
                <w:highlight w:val="none"/>
                <w:lang w:bidi="ar"/>
                <w14:textFill>
                  <w14:solidFill>
                    <w14:schemeClr w14:val="tx1"/>
                  </w14:solidFill>
                </w14:textFill>
              </w:rPr>
            </w:pPr>
            <w:r>
              <w:rPr>
                <w:color w:val="000000" w:themeColor="text1"/>
                <w:sz w:val="24"/>
                <w:highlight w:val="none"/>
                <w:lang w:bidi="ar"/>
                <w14:textFill>
                  <w14:solidFill>
                    <w14:schemeClr w14:val="tx1"/>
                  </w14:solidFill>
                </w14:textFill>
              </w:rPr>
              <w:t>结合各政策相关要求及项目区现状，为实现寻甸县</w:t>
            </w:r>
            <w:r>
              <w:rPr>
                <w:rFonts w:hint="eastAsia"/>
                <w:color w:val="000000" w:themeColor="text1"/>
                <w:sz w:val="24"/>
                <w:highlight w:val="none"/>
                <w:lang w:eastAsia="zh-CN" w:bidi="ar"/>
                <w14:textFill>
                  <w14:solidFill>
                    <w14:schemeClr w14:val="tx1"/>
                  </w14:solidFill>
                </w14:textFill>
              </w:rPr>
              <w:t>塘子镇钟灵村委会令友采石场废弃矿坑</w:t>
            </w:r>
            <w:r>
              <w:rPr>
                <w:color w:val="000000" w:themeColor="text1"/>
                <w:sz w:val="24"/>
                <w:highlight w:val="none"/>
                <w:lang w:bidi="ar"/>
                <w14:textFill>
                  <w14:solidFill>
                    <w14:schemeClr w14:val="tx1"/>
                  </w14:solidFill>
                </w14:textFill>
              </w:rPr>
              <w:t>生态环境问题的系统治理、综合治理、源头治理，从根本上解决生态突出问题。寻甸县科技和工业信息化局委托</w:t>
            </w:r>
            <w:r>
              <w:rPr>
                <w:rFonts w:hint="eastAsia"/>
                <w:color w:val="000000" w:themeColor="text1"/>
                <w:sz w:val="24"/>
                <w:highlight w:val="none"/>
                <w:lang w:eastAsia="zh-CN" w:bidi="ar"/>
                <w14:textFill>
                  <w14:solidFill>
                    <w14:schemeClr w14:val="tx1"/>
                  </w14:solidFill>
                </w14:textFill>
              </w:rPr>
              <w:t>广西华蓝岩土工程有限公司</w:t>
            </w:r>
            <w:r>
              <w:rPr>
                <w:color w:val="000000" w:themeColor="text1"/>
                <w:kern w:val="2"/>
                <w:sz w:val="24"/>
                <w:highlight w:val="none"/>
                <w14:textFill>
                  <w14:solidFill>
                    <w14:schemeClr w14:val="tx1"/>
                  </w14:solidFill>
                </w14:textFill>
              </w:rPr>
              <w:t>调查矿区环境污染现状、矿区地质、矿区生态状况调查，并编制了《云南省寻甸县</w:t>
            </w:r>
            <w:r>
              <w:rPr>
                <w:rFonts w:hint="eastAsia"/>
                <w:color w:val="000000" w:themeColor="text1"/>
                <w:kern w:val="2"/>
                <w:sz w:val="24"/>
                <w:highlight w:val="none"/>
                <w:lang w:eastAsia="zh-CN"/>
                <w14:textFill>
                  <w14:solidFill>
                    <w14:schemeClr w14:val="tx1"/>
                  </w14:solidFill>
                </w14:textFill>
              </w:rPr>
              <w:t>塘子镇钟灵村委会令友采石场废弃矿坑</w:t>
            </w:r>
            <w:r>
              <w:rPr>
                <w:color w:val="000000" w:themeColor="text1"/>
                <w:kern w:val="2"/>
                <w:sz w:val="24"/>
                <w:highlight w:val="none"/>
                <w14:textFill>
                  <w14:solidFill>
                    <w14:schemeClr w14:val="tx1"/>
                  </w14:solidFill>
                </w14:textFill>
              </w:rPr>
              <w:t>生态修复实施方案》、《云南省寻甸县</w:t>
            </w:r>
            <w:r>
              <w:rPr>
                <w:rFonts w:hint="eastAsia"/>
                <w:color w:val="000000" w:themeColor="text1"/>
                <w:kern w:val="2"/>
                <w:sz w:val="24"/>
                <w:highlight w:val="none"/>
                <w:lang w:eastAsia="zh-CN"/>
                <w14:textFill>
                  <w14:solidFill>
                    <w14:schemeClr w14:val="tx1"/>
                  </w14:solidFill>
                </w14:textFill>
              </w:rPr>
              <w:t>塘子镇钟灵村委会令友采石场废弃矿坑</w:t>
            </w:r>
            <w:r>
              <w:rPr>
                <w:color w:val="000000" w:themeColor="text1"/>
                <w:kern w:val="2"/>
                <w:sz w:val="24"/>
                <w:highlight w:val="none"/>
                <w14:textFill>
                  <w14:solidFill>
                    <w14:schemeClr w14:val="tx1"/>
                  </w14:solidFill>
                </w14:textFill>
              </w:rPr>
              <w:t>生态修复场地岩土工程勘察报告》《云南省寻甸县</w:t>
            </w:r>
            <w:r>
              <w:rPr>
                <w:rFonts w:hint="eastAsia"/>
                <w:color w:val="000000" w:themeColor="text1"/>
                <w:kern w:val="2"/>
                <w:sz w:val="24"/>
                <w:highlight w:val="none"/>
                <w:lang w:eastAsia="zh-CN"/>
                <w14:textFill>
                  <w14:solidFill>
                    <w14:schemeClr w14:val="tx1"/>
                  </w14:solidFill>
                </w14:textFill>
              </w:rPr>
              <w:t>塘子镇钟灵村委会令友采石场废弃矿坑</w:t>
            </w:r>
            <w:r>
              <w:rPr>
                <w:color w:val="000000" w:themeColor="text1"/>
                <w:kern w:val="2"/>
                <w:sz w:val="24"/>
                <w:highlight w:val="none"/>
                <w14:textFill>
                  <w14:solidFill>
                    <w14:schemeClr w14:val="tx1"/>
                  </w14:solidFill>
                </w14:textFill>
              </w:rPr>
              <w:t>生态修复水文地质勘察报告》</w:t>
            </w:r>
            <w:r>
              <w:rPr>
                <w:rFonts w:hint="eastAsia"/>
                <w:color w:val="000000" w:themeColor="text1"/>
                <w:kern w:val="2"/>
                <w:sz w:val="24"/>
                <w:highlight w:val="none"/>
                <w:lang w:eastAsia="zh-CN"/>
                <w14:textFill>
                  <w14:solidFill>
                    <w14:schemeClr w14:val="tx1"/>
                  </w14:solidFill>
                </w14:textFill>
              </w:rPr>
              <w:t>，</w:t>
            </w:r>
            <w:r>
              <w:rPr>
                <w:color w:val="000000" w:themeColor="text1"/>
                <w:kern w:val="2"/>
                <w:sz w:val="24"/>
                <w:highlight w:val="none"/>
                <w14:textFill>
                  <w14:solidFill>
                    <w14:schemeClr w14:val="tx1"/>
                  </w14:solidFill>
                </w14:textFill>
              </w:rPr>
              <w:t>本报告相关参数及数据等</w:t>
            </w:r>
            <w:r>
              <w:rPr>
                <w:rFonts w:hint="eastAsia"/>
                <w:color w:val="000000" w:themeColor="text1"/>
                <w:kern w:val="2"/>
                <w:sz w:val="24"/>
                <w:highlight w:val="none"/>
                <w14:textFill>
                  <w14:solidFill>
                    <w14:schemeClr w14:val="tx1"/>
                  </w14:solidFill>
                </w14:textFill>
              </w:rPr>
              <w:t>均</w:t>
            </w:r>
            <w:r>
              <w:rPr>
                <w:color w:val="000000" w:themeColor="text1"/>
                <w:kern w:val="2"/>
                <w:sz w:val="24"/>
                <w:highlight w:val="none"/>
                <w14:textFill>
                  <w14:solidFill>
                    <w14:schemeClr w14:val="tx1"/>
                  </w14:solidFill>
                </w14:textFill>
              </w:rPr>
              <w:t>来自于上述方案和报告</w:t>
            </w:r>
            <w:r>
              <w:rPr>
                <w:color w:val="000000" w:themeColor="text1"/>
                <w:sz w:val="24"/>
                <w:highlight w:val="none"/>
                <w:lang w:bidi="ar"/>
                <w14:textFill>
                  <w14:solidFill>
                    <w14:schemeClr w14:val="tx1"/>
                  </w14:solidFill>
                </w14:textFill>
              </w:rPr>
              <w:t>。</w:t>
            </w:r>
          </w:p>
          <w:p w14:paraId="69FFE4DD">
            <w:pPr>
              <w:keepNext w:val="0"/>
              <w:keepLines w:val="0"/>
              <w:pageBreakBefore w:val="0"/>
              <w:kinsoku/>
              <w:wordWrap/>
              <w:overflowPunct/>
              <w:topLinePunct w:val="0"/>
              <w:autoSpaceDE/>
              <w:autoSpaceDN/>
              <w:bidi w:val="0"/>
              <w:adjustRightInd w:val="0"/>
              <w:snapToGrid w:val="0"/>
              <w:ind w:firstLine="480"/>
              <w:jc w:val="left"/>
              <w:textAlignment w:val="auto"/>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t>年3月</w:t>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t>日</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寻甸县科技和工业信息化局取得</w:t>
            </w:r>
            <w:r>
              <w:rPr>
                <w:rFonts w:hint="eastAsia"/>
                <w:color w:val="000000" w:themeColor="text1"/>
                <w:highlight w:val="none"/>
                <w14:textFill>
                  <w14:solidFill>
                    <w14:schemeClr w14:val="tx1"/>
                  </w14:solidFill>
                </w14:textFill>
              </w:rPr>
              <w:t>《寻甸回族彝族自治县发展和改革局关于寻甸县常青树磷石膏库综合治理项目可行性研究报告批复》（寻发改投资〔2025〕1号）</w:t>
            </w:r>
            <w:r>
              <w:rPr>
                <w:rFonts w:hint="eastAsia"/>
                <w:color w:val="000000" w:themeColor="text1"/>
                <w:highlight w:val="none"/>
                <w:lang w:val="en-US" w:eastAsia="zh-CN"/>
                <w14:textFill>
                  <w14:solidFill>
                    <w14:schemeClr w14:val="tx1"/>
                  </w14:solidFill>
                </w14:textFill>
              </w:rPr>
              <w:t>。批复内容如下：</w:t>
            </w:r>
            <w:r>
              <w:rPr>
                <w:b/>
                <w:bCs/>
                <w:color w:val="000000" w:themeColor="text1"/>
                <w:highlight w:val="none"/>
                <w14:textFill>
                  <w14:solidFill>
                    <w14:schemeClr w14:val="tx1"/>
                  </w14:solidFill>
                </w14:textFill>
              </w:rPr>
              <w:t>项目代码：</w:t>
            </w:r>
            <w:r>
              <w:rPr>
                <w:color w:val="000000" w:themeColor="text1"/>
                <w:highlight w:val="none"/>
                <w14:textFill>
                  <w14:solidFill>
                    <w14:schemeClr w14:val="tx1"/>
                  </w14:solidFill>
                </w14:textFill>
              </w:rPr>
              <w:t>2502-530129-04-05-901566</w:t>
            </w:r>
            <w:r>
              <w:rPr>
                <w:rFonts w:hint="eastAsia"/>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拟建地址：</w:t>
            </w:r>
            <w:r>
              <w:rPr>
                <w:rFonts w:hint="eastAsia"/>
                <w:color w:val="000000" w:themeColor="text1"/>
                <w:highlight w:val="none"/>
                <w:lang w:val="en-US" w:eastAsia="zh-CN"/>
                <w14:textFill>
                  <w14:solidFill>
                    <w14:schemeClr w14:val="tx1"/>
                  </w14:solidFill>
                </w14:textFill>
              </w:rPr>
              <w:t>寻甸县塘子镇云南常青树化工有限公司磷石膏渣场、寻甸县塘子镇钟灵村委会令友采石场。</w:t>
            </w:r>
            <w:r>
              <w:rPr>
                <w:rFonts w:hint="eastAsia"/>
                <w:b/>
                <w:bCs/>
                <w:color w:val="000000" w:themeColor="text1"/>
                <w:highlight w:val="none"/>
                <w:lang w:val="en-US" w:eastAsia="zh-CN"/>
                <w14:textFill>
                  <w14:solidFill>
                    <w14:schemeClr w14:val="tx1"/>
                  </w14:solidFill>
                </w14:textFill>
              </w:rPr>
              <w:t>建设内容及规模：</w:t>
            </w:r>
            <w:r>
              <w:rPr>
                <w:rFonts w:hint="eastAsia"/>
                <w:color w:val="000000" w:themeColor="text1"/>
                <w:highlight w:val="none"/>
                <w:lang w:val="en-US" w:eastAsia="zh-CN"/>
                <w14:textFill>
                  <w14:solidFill>
                    <w14:schemeClr w14:val="tx1"/>
                  </w14:solidFill>
                </w14:textFill>
              </w:rPr>
              <w:t>1、完成云南常青树磷石膏库库存量约100万吨清空处置。2、对磷石膏进行无害化处置并利用废弃矿坑回填后，实现矿坑生态修复治理面积202.5亩左右。</w:t>
            </w:r>
          </w:p>
          <w:p w14:paraId="110A0D9E">
            <w:pPr>
              <w:keepNext w:val="0"/>
              <w:keepLines w:val="0"/>
              <w:pageBreakBefore w:val="0"/>
              <w:kinsoku/>
              <w:wordWrap/>
              <w:overflowPunct/>
              <w:topLinePunct w:val="0"/>
              <w:autoSpaceDE/>
              <w:autoSpaceDN/>
              <w:bidi w:val="0"/>
              <w:adjustRightInd w:val="0"/>
              <w:snapToGrid w:val="0"/>
              <w:ind w:firstLine="480"/>
              <w:jc w:val="left"/>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2026年1月，经寻甸县人民政府和</w:t>
            </w:r>
            <w:r>
              <w:rPr>
                <w:color w:val="000000" w:themeColor="text1"/>
                <w:highlight w:val="none"/>
                <w14:textFill>
                  <w14:solidFill>
                    <w14:schemeClr w14:val="tx1"/>
                  </w14:solidFill>
                </w14:textFill>
              </w:rPr>
              <w:t>寻甸县科技和工业信息化局</w:t>
            </w:r>
            <w:r>
              <w:rPr>
                <w:rFonts w:hint="eastAsia"/>
                <w:color w:val="000000" w:themeColor="text1"/>
                <w:highlight w:val="none"/>
                <w:lang w:val="en-US" w:eastAsia="zh-CN"/>
                <w14:textFill>
                  <w14:solidFill>
                    <w14:schemeClr w14:val="tx1"/>
                  </w14:solidFill>
                </w14:textFill>
              </w:rPr>
              <w:t>商议决定将矿坑生态修复治理选址由寻甸县塘子镇钟灵村委会令友采石场变更为</w:t>
            </w:r>
            <w:r>
              <w:rPr>
                <w:rFonts w:hint="eastAsia"/>
                <w:color w:val="000000" w:themeColor="text1"/>
                <w:highlight w:val="none"/>
                <w:lang w:eastAsia="zh-CN"/>
                <w14:textFill>
                  <w14:solidFill>
                    <w14:schemeClr w14:val="tx1"/>
                  </w14:solidFill>
                </w14:textFill>
              </w:rPr>
              <w:t>寻甸县塘子镇钟灵村委会令友采石场。</w:t>
            </w:r>
            <w:r>
              <w:rPr>
                <w:rFonts w:hint="eastAsia"/>
                <w:color w:val="000000" w:themeColor="text1"/>
                <w:highlight w:val="none"/>
                <w:lang w:val="en-US" w:eastAsia="zh-CN"/>
                <w14:textFill>
                  <w14:solidFill>
                    <w14:schemeClr w14:val="tx1"/>
                  </w14:solidFill>
                </w14:textFill>
              </w:rPr>
              <w:t>2026年1月23日，寻甸县回族彝族自治县发展和改革局出具了“关于常青树磷石膏库综合治理项目调整建设地点和规模的情况说明”，详见附件2。</w:t>
            </w:r>
          </w:p>
          <w:p w14:paraId="4E12F08D">
            <w:pPr>
              <w:keepNext w:val="0"/>
              <w:keepLines w:val="0"/>
              <w:pageBreakBefore w:val="0"/>
              <w:kinsoku/>
              <w:wordWrap/>
              <w:overflowPunct/>
              <w:topLinePunct w:val="0"/>
              <w:autoSpaceDE/>
              <w:autoSpaceDN/>
              <w:bidi w:val="0"/>
              <w:adjustRightInd w:val="0"/>
              <w:snapToGrid w:val="0"/>
              <w:ind w:firstLine="480"/>
              <w:jc w:val="left"/>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由于塘子镇钟灵村委会令友采石场生态修复工程作为独立治理单元，地理位置、地质条件、修复技术方案与其他子项目显著不同，各子项目需按不同地块区域或所属国民经济行业类别分别开展实施方案、环评等前期手续，因此将寻甸县常青树磷石膏库综合治理项目塘子镇钟灵村委会令友采石场生态修复工程作为子项目进行单独申报相关手续。</w:t>
            </w:r>
          </w:p>
          <w:p w14:paraId="30829E37">
            <w:pPr>
              <w:keepNext w:val="0"/>
              <w:keepLines w:val="0"/>
              <w:pageBreakBefore w:val="0"/>
              <w:kinsoku/>
              <w:wordWrap/>
              <w:overflowPunct/>
              <w:topLinePunct w:val="0"/>
              <w:autoSpaceDE/>
              <w:autoSpaceDN/>
              <w:bidi w:val="0"/>
              <w:adjustRightInd w:val="0"/>
              <w:snapToGrid w:val="0"/>
              <w:ind w:firstLine="480"/>
              <w:jc w:val="left"/>
              <w:textAlignment w:val="auto"/>
              <w:rPr>
                <w:rFonts w:hint="default" w:eastAsia="宋体"/>
                <w:color w:val="000000" w:themeColor="text1"/>
                <w:kern w:val="0"/>
                <w:highlight w:val="none"/>
                <w:lang w:val="en-US" w:eastAsia="zh-CN" w:bidi="ar"/>
                <w14:textFill>
                  <w14:solidFill>
                    <w14:schemeClr w14:val="tx1"/>
                  </w14:solidFill>
                </w14:textFill>
              </w:rPr>
            </w:pPr>
            <w:r>
              <w:rPr>
                <w:color w:val="000000" w:themeColor="text1"/>
                <w:kern w:val="0"/>
                <w:highlight w:val="none"/>
                <w:lang w:bidi="ar"/>
                <w14:textFill>
                  <w14:solidFill>
                    <w14:schemeClr w14:val="tx1"/>
                  </w14:solidFill>
                </w14:textFill>
              </w:rPr>
              <w:t>本次</w:t>
            </w:r>
            <w:r>
              <w:rPr>
                <w:rFonts w:hint="eastAsia"/>
                <w:color w:val="000000" w:themeColor="text1"/>
                <w:kern w:val="0"/>
                <w:highlight w:val="none"/>
                <w:lang w:val="en-US" w:eastAsia="zh-CN" w:bidi="ar"/>
                <w14:textFill>
                  <w14:solidFill>
                    <w14:schemeClr w14:val="tx1"/>
                  </w14:solidFill>
                </w14:textFill>
              </w:rPr>
              <w:t>环评</w:t>
            </w:r>
            <w:r>
              <w:rPr>
                <w:color w:val="000000" w:themeColor="text1"/>
                <w:kern w:val="0"/>
                <w:highlight w:val="none"/>
                <w:lang w:bidi="ar"/>
                <w14:textFill>
                  <w14:solidFill>
                    <w14:schemeClr w14:val="tx1"/>
                  </w14:solidFill>
                </w14:textFill>
              </w:rPr>
              <w:t>评价范围仅为改性磷石膏生态修复</w:t>
            </w:r>
            <w:r>
              <w:rPr>
                <w:rFonts w:hint="eastAsia"/>
                <w:color w:val="000000" w:themeColor="text1"/>
                <w:kern w:val="0"/>
                <w:highlight w:val="none"/>
                <w:lang w:val="en-US" w:eastAsia="zh-CN" w:bidi="ar"/>
                <w14:textFill>
                  <w14:solidFill>
                    <w14:schemeClr w14:val="tx1"/>
                  </w14:solidFill>
                </w14:textFill>
              </w:rPr>
              <w:t>治理</w:t>
            </w:r>
            <w:r>
              <w:rPr>
                <w:color w:val="000000" w:themeColor="text1"/>
                <w:kern w:val="0"/>
                <w:highlight w:val="none"/>
                <w:lang w:bidi="ar"/>
                <w14:textFill>
                  <w14:solidFill>
                    <w14:schemeClr w14:val="tx1"/>
                  </w14:solidFill>
                </w14:textFill>
              </w:rPr>
              <w:t>工程。</w:t>
            </w:r>
            <w:r>
              <w:rPr>
                <w:rFonts w:hint="eastAsia"/>
                <w:color w:val="000000" w:themeColor="text1"/>
                <w:kern w:val="0"/>
                <w:highlight w:val="none"/>
                <w:lang w:bidi="ar"/>
                <w14:textFill>
                  <w14:solidFill>
                    <w14:schemeClr w14:val="tx1"/>
                  </w14:solidFill>
                </w14:textFill>
              </w:rPr>
              <w:t>本次环评不包括</w:t>
            </w:r>
            <w:r>
              <w:rPr>
                <w:color w:val="000000" w:themeColor="text1"/>
                <w:kern w:val="0"/>
                <w:highlight w:val="none"/>
                <w:lang w:bidi="ar"/>
                <w14:textFill>
                  <w14:solidFill>
                    <w14:schemeClr w14:val="tx1"/>
                  </w14:solidFill>
                </w14:textFill>
              </w:rPr>
              <w:t>生产改性磷石膏生态修复材料</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本项目直接使用</w:t>
            </w:r>
            <w:r>
              <w:rPr>
                <w:color w:val="000000" w:themeColor="text1"/>
                <w:highlight w:val="none"/>
                <w14:textFill>
                  <w14:solidFill>
                    <w14:schemeClr w14:val="tx1"/>
                  </w14:solidFill>
                </w14:textFill>
              </w:rPr>
              <w:t>云南常青树化工有限公司磷石膏渣场</w:t>
            </w:r>
            <w:r>
              <w:rPr>
                <w:rFonts w:hint="eastAsia"/>
                <w:color w:val="000000" w:themeColor="text1"/>
                <w:highlight w:val="none"/>
                <w14:textFill>
                  <w14:solidFill>
                    <w14:schemeClr w14:val="tx1"/>
                  </w14:solidFill>
                </w14:textFill>
              </w:rPr>
              <w:t>堆存的</w:t>
            </w:r>
            <w:r>
              <w:rPr>
                <w:color w:val="000000" w:themeColor="text1"/>
                <w:highlight w:val="none"/>
                <w14:textFill>
                  <w14:solidFill>
                    <w14:schemeClr w14:val="tx1"/>
                  </w14:solidFill>
                </w14:textFill>
              </w:rPr>
              <w:t>100万吨磷石膏</w:t>
            </w:r>
            <w:r>
              <w:rPr>
                <w:rFonts w:hint="eastAsia"/>
                <w:color w:val="000000" w:themeColor="text1"/>
                <w:highlight w:val="none"/>
                <w14:textFill>
                  <w14:solidFill>
                    <w14:schemeClr w14:val="tx1"/>
                  </w14:solidFill>
                </w14:textFill>
              </w:rPr>
              <w:t>经改性</w:t>
            </w:r>
            <w:r>
              <w:rPr>
                <w:color w:val="000000" w:themeColor="text1"/>
                <w:kern w:val="0"/>
                <w:highlight w:val="none"/>
                <w:lang w:bidi="ar"/>
                <w14:textFill>
                  <w14:solidFill>
                    <w14:schemeClr w14:val="tx1"/>
                  </w14:solidFill>
                </w14:textFill>
              </w:rPr>
              <w:t>生产的磷石膏产品，经检测达到相关规范要求后进行回填修复</w:t>
            </w:r>
            <w:r>
              <w:rPr>
                <w:rFonts w:hint="eastAsia"/>
                <w:color w:val="000000" w:themeColor="text1"/>
                <w:kern w:val="0"/>
                <w:highlight w:val="none"/>
                <w:lang w:eastAsia="zh-CN" w:bidi="ar"/>
                <w14:textFill>
                  <w14:solidFill>
                    <w14:schemeClr w14:val="tx1"/>
                  </w14:solidFill>
                </w14:textFill>
              </w:rPr>
              <w:t>，</w:t>
            </w:r>
            <w:r>
              <w:rPr>
                <w:rFonts w:hint="eastAsia"/>
                <w:color w:val="000000" w:themeColor="text1"/>
                <w:kern w:val="0"/>
                <w:highlight w:val="none"/>
                <w:lang w:val="en-US" w:eastAsia="zh-CN" w:bidi="ar"/>
                <w14:textFill>
                  <w14:solidFill>
                    <w14:schemeClr w14:val="tx1"/>
                  </w14:solidFill>
                </w14:textFill>
              </w:rPr>
              <w:t>回填不足的部分从寻甸县其他磷石膏生产企业中进行增补</w:t>
            </w:r>
            <w:r>
              <w:rPr>
                <w:rFonts w:hint="eastAsia"/>
                <w:color w:val="000000" w:themeColor="text1"/>
                <w:kern w:val="0"/>
                <w:highlight w:val="none"/>
                <w:lang w:eastAsia="zh-CN" w:bidi="ar"/>
                <w14:textFill>
                  <w14:solidFill>
                    <w14:schemeClr w14:val="tx1"/>
                  </w14:solidFill>
                </w14:textFill>
              </w:rPr>
              <w:t>。</w:t>
            </w:r>
            <w:r>
              <w:rPr>
                <w:rFonts w:hint="eastAsia"/>
                <w:color w:val="000000" w:themeColor="text1"/>
                <w:kern w:val="0"/>
                <w:highlight w:val="none"/>
                <w:lang w:val="en-US" w:eastAsia="zh-CN" w:bidi="ar"/>
                <w14:textFill>
                  <w14:solidFill>
                    <w14:schemeClr w14:val="tx1"/>
                  </w14:solidFill>
                </w14:textFill>
              </w:rPr>
              <w:t>项目建设地点位于</w:t>
            </w:r>
            <w:r>
              <w:rPr>
                <w:rFonts w:hint="eastAsia"/>
                <w:color w:val="000000" w:themeColor="text1"/>
                <w:highlight w:val="none"/>
                <w:lang w:val="en-US" w:eastAsia="zh-CN"/>
                <w14:textFill>
                  <w14:solidFill>
                    <w14:schemeClr w14:val="tx1"/>
                  </w14:solidFill>
                </w14:textFill>
              </w:rPr>
              <w:t>寻甸县塘子镇钟灵村委会令友采石场。</w:t>
            </w:r>
          </w:p>
          <w:p w14:paraId="53B73301">
            <w:pPr>
              <w:adjustRightInd w:val="0"/>
              <w:spacing w:line="384" w:lineRule="auto"/>
              <w:ind w:firstLine="480"/>
              <w:jc w:val="left"/>
              <w:rPr>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根据《中华人民共和国环境影响评价法》《中华人民共和国环境保护法》和《建设项目环境保护管理条例》等相关规定，建设项目应该开展环境影响评价工作</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根据《建设项目环境影响评价分类管理名录》（2021年版）</w:t>
            </w:r>
            <w:r>
              <w:rPr>
                <w:rFonts w:hint="eastAsia"/>
                <w:color w:val="000000" w:themeColor="text1"/>
                <w:kern w:val="0"/>
                <w:highlight w:val="none"/>
                <w:lang w:bidi="ar"/>
                <w14:textFill>
                  <w14:solidFill>
                    <w14:schemeClr w14:val="tx1"/>
                  </w14:solidFill>
                </w14:textFill>
              </w:rPr>
              <w:t>中“</w:t>
            </w:r>
            <w:r>
              <w:rPr>
                <w:color w:val="000000" w:themeColor="text1"/>
                <w:kern w:val="0"/>
                <w:highlight w:val="none"/>
                <w:lang w:bidi="ar"/>
                <w14:textFill>
                  <w14:solidFill>
                    <w14:schemeClr w14:val="tx1"/>
                  </w14:solidFill>
                </w14:textFill>
              </w:rPr>
              <w:t>八、非金属采矿业</w:t>
            </w:r>
            <w:r>
              <w:rPr>
                <w:rFonts w:hint="eastAsia"/>
                <w:color w:val="000000" w:themeColor="text1"/>
                <w:kern w:val="0"/>
                <w:highlight w:val="none"/>
                <w:lang w:bidi="ar"/>
                <w14:textFill>
                  <w14:solidFill>
                    <w14:schemeClr w14:val="tx1"/>
                  </w14:solidFill>
                </w14:textFill>
              </w:rPr>
              <w:t>10中11、</w:t>
            </w:r>
            <w:r>
              <w:rPr>
                <w:color w:val="000000" w:themeColor="text1"/>
                <w:kern w:val="0"/>
                <w:highlight w:val="none"/>
                <w:lang w:bidi="ar"/>
                <w14:textFill>
                  <w14:solidFill>
                    <w14:schemeClr w14:val="tx1"/>
                  </w14:solidFill>
                </w14:textFill>
              </w:rPr>
              <w:t>土砂石开采101（不含河道采砂项目）</w:t>
            </w:r>
            <w:r>
              <w:rPr>
                <w:rFonts w:hint="eastAsia"/>
                <w:color w:val="000000" w:themeColor="text1"/>
                <w:kern w:val="0"/>
                <w:highlight w:val="none"/>
                <w:lang w:bidi="ar"/>
                <w14:textFill>
                  <w14:solidFill>
                    <w14:schemeClr w14:val="tx1"/>
                  </w14:solidFill>
                </w14:textFill>
              </w:rPr>
              <w:t>”报告书的要求为涉及环境敏感区的（不含单独的矿石破碎、集运；不含矿区修复治理工程），而</w:t>
            </w:r>
            <w:r>
              <w:rPr>
                <w:color w:val="000000" w:themeColor="text1"/>
                <w:kern w:val="0"/>
                <w:highlight w:val="none"/>
                <w:lang w:bidi="ar"/>
                <w14:textFill>
                  <w14:solidFill>
                    <w14:schemeClr w14:val="tx1"/>
                  </w14:solidFill>
                </w14:textFill>
              </w:rPr>
              <w:t>本项目属于</w:t>
            </w:r>
            <w:r>
              <w:rPr>
                <w:rFonts w:hint="eastAsia"/>
                <w:color w:val="000000" w:themeColor="text1"/>
                <w:kern w:val="0"/>
                <w:highlight w:val="none"/>
                <w:lang w:bidi="ar"/>
                <w14:textFill>
                  <w14:solidFill>
                    <w14:schemeClr w14:val="tx1"/>
                  </w14:solidFill>
                </w14:textFill>
              </w:rPr>
              <w:t>“矿区修复治理工程”故属于“</w:t>
            </w:r>
            <w:r>
              <w:rPr>
                <w:color w:val="000000" w:themeColor="text1"/>
                <w:kern w:val="0"/>
                <w:highlight w:val="none"/>
                <w:lang w:bidi="ar"/>
                <w14:textFill>
                  <w14:solidFill>
                    <w14:schemeClr w14:val="tx1"/>
                  </w14:solidFill>
                </w14:textFill>
              </w:rPr>
              <w:t>其他</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需要编制</w:t>
            </w:r>
            <w:r>
              <w:rPr>
                <w:rFonts w:hint="eastAsia"/>
                <w:color w:val="000000" w:themeColor="text1"/>
                <w:kern w:val="0"/>
                <w:highlight w:val="none"/>
                <w:lang w:bidi="ar"/>
                <w14:textFill>
                  <w14:solidFill>
                    <w14:schemeClr w14:val="tx1"/>
                  </w14:solidFill>
                </w14:textFill>
              </w:rPr>
              <w:t>环境影响评价</w:t>
            </w:r>
            <w:r>
              <w:rPr>
                <w:color w:val="000000" w:themeColor="text1"/>
                <w:kern w:val="0"/>
                <w:highlight w:val="none"/>
                <w:lang w:bidi="ar"/>
                <w14:textFill>
                  <w14:solidFill>
                    <w14:schemeClr w14:val="tx1"/>
                  </w14:solidFill>
                </w14:textFill>
              </w:rPr>
              <w:t>报告表。为此</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受建设单位委托，博安环（云南）环境科技有限公司承担了本项目环境影响评价工作。</w:t>
            </w:r>
          </w:p>
          <w:p w14:paraId="115B3C84">
            <w:pPr>
              <w:adjustRightInd w:val="0"/>
              <w:spacing w:line="384" w:lineRule="auto"/>
              <w:ind w:firstLine="480"/>
              <w:jc w:val="left"/>
              <w:rPr>
                <w:rFonts w:ascii="Times New Roman" w:hAnsi="Times New Roman" w:cs="Times New Roman"/>
                <w:color w:val="000000" w:themeColor="text1"/>
                <w:kern w:val="0"/>
                <w:highlight w:val="none"/>
                <w:lang w:bidi="ar"/>
                <w14:textFill>
                  <w14:solidFill>
                    <w14:schemeClr w14:val="tx1"/>
                  </w14:solidFill>
                </w14:textFill>
              </w:rPr>
            </w:pPr>
            <w:r>
              <w:rPr>
                <w:rFonts w:ascii="Times New Roman" w:hAnsi="Times New Roman" w:cs="Times New Roman"/>
                <w:b/>
                <w:bCs/>
                <w:color w:val="000000" w:themeColor="text1"/>
                <w:kern w:val="0"/>
                <w:highlight w:val="none"/>
                <w:lang w:bidi="ar"/>
                <w14:textFill>
                  <w14:solidFill>
                    <w14:schemeClr w14:val="tx1"/>
                  </w14:solidFill>
                </w14:textFill>
              </w:rPr>
              <w:t>（2）项目名称：</w:t>
            </w:r>
            <w:r>
              <w:rPr>
                <w:rFonts w:ascii="Times New Roman" w:hAnsi="Times New Roman" w:cs="Times New Roman"/>
                <w:color w:val="000000" w:themeColor="text1"/>
                <w:kern w:val="0"/>
                <w:highlight w:val="none"/>
                <w:lang w:bidi="ar"/>
                <w14:textFill>
                  <w14:solidFill>
                    <w14:schemeClr w14:val="tx1"/>
                  </w14:solidFill>
                </w14:textFill>
              </w:rPr>
              <w:t>寻甸县常青树磷石膏库综合治理项目</w:t>
            </w:r>
            <w:r>
              <w:rPr>
                <w:rFonts w:hint="eastAsia" w:ascii="Times New Roman" w:hAnsi="Times New Roman" w:cs="Times New Roman"/>
                <w:color w:val="000000" w:themeColor="text1"/>
                <w:kern w:val="0"/>
                <w:highlight w:val="none"/>
                <w:lang w:bidi="ar"/>
                <w14:textFill>
                  <w14:solidFill>
                    <w14:schemeClr w14:val="tx1"/>
                  </w14:solidFill>
                </w14:textFill>
              </w:rPr>
              <w:t>（塘子镇钟灵村委会令友采石场生态修复工程）</w:t>
            </w:r>
          </w:p>
          <w:p w14:paraId="692E3AD0">
            <w:pPr>
              <w:adjustRightInd w:val="0"/>
              <w:spacing w:line="384" w:lineRule="auto"/>
              <w:ind w:firstLine="482"/>
              <w:jc w:val="left"/>
              <w:rPr>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（3）建设性质</w:t>
            </w:r>
            <w:r>
              <w:rPr>
                <w:color w:val="000000" w:themeColor="text1"/>
                <w:kern w:val="0"/>
                <w:highlight w:val="none"/>
                <w:lang w:bidi="ar"/>
                <w14:textFill>
                  <w14:solidFill>
                    <w14:schemeClr w14:val="tx1"/>
                  </w14:solidFill>
                </w14:textFill>
              </w:rPr>
              <w:t>：新建</w:t>
            </w:r>
          </w:p>
          <w:p w14:paraId="2D9336DF">
            <w:pPr>
              <w:adjustRightInd w:val="0"/>
              <w:spacing w:line="384" w:lineRule="auto"/>
              <w:ind w:firstLine="482"/>
              <w:jc w:val="left"/>
              <w:rPr>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（4）建设单位</w:t>
            </w:r>
            <w:r>
              <w:rPr>
                <w:color w:val="000000" w:themeColor="text1"/>
                <w:kern w:val="0"/>
                <w:highlight w:val="none"/>
                <w:lang w:bidi="ar"/>
                <w14:textFill>
                  <w14:solidFill>
                    <w14:schemeClr w14:val="tx1"/>
                  </w14:solidFill>
                </w14:textFill>
              </w:rPr>
              <w:t>：寻甸县科技和工业信息化局</w:t>
            </w:r>
          </w:p>
          <w:p w14:paraId="03ACE5C7">
            <w:pPr>
              <w:adjustRightInd w:val="0"/>
              <w:spacing w:line="384" w:lineRule="auto"/>
              <w:ind w:firstLine="482"/>
              <w:jc w:val="left"/>
              <w:rPr>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（5）建设地点：</w:t>
            </w:r>
            <w:r>
              <w:rPr>
                <w:color w:val="000000" w:themeColor="text1"/>
                <w:kern w:val="0"/>
                <w:highlight w:val="none"/>
                <w:lang w:bidi="ar"/>
                <w14:textFill>
                  <w14:solidFill>
                    <w14:schemeClr w14:val="tx1"/>
                  </w14:solidFill>
                </w14:textFill>
              </w:rPr>
              <w:t>寻甸县</w:t>
            </w:r>
            <w:r>
              <w:rPr>
                <w:rFonts w:hint="eastAsia"/>
                <w:color w:val="000000" w:themeColor="text1"/>
                <w:kern w:val="0"/>
                <w:highlight w:val="none"/>
                <w:lang w:eastAsia="zh-CN" w:bidi="ar"/>
                <w14:textFill>
                  <w14:solidFill>
                    <w14:schemeClr w14:val="tx1"/>
                  </w14:solidFill>
                </w14:textFill>
              </w:rPr>
              <w:t>塘子镇钟灵村委会令友采石场</w:t>
            </w:r>
            <w:r>
              <w:rPr>
                <w:color w:val="000000" w:themeColor="text1"/>
                <w:kern w:val="0"/>
                <w:highlight w:val="none"/>
                <w:lang w:bidi="ar"/>
                <w14:textFill>
                  <w14:solidFill>
                    <w14:schemeClr w14:val="tx1"/>
                  </w14:solidFill>
                </w14:textFill>
              </w:rPr>
              <w:t>，中心坐标：</w:t>
            </w:r>
            <w:r>
              <w:rPr>
                <w:rFonts w:hint="eastAsia"/>
                <w:color w:val="000000" w:themeColor="text1"/>
                <w:kern w:val="0"/>
                <w:highlight w:val="none"/>
                <w:lang w:bidi="ar"/>
                <w14:textFill>
                  <w14:solidFill>
                    <w14:schemeClr w14:val="tx1"/>
                  </w14:solidFill>
                </w14:textFill>
              </w:rPr>
              <w:t>东经</w:t>
            </w:r>
            <w:r>
              <w:rPr>
                <w:rFonts w:hint="eastAsia"/>
                <w:color w:val="000000" w:themeColor="text1"/>
                <w:highlight w:val="none"/>
                <w14:textFill>
                  <w14:solidFill>
                    <w14:schemeClr w14:val="tx1"/>
                  </w14:solidFill>
                </w14:textFill>
              </w:rPr>
              <w:t>103°17′39.40934″，北纬</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5°23′58.21863″。</w:t>
            </w:r>
          </w:p>
          <w:p w14:paraId="1AF7B1D3">
            <w:pPr>
              <w:adjustRightInd w:val="0"/>
              <w:ind w:firstLine="482"/>
              <w:jc w:val="left"/>
              <w:rPr>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（6）修复范围</w:t>
            </w:r>
            <w:r>
              <w:rPr>
                <w:color w:val="000000" w:themeColor="text1"/>
                <w:kern w:val="0"/>
                <w:highlight w:val="none"/>
                <w:lang w:bidi="ar"/>
                <w14:textFill>
                  <w14:solidFill>
                    <w14:schemeClr w14:val="tx1"/>
                  </w14:solidFill>
                </w14:textFill>
              </w:rPr>
              <w:t>：修复面积为</w:t>
            </w:r>
            <w:r>
              <w:rPr>
                <w:rFonts w:hint="eastAsia"/>
                <w:color w:val="000000" w:themeColor="text1"/>
                <w:kern w:val="0"/>
                <w:highlight w:val="none"/>
                <w:lang w:val="en-US" w:eastAsia="zh-CN" w:bidi="ar"/>
                <w14:textFill>
                  <w14:solidFill>
                    <w14:schemeClr w14:val="tx1"/>
                  </w14:solidFill>
                </w14:textFill>
              </w:rPr>
              <w:t>63132</w:t>
            </w:r>
            <w:r>
              <w:rPr>
                <w:color w:val="000000" w:themeColor="text1"/>
                <w:kern w:val="0"/>
                <w:highlight w:val="none"/>
                <w:lang w:bidi="ar"/>
                <w14:textFill>
                  <w14:solidFill>
                    <w14:schemeClr w14:val="tx1"/>
                  </w14:solidFill>
                </w14:textFill>
              </w:rPr>
              <w:t>m</w:t>
            </w:r>
            <w:r>
              <w:rPr>
                <w:color w:val="000000" w:themeColor="text1"/>
                <w:kern w:val="0"/>
                <w:highlight w:val="none"/>
                <w:vertAlign w:val="superscript"/>
                <w:lang w:bidi="ar"/>
                <w14:textFill>
                  <w14:solidFill>
                    <w14:schemeClr w14:val="tx1"/>
                  </w14:solidFill>
                </w14:textFill>
              </w:rPr>
              <w:t>2</w:t>
            </w:r>
            <w:r>
              <w:rPr>
                <w:rFonts w:hint="eastAsia"/>
                <w:color w:val="000000" w:themeColor="text1"/>
                <w:kern w:val="0"/>
                <w:highlight w:val="none"/>
                <w:lang w:bidi="ar"/>
                <w14:textFill>
                  <w14:solidFill>
                    <w14:schemeClr w14:val="tx1"/>
                  </w14:solidFill>
                </w14:textFill>
              </w:rPr>
              <w:t>（</w:t>
            </w:r>
            <w:r>
              <w:rPr>
                <w:rFonts w:hint="eastAsia"/>
                <w:color w:val="000000" w:themeColor="text1"/>
                <w:kern w:val="0"/>
                <w:highlight w:val="none"/>
                <w:lang w:val="en-US" w:eastAsia="zh-CN" w:bidi="ar"/>
                <w14:textFill>
                  <w14:solidFill>
                    <w14:schemeClr w14:val="tx1"/>
                  </w14:solidFill>
                </w14:textFill>
              </w:rPr>
              <w:t>94.7</w:t>
            </w:r>
            <w:r>
              <w:rPr>
                <w:rFonts w:hint="eastAsia"/>
                <w:color w:val="000000" w:themeColor="text1"/>
                <w:kern w:val="0"/>
                <w:highlight w:val="none"/>
                <w:lang w:bidi="ar"/>
                <w14:textFill>
                  <w14:solidFill>
                    <w14:schemeClr w14:val="tx1"/>
                  </w14:solidFill>
                </w14:textFill>
              </w:rPr>
              <w:t>亩），</w:t>
            </w:r>
            <w:r>
              <w:rPr>
                <w:rFonts w:cs="Times New Roman"/>
                <w:color w:val="000000" w:themeColor="text1"/>
                <w:kern w:val="0"/>
                <w:highlight w:val="none"/>
                <w:lang w:bidi="ar"/>
                <w14:textFill>
                  <w14:solidFill>
                    <w14:schemeClr w14:val="tx1"/>
                  </w14:solidFill>
                </w14:textFill>
              </w:rPr>
              <w:t>后续</w:t>
            </w:r>
            <w:r>
              <w:rPr>
                <w:rFonts w:hint="eastAsia" w:cs="Times New Roman"/>
                <w:color w:val="000000" w:themeColor="text1"/>
                <w:kern w:val="0"/>
                <w:highlight w:val="none"/>
                <w:lang w:val="en-US" w:eastAsia="zh-CN" w:bidi="ar"/>
                <w14:textFill>
                  <w14:solidFill>
                    <w14:schemeClr w14:val="tx1"/>
                  </w14:solidFill>
                </w14:textFill>
              </w:rPr>
              <w:t>复垦为旱地、有</w:t>
            </w:r>
            <w:r>
              <w:rPr>
                <w:rFonts w:hint="eastAsia"/>
                <w:color w:val="000000" w:themeColor="text1"/>
                <w:kern w:val="0"/>
                <w:highlight w:val="none"/>
                <w:lang w:bidi="ar"/>
                <w14:textFill>
                  <w14:solidFill>
                    <w14:schemeClr w14:val="tx1"/>
                  </w14:solidFill>
                </w14:textFill>
              </w:rPr>
              <w:t>林地</w:t>
            </w:r>
            <w:r>
              <w:rPr>
                <w:color w:val="000000" w:themeColor="text1"/>
                <w:kern w:val="0"/>
                <w:highlight w:val="none"/>
                <w:lang w:bidi="ar"/>
                <w14:textFill>
                  <w14:solidFill>
                    <w14:schemeClr w14:val="tx1"/>
                  </w14:solidFill>
                </w14:textFill>
              </w:rPr>
              <w:t>。</w:t>
            </w:r>
          </w:p>
          <w:p w14:paraId="2707C9F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b/>
                <w:bCs/>
                <w:color w:val="000000" w:themeColor="text1"/>
                <w:kern w:val="0"/>
                <w:highlight w:val="none"/>
                <w:lang w:bidi="ar"/>
                <w14:textFill>
                  <w14:solidFill>
                    <w14:schemeClr w14:val="tx1"/>
                  </w14:solidFill>
                </w14:textFill>
              </w:rPr>
              <w:t>（7）实施期限：</w:t>
            </w:r>
            <w:r>
              <w:rPr>
                <w:rFonts w:hint="default" w:ascii="Times New Roman" w:hAnsi="Times New Roman" w:cs="Times New Roman"/>
                <w:color w:val="000000" w:themeColor="text1"/>
                <w:sz w:val="24"/>
                <w:highlight w:val="none"/>
                <w14:textFill>
                  <w14:solidFill>
                    <w14:schemeClr w14:val="tx1"/>
                  </w14:solidFill>
                </w14:textFill>
              </w:rPr>
              <w:t>该矿山为采矿权过期矿山，生态修复实施年限4年，即2026年</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月开始至20</w:t>
            </w:r>
            <w:r>
              <w:rPr>
                <w:rFonts w:hint="eastAsia" w:cs="Times New Roman"/>
                <w:color w:val="000000" w:themeColor="text1"/>
                <w:sz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highlight w:val="none"/>
                <w14:textFill>
                  <w14:solidFill>
                    <w14:schemeClr w14:val="tx1"/>
                  </w14:solidFill>
                </w14:textFill>
              </w:rPr>
              <w:t>年1月，分两个阶段，第一阶段施工期（2026年</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月至202</w:t>
            </w:r>
            <w:r>
              <w:rPr>
                <w:rFonts w:hint="eastAsia" w:cs="Times New Roman"/>
                <w:color w:val="000000" w:themeColor="text1"/>
                <w:sz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月），第二阶段管护期（2027年1月至2029年12月）。</w:t>
            </w:r>
          </w:p>
          <w:p w14:paraId="2C1631C4">
            <w:pPr>
              <w:adjustRightInd w:val="0"/>
              <w:ind w:firstLine="482"/>
              <w:jc w:val="left"/>
              <w:rPr>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（8）项目投资</w:t>
            </w:r>
            <w:r>
              <w:rPr>
                <w:color w:val="000000" w:themeColor="text1"/>
                <w:kern w:val="0"/>
                <w:highlight w:val="none"/>
                <w:lang w:bidi="ar"/>
                <w14:textFill>
                  <w14:solidFill>
                    <w14:schemeClr w14:val="tx1"/>
                  </w14:solidFill>
                </w14:textFill>
              </w:rPr>
              <w:t>：本工程总投资估算为6373.87万元，其中环保投资</w:t>
            </w:r>
            <w:r>
              <w:rPr>
                <w:rFonts w:hint="eastAsia"/>
                <w:color w:val="000000" w:themeColor="text1"/>
                <w:kern w:val="0"/>
                <w:highlight w:val="none"/>
                <w:lang w:eastAsia="zh-CN" w:bidi="ar"/>
                <w14:textFill>
                  <w14:solidFill>
                    <w14:schemeClr w14:val="tx1"/>
                  </w14:solidFill>
                </w14:textFill>
              </w:rPr>
              <w:t>1164.5</w:t>
            </w:r>
            <w:r>
              <w:rPr>
                <w:color w:val="000000" w:themeColor="text1"/>
                <w:kern w:val="0"/>
                <w:highlight w:val="none"/>
                <w:lang w:bidi="ar"/>
                <w14:textFill>
                  <w14:solidFill>
                    <w14:schemeClr w14:val="tx1"/>
                  </w14:solidFill>
                </w14:textFill>
              </w:rPr>
              <w:t>万元，占总投资的1</w:t>
            </w:r>
            <w:r>
              <w:rPr>
                <w:rFonts w:hint="eastAsia"/>
                <w:color w:val="000000" w:themeColor="text1"/>
                <w:kern w:val="0"/>
                <w:highlight w:val="none"/>
                <w:lang w:val="en-US" w:eastAsia="zh-CN" w:bidi="ar"/>
                <w14:textFill>
                  <w14:solidFill>
                    <w14:schemeClr w14:val="tx1"/>
                  </w14:solidFill>
                </w14:textFill>
              </w:rPr>
              <w:t>8.27</w:t>
            </w:r>
            <w:r>
              <w:rPr>
                <w:color w:val="000000" w:themeColor="text1"/>
                <w:kern w:val="0"/>
                <w:highlight w:val="none"/>
                <w:lang w:bidi="ar"/>
                <w14:textFill>
                  <w14:solidFill>
                    <w14:schemeClr w14:val="tx1"/>
                  </w14:solidFill>
                </w14:textFill>
              </w:rPr>
              <w:t>%。</w:t>
            </w:r>
          </w:p>
          <w:p w14:paraId="6A800810">
            <w:pPr>
              <w:adjustRightInd w:val="0"/>
              <w:ind w:firstLine="482"/>
              <w:jc w:val="left"/>
              <w:rPr>
                <w:b/>
                <w:bCs/>
                <w:color w:val="000000" w:themeColor="text1"/>
                <w:kern w:val="0"/>
                <w:highlight w:val="none"/>
                <w:lang w:bidi="ar"/>
                <w14:textFill>
                  <w14:solidFill>
                    <w14:schemeClr w14:val="tx1"/>
                  </w14:solidFill>
                </w14:textFill>
              </w:rPr>
            </w:pPr>
            <w:r>
              <w:rPr>
                <w:b/>
                <w:bCs/>
                <w:color w:val="000000" w:themeColor="text1"/>
                <w:kern w:val="0"/>
                <w:highlight w:val="none"/>
                <w:lang w:bidi="ar"/>
                <w14:textFill>
                  <w14:solidFill>
                    <w14:schemeClr w14:val="tx1"/>
                  </w14:solidFill>
                </w14:textFill>
              </w:rPr>
              <w:t>2、修复方案</w:t>
            </w:r>
          </w:p>
          <w:p w14:paraId="7B53A427">
            <w:pPr>
              <w:widowControl/>
              <w:adjustRightInd w:val="0"/>
              <w:spacing w:line="360" w:lineRule="auto"/>
              <w:ind w:firstLine="482" w:firstLineChars="200"/>
              <w:rPr>
                <w:rFonts w:ascii="宋体" w:hAnsi="宋体"/>
                <w:color w:val="000000" w:themeColor="text1"/>
                <w:kern w:val="0"/>
                <w:sz w:val="24"/>
                <w:highlight w:val="none"/>
                <w14:textFill>
                  <w14:solidFill>
                    <w14:schemeClr w14:val="tx1"/>
                  </w14:solidFill>
                </w14:textFill>
              </w:rPr>
            </w:pPr>
            <w:r>
              <w:rPr>
                <w:rFonts w:ascii="Times New Roman" w:hAnsi="Times New Roman"/>
                <w:b/>
                <w:bCs/>
                <w:color w:val="000000" w:themeColor="text1"/>
                <w:kern w:val="0"/>
                <w:szCs w:val="24"/>
                <w:highlight w:val="none"/>
                <w:lang w:bidi="ar"/>
                <w14:textFill>
                  <w14:solidFill>
                    <w14:schemeClr w14:val="tx1"/>
                  </w14:solidFill>
                </w14:textFill>
              </w:rPr>
              <w:t>（1）修复思路：</w:t>
            </w:r>
            <w:r>
              <w:rPr>
                <w:color w:val="000000" w:themeColor="text1"/>
                <w:kern w:val="0"/>
                <w:highlight w:val="none"/>
                <w:lang w:bidi="ar"/>
                <w14:textFill>
                  <w14:solidFill>
                    <w14:schemeClr w14:val="tx1"/>
                  </w14:solidFill>
                </w14:textFill>
              </w:rPr>
              <w:t>寻甸县</w:t>
            </w:r>
            <w:r>
              <w:rPr>
                <w:rFonts w:hint="eastAsia"/>
                <w:color w:val="000000" w:themeColor="text1"/>
                <w:kern w:val="0"/>
                <w:highlight w:val="none"/>
                <w:lang w:eastAsia="zh-CN" w:bidi="ar"/>
                <w14:textFill>
                  <w14:solidFill>
                    <w14:schemeClr w14:val="tx1"/>
                  </w14:solidFill>
                </w14:textFill>
              </w:rPr>
              <w:t>塘子镇钟灵村委会令友采石场</w:t>
            </w:r>
            <w:r>
              <w:rPr>
                <w:rFonts w:hint="eastAsia" w:asciiTheme="minorEastAsia" w:hAnsiTheme="minorEastAsia" w:eastAsiaTheme="minorEastAsia"/>
                <w:color w:val="000000" w:themeColor="text1"/>
                <w:kern w:val="0"/>
                <w:sz w:val="24"/>
                <w:highlight w:val="none"/>
                <w14:textFill>
                  <w14:solidFill>
                    <w14:schemeClr w14:val="tx1"/>
                  </w14:solidFill>
                </w14:textFill>
              </w:rPr>
              <w:t>开采方式为露天开采，采矿过后遗留的露采场地严重破坏了山区的自然地貌、景观和生态环境，还改变了原有的地形地貌，对周围景观造成了极大的影响。目前，</w:t>
            </w:r>
            <w:r>
              <w:rPr>
                <w:color w:val="000000" w:themeColor="text1"/>
                <w:kern w:val="0"/>
                <w:highlight w:val="none"/>
                <w:lang w:bidi="ar"/>
                <w14:textFill>
                  <w14:solidFill>
                    <w14:schemeClr w14:val="tx1"/>
                  </w14:solidFill>
                </w14:textFill>
              </w:rPr>
              <w:t>寻甸县</w:t>
            </w:r>
            <w:r>
              <w:rPr>
                <w:rFonts w:hint="eastAsia"/>
                <w:color w:val="000000" w:themeColor="text1"/>
                <w:kern w:val="0"/>
                <w:highlight w:val="none"/>
                <w:lang w:eastAsia="zh-CN" w:bidi="ar"/>
                <w14:textFill>
                  <w14:solidFill>
                    <w14:schemeClr w14:val="tx1"/>
                  </w14:solidFill>
                </w14:textFill>
              </w:rPr>
              <w:t>塘子镇钟灵村委会令友采石场</w:t>
            </w:r>
            <w:r>
              <w:rPr>
                <w:rFonts w:hint="eastAsia" w:asciiTheme="minorEastAsia" w:hAnsiTheme="minorEastAsia" w:eastAsiaTheme="minorEastAsia"/>
                <w:color w:val="000000" w:themeColor="text1"/>
                <w:spacing w:val="20"/>
                <w:kern w:val="0"/>
                <w:sz w:val="24"/>
                <w:highlight w:val="none"/>
                <w14:textFill>
                  <w14:solidFill>
                    <w14:schemeClr w14:val="tx1"/>
                  </w14:solidFill>
                </w14:textFill>
              </w:rPr>
              <w:t>形成1</w:t>
            </w:r>
            <w:r>
              <w:rPr>
                <w:rFonts w:hint="eastAsia" w:asciiTheme="minorEastAsia" w:hAnsiTheme="minorEastAsia" w:eastAsiaTheme="minorEastAsia"/>
                <w:color w:val="000000" w:themeColor="text1"/>
                <w:kern w:val="0"/>
                <w:sz w:val="24"/>
                <w:highlight w:val="none"/>
                <w14:textFill>
                  <w14:solidFill>
                    <w14:schemeClr w14:val="tx1"/>
                  </w14:solidFill>
                </w14:textFill>
              </w:rPr>
              <w:t>个露天采场。</w:t>
            </w:r>
            <w:r>
              <w:rPr>
                <w:rFonts w:hint="eastAsia" w:ascii="宋体" w:hAnsi="宋体"/>
                <w:color w:val="000000" w:themeColor="text1"/>
                <w:kern w:val="0"/>
                <w:sz w:val="24"/>
                <w:highlight w:val="none"/>
                <w14:textFill>
                  <w14:solidFill>
                    <w14:schemeClr w14:val="tx1"/>
                  </w14:solidFill>
                </w14:textFill>
              </w:rPr>
              <w:t>根据“《矿山生态修复技术规范 第1部分：通则》附录C”，场地土地损毁严重，地表植被生境受到严重影响，生态退化严重。确定采用生态重建措施进行生态修复，场地修复方向为</w:t>
            </w:r>
            <w:r>
              <w:rPr>
                <w:rFonts w:hint="eastAsia" w:cs="Times New Roman"/>
                <w:color w:val="000000" w:themeColor="text1"/>
                <w:kern w:val="0"/>
                <w:highlight w:val="none"/>
                <w:lang w:val="en-US" w:eastAsia="zh-CN" w:bidi="ar"/>
                <w14:textFill>
                  <w14:solidFill>
                    <w14:schemeClr w14:val="tx1"/>
                  </w14:solidFill>
                </w14:textFill>
              </w:rPr>
              <w:t>旱地、</w:t>
            </w:r>
            <w:r>
              <w:rPr>
                <w:rFonts w:hint="eastAsia"/>
                <w:color w:val="000000" w:themeColor="text1"/>
                <w:kern w:val="0"/>
                <w:highlight w:val="none"/>
                <w:lang w:bidi="ar"/>
                <w14:textFill>
                  <w14:solidFill>
                    <w14:schemeClr w14:val="tx1"/>
                  </w14:solidFill>
                </w14:textFill>
              </w:rPr>
              <w:t>林地</w:t>
            </w:r>
            <w:r>
              <w:rPr>
                <w:rFonts w:hint="eastAsia" w:ascii="宋体" w:hAnsi="宋体"/>
                <w:color w:val="000000" w:themeColor="text1"/>
                <w:kern w:val="0"/>
                <w:sz w:val="24"/>
                <w:highlight w:val="none"/>
                <w14:textFill>
                  <w14:solidFill>
                    <w14:schemeClr w14:val="tx1"/>
                  </w14:solidFill>
                </w14:textFill>
              </w:rPr>
              <w:t>。</w:t>
            </w:r>
          </w:p>
          <w:p w14:paraId="4CC2422D">
            <w:pPr>
              <w:pStyle w:val="83"/>
              <w:ind w:firstLine="482"/>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kern w:val="0"/>
                <w:szCs w:val="24"/>
                <w:highlight w:val="none"/>
                <w:lang w:bidi="ar"/>
                <w14:textFill>
                  <w14:solidFill>
                    <w14:schemeClr w14:val="tx1"/>
                  </w14:solidFill>
                </w14:textFill>
              </w:rPr>
              <w:t>项目采用“地质灾害治理（场地平整、边坡治理、防渗工程、回填治理）+生态重建（土壤重构+植被重建）”的方式对矿区进行生态修复，生态修复的原料为改性磷石膏、场地平整产生的筛选后表层土、场地平整产生的土石方</w:t>
            </w:r>
            <w:r>
              <w:rPr>
                <w:rFonts w:ascii="Times New Roman" w:hAnsi="Times New Roman"/>
                <w:color w:val="000000" w:themeColor="text1"/>
                <w:highlight w:val="none"/>
                <w14:textFill>
                  <w14:solidFill>
                    <w14:schemeClr w14:val="tx1"/>
                  </w14:solidFill>
                </w14:textFill>
              </w:rPr>
              <w:t>。</w:t>
            </w:r>
          </w:p>
          <w:p w14:paraId="220E3DE5">
            <w:pPr>
              <w:snapToGrid w:val="0"/>
              <w:ind w:firstLine="482"/>
              <w:rPr>
                <w:rFonts w:hint="default" w:eastAsia="宋体"/>
                <w:b/>
                <w:bCs/>
                <w:color w:val="000000" w:themeColor="text1"/>
                <w:kern w:val="0"/>
                <w:highlight w:val="none"/>
                <w:lang w:val="en-US" w:eastAsia="zh-CN" w:bidi="ar"/>
                <w14:textFill>
                  <w14:solidFill>
                    <w14:schemeClr w14:val="tx1"/>
                  </w14:solidFill>
                </w14:textFill>
              </w:rPr>
            </w:pPr>
            <w:r>
              <w:rPr>
                <w:rFonts w:hint="eastAsia"/>
                <w:b/>
                <w:bCs/>
                <w:color w:val="000000" w:themeColor="text1"/>
                <w:kern w:val="0"/>
                <w:highlight w:val="none"/>
                <w:lang w:eastAsia="zh-CN" w:bidi="ar"/>
                <w14:textFill>
                  <w14:solidFill>
                    <w14:schemeClr w14:val="tx1"/>
                  </w14:solidFill>
                </w14:textFill>
              </w:rPr>
              <w:t>（</w:t>
            </w:r>
            <w:r>
              <w:rPr>
                <w:rFonts w:hint="eastAsia"/>
                <w:b/>
                <w:bCs/>
                <w:color w:val="000000" w:themeColor="text1"/>
                <w:kern w:val="0"/>
                <w:highlight w:val="none"/>
                <w:lang w:val="en-US" w:eastAsia="zh-CN" w:bidi="ar"/>
                <w14:textFill>
                  <w14:solidFill>
                    <w14:schemeClr w14:val="tx1"/>
                  </w14:solidFill>
                </w14:textFill>
              </w:rPr>
              <w:t>2</w:t>
            </w:r>
            <w:r>
              <w:rPr>
                <w:rFonts w:hint="eastAsia"/>
                <w:b/>
                <w:bCs/>
                <w:color w:val="000000" w:themeColor="text1"/>
                <w:kern w:val="0"/>
                <w:highlight w:val="none"/>
                <w:lang w:eastAsia="zh-CN" w:bidi="ar"/>
                <w14:textFill>
                  <w14:solidFill>
                    <w14:schemeClr w14:val="tx1"/>
                  </w14:solidFill>
                </w14:textFill>
              </w:rPr>
              <w:t>）</w:t>
            </w:r>
            <w:r>
              <w:rPr>
                <w:rFonts w:hint="eastAsia"/>
                <w:b/>
                <w:bCs/>
                <w:color w:val="000000" w:themeColor="text1"/>
                <w:kern w:val="0"/>
                <w:highlight w:val="none"/>
                <w:lang w:val="en-US" w:eastAsia="zh-CN" w:bidi="ar"/>
                <w14:textFill>
                  <w14:solidFill>
                    <w14:schemeClr w14:val="tx1"/>
                  </w14:solidFill>
                </w14:textFill>
              </w:rPr>
              <w:t>修复措施：</w:t>
            </w:r>
          </w:p>
          <w:p w14:paraId="3D3B6A34">
            <w:pPr>
              <w:pStyle w:val="91"/>
              <w:keepNext w:val="0"/>
              <w:keepLines w:val="0"/>
              <w:pageBreakBefore w:val="0"/>
              <w:widowControl w:val="0"/>
              <w:kinsoku/>
              <w:wordWrap/>
              <w:overflowPunct/>
              <w:topLinePunct w:val="0"/>
              <w:autoSpaceDE/>
              <w:autoSpaceDN/>
              <w:bidi w:val="0"/>
              <w:adjustRightInd w:val="0"/>
              <w:snapToGrid w:val="0"/>
              <w:spacing w:afterLines="0" w:line="360" w:lineRule="auto"/>
              <w:ind w:firstLine="520"/>
              <w:textAlignment w:val="auto"/>
              <w:rPr>
                <w:rFonts w:hint="eastAsia" w:cs="Times New Roman" w:asciiTheme="minorEastAsia" w:hAnsiTheme="minorEastAsia" w:eastAsiaTheme="minorEastAsia"/>
                <w:color w:val="000000" w:themeColor="text1"/>
                <w:spacing w:val="0"/>
                <w:kern w:val="0"/>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spacing w:val="0"/>
                <w:kern w:val="0"/>
                <w:sz w:val="24"/>
                <w:szCs w:val="24"/>
                <w:highlight w:val="none"/>
                <w:lang w:val="en-US" w:eastAsia="zh-CN" w:bidi="ar-SA"/>
                <w14:textFill>
                  <w14:solidFill>
                    <w14:schemeClr w14:val="tx1"/>
                  </w14:solidFill>
                </w14:textFill>
              </w:rPr>
              <w:t>采石场露天采场回填修复工程按施工顺序分为：场地底部整平及边坡清理、地下水导排收集系统、拦挡坝填筑、回填区底部全防渗、渗滤液导排收集系统、改性磷石膏填料分层碾压回填、回填区顶部全防渗、截排水工程、监测措施、警示措施、防护工程等。</w:t>
            </w:r>
          </w:p>
          <w:p w14:paraId="79FAC95D">
            <w:pPr>
              <w:snapToGrid w:val="0"/>
              <w:ind w:firstLine="482"/>
              <w:rPr>
                <w:color w:val="000000" w:themeColor="text1"/>
                <w:highlight w:val="none"/>
                <w14:textFill>
                  <w14:solidFill>
                    <w14:schemeClr w14:val="tx1"/>
                  </w14:solidFill>
                </w14:textFill>
              </w:rPr>
            </w:pPr>
            <w:r>
              <w:rPr>
                <w:b/>
                <w:bCs/>
                <w:color w:val="000000" w:themeColor="text1"/>
                <w:kern w:val="0"/>
                <w:highlight w:val="none"/>
                <w:lang w:bidi="ar"/>
                <w14:textFill>
                  <w14:solidFill>
                    <w14:schemeClr w14:val="tx1"/>
                  </w14:solidFill>
                </w14:textFill>
              </w:rPr>
              <w:t>（</w:t>
            </w:r>
            <w:r>
              <w:rPr>
                <w:rFonts w:hint="eastAsia"/>
                <w:b/>
                <w:bCs/>
                <w:color w:val="000000" w:themeColor="text1"/>
                <w:kern w:val="0"/>
                <w:highlight w:val="none"/>
                <w:lang w:val="en-US" w:eastAsia="zh-CN" w:bidi="ar"/>
                <w14:textFill>
                  <w14:solidFill>
                    <w14:schemeClr w14:val="tx1"/>
                  </w14:solidFill>
                </w14:textFill>
              </w:rPr>
              <w:t>3</w:t>
            </w:r>
            <w:r>
              <w:rPr>
                <w:b/>
                <w:bCs/>
                <w:color w:val="000000" w:themeColor="text1"/>
                <w:kern w:val="0"/>
                <w:highlight w:val="none"/>
                <w:lang w:bidi="ar"/>
                <w14:textFill>
                  <w14:solidFill>
                    <w14:schemeClr w14:val="tx1"/>
                  </w14:solidFill>
                </w14:textFill>
              </w:rPr>
              <w:t>）修复目标：</w:t>
            </w:r>
            <w:r>
              <w:rPr>
                <w:color w:val="000000" w:themeColor="text1"/>
                <w:highlight w:val="none"/>
                <w14:textFill>
                  <w14:solidFill>
                    <w14:schemeClr w14:val="tx1"/>
                  </w14:solidFill>
                </w14:textFill>
              </w:rPr>
              <w:t>通过生态修复治理工程实施，对生态修复治理点土地资源的占用破坏、地形地貌景观破坏、植被损毁、水土流失等环境问题有效解决，有效提高土地资源利用价值，使空间生态环境得到有效修复，实现毁损土地资源得到有效利用，以发挥土地资源的最大社会效益、经济效益、环境效益、生态效益，减少或消除生态修复治理区存在的各种地质环境问题和隐患，保护生态修复治理区地下水资源和周围水环境，使当地人民群众的生产生活环境得到明显改善，真正实现“绿水青山就是金山银山”，以提升寻甸县整体对外形象。</w:t>
            </w:r>
          </w:p>
          <w:p w14:paraId="5D45163F">
            <w:pPr>
              <w:snapToGrid w:val="0"/>
              <w:spacing w:line="360" w:lineRule="auto"/>
              <w:ind w:right="-1" w:firstLine="480" w:firstLineChars="200"/>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结合采用的生态修复方式和生态修复措施，</w:t>
            </w:r>
            <w:r>
              <w:rPr>
                <w:color w:val="000000" w:themeColor="text1"/>
                <w:kern w:val="0"/>
                <w:highlight w:val="none"/>
                <w:lang w:bidi="ar"/>
                <w14:textFill>
                  <w14:solidFill>
                    <w14:schemeClr w14:val="tx1"/>
                  </w14:solidFill>
                </w14:textFill>
              </w:rPr>
              <w:t>寻甸县</w:t>
            </w:r>
            <w:r>
              <w:rPr>
                <w:rFonts w:hint="eastAsia"/>
                <w:color w:val="000000" w:themeColor="text1"/>
                <w:kern w:val="0"/>
                <w:highlight w:val="none"/>
                <w:lang w:eastAsia="zh-CN" w:bidi="ar"/>
                <w14:textFill>
                  <w14:solidFill>
                    <w14:schemeClr w14:val="tx1"/>
                  </w14:solidFill>
                </w14:textFill>
              </w:rPr>
              <w:t>塘子镇钟灵村委会令友采石场</w:t>
            </w:r>
            <w:r>
              <w:rPr>
                <w:rFonts w:ascii="宋体" w:hAnsi="宋体"/>
                <w:color w:val="000000" w:themeColor="text1"/>
                <w:kern w:val="0"/>
                <w:sz w:val="24"/>
                <w:highlight w:val="none"/>
                <w14:textFill>
                  <w14:solidFill>
                    <w14:schemeClr w14:val="tx1"/>
                  </w14:solidFill>
                </w14:textFill>
              </w:rPr>
              <w:t>生态修复绩效目标见下表：</w:t>
            </w:r>
          </w:p>
          <w:p w14:paraId="3CD51BA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表</w:t>
            </w:r>
            <w:r>
              <w:rPr>
                <w:rFonts w:hint="eastAsia" w:ascii="宋体" w:hAnsi="宋体"/>
                <w:color w:val="000000" w:themeColor="text1"/>
                <w:kern w:val="0"/>
                <w:sz w:val="24"/>
                <w:highlight w:val="none"/>
                <w:lang w:val="en-US" w:eastAsia="zh-CN"/>
                <w14:textFill>
                  <w14:solidFill>
                    <w14:schemeClr w14:val="tx1"/>
                  </w14:solidFill>
                </w14:textFill>
              </w:rPr>
              <w:t>2-1</w:t>
            </w:r>
            <w:r>
              <w:rPr>
                <w:rFonts w:ascii="宋体" w:hAnsi="宋体"/>
                <w:color w:val="000000" w:themeColor="text1"/>
                <w:kern w:val="0"/>
                <w:sz w:val="24"/>
                <w:highlight w:val="none"/>
                <w14:textFill>
                  <w14:solidFill>
                    <w14:schemeClr w14:val="tx1"/>
                  </w14:solidFill>
                </w14:textFill>
              </w:rPr>
              <w:t xml:space="preserve"> </w:t>
            </w:r>
            <w:r>
              <w:rPr>
                <w:rFonts w:hint="eastAsia" w:ascii="宋体" w:hAnsi="宋体"/>
                <w:color w:val="000000" w:themeColor="text1"/>
                <w:kern w:val="0"/>
                <w:sz w:val="24"/>
                <w:highlight w:val="none"/>
                <w:lang w:val="en-US" w:eastAsia="zh-CN"/>
                <w14:textFill>
                  <w14:solidFill>
                    <w14:schemeClr w14:val="tx1"/>
                  </w14:solidFill>
                </w14:textFill>
              </w:rPr>
              <w:t xml:space="preserve"> </w:t>
            </w:r>
            <w:r>
              <w:rPr>
                <w:color w:val="000000" w:themeColor="text1"/>
                <w:kern w:val="0"/>
                <w:highlight w:val="none"/>
                <w:lang w:bidi="ar"/>
                <w14:textFill>
                  <w14:solidFill>
                    <w14:schemeClr w14:val="tx1"/>
                  </w14:solidFill>
                </w14:textFill>
              </w:rPr>
              <w:t>寻甸县</w:t>
            </w:r>
            <w:r>
              <w:rPr>
                <w:rFonts w:hint="eastAsia"/>
                <w:color w:val="000000" w:themeColor="text1"/>
                <w:kern w:val="0"/>
                <w:highlight w:val="none"/>
                <w:lang w:eastAsia="zh-CN" w:bidi="ar"/>
                <w14:textFill>
                  <w14:solidFill>
                    <w14:schemeClr w14:val="tx1"/>
                  </w14:solidFill>
                </w14:textFill>
              </w:rPr>
              <w:t>塘子镇钟灵村委会令友采石场</w:t>
            </w:r>
            <w:r>
              <w:rPr>
                <w:rFonts w:ascii="宋体" w:hAnsi="宋体"/>
                <w:color w:val="000000" w:themeColor="text1"/>
                <w:kern w:val="0"/>
                <w:sz w:val="24"/>
                <w:highlight w:val="none"/>
                <w14:textFill>
                  <w14:solidFill>
                    <w14:schemeClr w14:val="tx1"/>
                  </w14:solidFill>
                </w14:textFill>
              </w:rPr>
              <w:t>生态修复绩效目标表</w:t>
            </w:r>
          </w:p>
          <w:tbl>
            <w:tblPr>
              <w:tblStyle w:val="40"/>
              <w:tblW w:w="49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161"/>
              <w:gridCol w:w="1545"/>
              <w:gridCol w:w="3345"/>
              <w:gridCol w:w="1111"/>
            </w:tblGrid>
            <w:tr w14:paraId="4A3E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3" w:type="pct"/>
                  <w:vMerge w:val="restart"/>
                  <w:noWrap/>
                  <w:vAlign w:val="center"/>
                </w:tcPr>
                <w:p w14:paraId="6BF640AA">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绩效指标</w:t>
                  </w:r>
                </w:p>
              </w:tc>
              <w:tc>
                <w:tcPr>
                  <w:tcW w:w="703" w:type="pct"/>
                  <w:noWrap/>
                  <w:vAlign w:val="center"/>
                </w:tcPr>
                <w:p w14:paraId="2FEDA4CD">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一级指标</w:t>
                  </w:r>
                </w:p>
              </w:tc>
              <w:tc>
                <w:tcPr>
                  <w:tcW w:w="935" w:type="pct"/>
                  <w:noWrap/>
                  <w:vAlign w:val="center"/>
                </w:tcPr>
                <w:p w14:paraId="033CF6BB">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二级指标</w:t>
                  </w:r>
                </w:p>
              </w:tc>
              <w:tc>
                <w:tcPr>
                  <w:tcW w:w="2024" w:type="pct"/>
                  <w:vAlign w:val="center"/>
                </w:tcPr>
                <w:p w14:paraId="54D60642">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三级指标</w:t>
                  </w:r>
                </w:p>
              </w:tc>
              <w:tc>
                <w:tcPr>
                  <w:tcW w:w="672" w:type="pct"/>
                  <w:noWrap/>
                  <w:vAlign w:val="center"/>
                </w:tcPr>
                <w:p w14:paraId="4BF4AB38">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指标值</w:t>
                  </w:r>
                </w:p>
              </w:tc>
            </w:tr>
            <w:tr w14:paraId="5E51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3" w:type="pct"/>
                  <w:vMerge w:val="continue"/>
                  <w:vAlign w:val="center"/>
                </w:tcPr>
                <w:p w14:paraId="355E442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restart"/>
                  <w:noWrap/>
                  <w:vAlign w:val="center"/>
                </w:tcPr>
                <w:p w14:paraId="55370600">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产出指标</w:t>
                  </w:r>
                </w:p>
              </w:tc>
              <w:tc>
                <w:tcPr>
                  <w:tcW w:w="935" w:type="pct"/>
                  <w:noWrap/>
                  <w:vAlign w:val="center"/>
                </w:tcPr>
                <w:p w14:paraId="101207A9">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数量指标</w:t>
                  </w:r>
                </w:p>
              </w:tc>
              <w:tc>
                <w:tcPr>
                  <w:tcW w:w="2024" w:type="pct"/>
                  <w:vAlign w:val="center"/>
                </w:tcPr>
                <w:p w14:paraId="6CE117A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完成废弃矿山环境修复治理面积（公顷）</w:t>
                  </w:r>
                </w:p>
              </w:tc>
              <w:tc>
                <w:tcPr>
                  <w:tcW w:w="672" w:type="pct"/>
                  <w:noWrap/>
                  <w:vAlign w:val="center"/>
                </w:tcPr>
                <w:p w14:paraId="556F7FD8">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6.3132</w:t>
                  </w:r>
                </w:p>
              </w:tc>
            </w:tr>
            <w:tr w14:paraId="5804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3" w:type="pct"/>
                  <w:vMerge w:val="continue"/>
                  <w:vAlign w:val="center"/>
                </w:tcPr>
                <w:p w14:paraId="7CEE7EE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2412E69A">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01B5A412">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5A6C382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地质安全隐患点治理数量</w:t>
                  </w:r>
                </w:p>
              </w:tc>
              <w:tc>
                <w:tcPr>
                  <w:tcW w:w="672" w:type="pct"/>
                  <w:noWrap/>
                  <w:vAlign w:val="center"/>
                </w:tcPr>
                <w:p w14:paraId="3DA099E1">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r>
            <w:tr w14:paraId="0B29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3" w:type="pct"/>
                  <w:vMerge w:val="continue"/>
                  <w:vAlign w:val="center"/>
                </w:tcPr>
                <w:p w14:paraId="0D757CD0">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64BD63FE">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1B972DEC">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质量指标</w:t>
                  </w:r>
                </w:p>
              </w:tc>
              <w:tc>
                <w:tcPr>
                  <w:tcW w:w="2024" w:type="pct"/>
                  <w:vAlign w:val="center"/>
                </w:tcPr>
                <w:p w14:paraId="04457413">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修复后的地质环境稳定程度</w:t>
                  </w:r>
                </w:p>
              </w:tc>
              <w:tc>
                <w:tcPr>
                  <w:tcW w:w="672" w:type="pct"/>
                  <w:noWrap/>
                  <w:vAlign w:val="center"/>
                </w:tcPr>
                <w:p w14:paraId="59E17C6F">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提升</w:t>
                  </w:r>
                </w:p>
              </w:tc>
            </w:tr>
            <w:tr w14:paraId="47B0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63" w:type="pct"/>
                  <w:vMerge w:val="continue"/>
                  <w:vAlign w:val="center"/>
                </w:tcPr>
                <w:p w14:paraId="0B3C6AE5">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0F0D809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419783CD">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1DE7821A">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项目竣工验收合格率</w:t>
                  </w:r>
                </w:p>
              </w:tc>
              <w:tc>
                <w:tcPr>
                  <w:tcW w:w="672" w:type="pct"/>
                  <w:noWrap/>
                  <w:vAlign w:val="center"/>
                </w:tcPr>
                <w:p w14:paraId="32516F33">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r>
            <w:tr w14:paraId="20ED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3" w:type="pct"/>
                  <w:vMerge w:val="continue"/>
                  <w:vAlign w:val="center"/>
                </w:tcPr>
                <w:p w14:paraId="3CE8B6A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53CC975B">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0F4566D6">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6C23E603">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修复后土地利用与国土空间规划的符合度</w:t>
                  </w:r>
                </w:p>
              </w:tc>
              <w:tc>
                <w:tcPr>
                  <w:tcW w:w="672" w:type="pct"/>
                  <w:noWrap/>
                  <w:vAlign w:val="center"/>
                </w:tcPr>
                <w:p w14:paraId="5C3D6DEA">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r>
            <w:tr w14:paraId="517C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63" w:type="pct"/>
                  <w:vMerge w:val="continue"/>
                  <w:vAlign w:val="center"/>
                </w:tcPr>
                <w:p w14:paraId="2E34E86D">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restart"/>
                  <w:noWrap/>
                  <w:vAlign w:val="center"/>
                </w:tcPr>
                <w:p w14:paraId="3A4D4989">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效益指标</w:t>
                  </w:r>
                </w:p>
              </w:tc>
              <w:tc>
                <w:tcPr>
                  <w:tcW w:w="935" w:type="pct"/>
                  <w:noWrap/>
                  <w:vAlign w:val="center"/>
                </w:tcPr>
                <w:p w14:paraId="450F835D">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经济效益指标</w:t>
                  </w:r>
                </w:p>
              </w:tc>
              <w:tc>
                <w:tcPr>
                  <w:tcW w:w="2024" w:type="pct"/>
                  <w:vAlign w:val="center"/>
                </w:tcPr>
                <w:p w14:paraId="402507B9">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实施区域工矿废弃地复垦利用率</w:t>
                  </w:r>
                </w:p>
              </w:tc>
              <w:tc>
                <w:tcPr>
                  <w:tcW w:w="672" w:type="pct"/>
                  <w:noWrap/>
                  <w:vAlign w:val="center"/>
                </w:tcPr>
                <w:p w14:paraId="6AAC042E">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r>
            <w:tr w14:paraId="2FC7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63" w:type="pct"/>
                  <w:vMerge w:val="continue"/>
                  <w:vAlign w:val="center"/>
                </w:tcPr>
                <w:p w14:paraId="17EA141E">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716AE272">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1114A61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社会效益指标</w:t>
                  </w:r>
                </w:p>
              </w:tc>
              <w:tc>
                <w:tcPr>
                  <w:tcW w:w="2024" w:type="pct"/>
                  <w:vAlign w:val="center"/>
                </w:tcPr>
                <w:p w14:paraId="04E65FD5">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实施区域矿山地质灾害隐患</w:t>
                  </w:r>
                </w:p>
              </w:tc>
              <w:tc>
                <w:tcPr>
                  <w:tcW w:w="672" w:type="pct"/>
                  <w:noWrap/>
                  <w:vAlign w:val="center"/>
                </w:tcPr>
                <w:p w14:paraId="1EBD0D58">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下降</w:t>
                  </w:r>
                </w:p>
              </w:tc>
            </w:tr>
            <w:tr w14:paraId="1591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63" w:type="pct"/>
                  <w:vMerge w:val="continue"/>
                  <w:vAlign w:val="center"/>
                </w:tcPr>
                <w:p w14:paraId="798CCDF9">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73A2DA3B">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47512D4C">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02D5311A">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实施区域群众生命财产安全保障</w:t>
                  </w:r>
                </w:p>
              </w:tc>
              <w:tc>
                <w:tcPr>
                  <w:tcW w:w="672" w:type="pct"/>
                  <w:noWrap/>
                  <w:vAlign w:val="center"/>
                </w:tcPr>
                <w:p w14:paraId="1F445D96">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提升</w:t>
                  </w:r>
                </w:p>
              </w:tc>
            </w:tr>
            <w:tr w14:paraId="72A1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3" w:type="pct"/>
                  <w:vMerge w:val="continue"/>
                  <w:vAlign w:val="center"/>
                </w:tcPr>
                <w:p w14:paraId="29AB2C1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7F11387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48619F75">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生态效益指标</w:t>
                  </w:r>
                </w:p>
              </w:tc>
              <w:tc>
                <w:tcPr>
                  <w:tcW w:w="2024" w:type="pct"/>
                  <w:vAlign w:val="center"/>
                </w:tcPr>
                <w:p w14:paraId="370F41F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实施区域地貌</w:t>
                  </w:r>
                </w:p>
              </w:tc>
              <w:tc>
                <w:tcPr>
                  <w:tcW w:w="672" w:type="pct"/>
                  <w:noWrap/>
                  <w:vAlign w:val="center"/>
                </w:tcPr>
                <w:p w14:paraId="059CFE5B">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改善</w:t>
                  </w:r>
                </w:p>
              </w:tc>
            </w:tr>
            <w:tr w14:paraId="72D6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63" w:type="pct"/>
                  <w:vMerge w:val="continue"/>
                  <w:vAlign w:val="center"/>
                </w:tcPr>
                <w:p w14:paraId="43328DDD">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1DC347AE">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47BC2AF0">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34E6CDFA">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实施区域植被覆盖</w:t>
                  </w:r>
                </w:p>
              </w:tc>
              <w:tc>
                <w:tcPr>
                  <w:tcW w:w="672" w:type="pct"/>
                  <w:noWrap/>
                  <w:vAlign w:val="center"/>
                </w:tcPr>
                <w:p w14:paraId="56C02245">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提升</w:t>
                  </w:r>
                </w:p>
              </w:tc>
            </w:tr>
            <w:tr w14:paraId="6123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63" w:type="pct"/>
                  <w:vMerge w:val="continue"/>
                  <w:vAlign w:val="center"/>
                </w:tcPr>
                <w:p w14:paraId="07069C8E">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Merge w:val="continue"/>
                  <w:vAlign w:val="center"/>
                </w:tcPr>
                <w:p w14:paraId="3240F2BE">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421CC758">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23777FC3">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实施区域生态系统与周边本地生态系统协调性</w:t>
                  </w:r>
                </w:p>
              </w:tc>
              <w:tc>
                <w:tcPr>
                  <w:tcW w:w="672" w:type="pct"/>
                  <w:noWrap/>
                  <w:vAlign w:val="center"/>
                </w:tcPr>
                <w:p w14:paraId="16300348">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提升</w:t>
                  </w:r>
                </w:p>
              </w:tc>
            </w:tr>
            <w:tr w14:paraId="2814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63" w:type="pct"/>
                  <w:vMerge w:val="continue"/>
                  <w:vAlign w:val="center"/>
                </w:tcPr>
                <w:p w14:paraId="4B436F9F">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vAlign w:val="center"/>
                </w:tcPr>
                <w:p w14:paraId="77C02680">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5" w:type="pct"/>
                  <w:noWrap/>
                  <w:vAlign w:val="center"/>
                </w:tcPr>
                <w:p w14:paraId="63618069">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24" w:type="pct"/>
                  <w:vAlign w:val="center"/>
                </w:tcPr>
                <w:p w14:paraId="0460551D">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生物多样性</w:t>
                  </w:r>
                </w:p>
              </w:tc>
              <w:tc>
                <w:tcPr>
                  <w:tcW w:w="672" w:type="pct"/>
                  <w:noWrap/>
                  <w:vAlign w:val="center"/>
                </w:tcPr>
                <w:p w14:paraId="42116197">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改善</w:t>
                  </w:r>
                </w:p>
              </w:tc>
            </w:tr>
            <w:tr w14:paraId="2B0D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63" w:type="pct"/>
                  <w:vMerge w:val="continue"/>
                  <w:vAlign w:val="center"/>
                </w:tcPr>
                <w:p w14:paraId="441F67E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3" w:type="pct"/>
                  <w:noWrap/>
                  <w:vAlign w:val="center"/>
                </w:tcPr>
                <w:p w14:paraId="3B5952EC">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满意度指标</w:t>
                  </w:r>
                </w:p>
              </w:tc>
              <w:tc>
                <w:tcPr>
                  <w:tcW w:w="935" w:type="pct"/>
                  <w:noWrap/>
                  <w:vAlign w:val="center"/>
                </w:tcPr>
                <w:p w14:paraId="36142E2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服务对象满意度指标</w:t>
                  </w:r>
                </w:p>
              </w:tc>
              <w:tc>
                <w:tcPr>
                  <w:tcW w:w="2024" w:type="pct"/>
                  <w:vAlign w:val="center"/>
                </w:tcPr>
                <w:p w14:paraId="58BF7DD4">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实施区域受益人群满意度</w:t>
                  </w:r>
                </w:p>
              </w:tc>
              <w:tc>
                <w:tcPr>
                  <w:tcW w:w="672" w:type="pct"/>
                  <w:noWrap/>
                  <w:vAlign w:val="center"/>
                </w:tcPr>
                <w:p w14:paraId="6F595CD2">
                  <w:pPr>
                    <w:pStyle w:val="107"/>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r>
          </w:tbl>
          <w:p w14:paraId="7CC3966C">
            <w:pPr>
              <w:adjustRightInd w:val="0"/>
              <w:ind w:firstLine="480"/>
              <w:jc w:val="left"/>
              <w:rPr>
                <w:rFonts w:hint="default" w:eastAsia="宋体"/>
                <w:b/>
                <w:bCs/>
                <w:color w:val="000000" w:themeColor="text1"/>
                <w:kern w:val="0"/>
                <w:highlight w:val="none"/>
                <w:lang w:val="en-US" w:eastAsia="zh-CN" w:bidi="ar"/>
                <w14:textFill>
                  <w14:solidFill>
                    <w14:schemeClr w14:val="tx1"/>
                  </w14:solidFill>
                </w14:textFill>
              </w:rPr>
            </w:pPr>
            <w:r>
              <w:rPr>
                <w:rFonts w:hint="eastAsia"/>
                <w:b/>
                <w:bCs/>
                <w:color w:val="000000" w:themeColor="text1"/>
                <w:kern w:val="0"/>
                <w:highlight w:val="none"/>
                <w:lang w:eastAsia="zh-CN" w:bidi="ar"/>
                <w14:textFill>
                  <w14:solidFill>
                    <w14:schemeClr w14:val="tx1"/>
                  </w14:solidFill>
                </w14:textFill>
              </w:rPr>
              <w:t>（</w:t>
            </w:r>
            <w:r>
              <w:rPr>
                <w:rFonts w:hint="eastAsia"/>
                <w:b/>
                <w:bCs/>
                <w:color w:val="000000" w:themeColor="text1"/>
                <w:kern w:val="0"/>
                <w:highlight w:val="none"/>
                <w:lang w:val="en-US" w:eastAsia="zh-CN" w:bidi="ar"/>
                <w14:textFill>
                  <w14:solidFill>
                    <w14:schemeClr w14:val="tx1"/>
                  </w14:solidFill>
                </w14:textFill>
              </w:rPr>
              <w:t>4</w:t>
            </w:r>
            <w:r>
              <w:rPr>
                <w:rFonts w:hint="eastAsia"/>
                <w:b/>
                <w:bCs/>
                <w:color w:val="000000" w:themeColor="text1"/>
                <w:kern w:val="0"/>
                <w:highlight w:val="none"/>
                <w:lang w:eastAsia="zh-CN" w:bidi="ar"/>
                <w14:textFill>
                  <w14:solidFill>
                    <w14:schemeClr w14:val="tx1"/>
                  </w14:solidFill>
                </w14:textFill>
              </w:rPr>
              <w:t>）</w:t>
            </w:r>
            <w:r>
              <w:rPr>
                <w:rFonts w:hint="eastAsia"/>
                <w:b/>
                <w:bCs/>
                <w:color w:val="000000" w:themeColor="text1"/>
                <w:kern w:val="0"/>
                <w:highlight w:val="none"/>
                <w:lang w:val="en-US" w:eastAsia="zh-CN" w:bidi="ar"/>
                <w14:textFill>
                  <w14:solidFill>
                    <w14:schemeClr w14:val="tx1"/>
                  </w14:solidFill>
                </w14:textFill>
              </w:rPr>
              <w:t>生态修复要求</w:t>
            </w:r>
          </w:p>
          <w:p w14:paraId="6D72A002">
            <w:pPr>
              <w:pStyle w:val="95"/>
              <w:spacing w:before="0"/>
              <w:ind w:firstLine="482"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①</w:t>
            </w:r>
            <w:r>
              <w:rPr>
                <w:rFonts w:hint="eastAsia" w:ascii="宋体" w:hAnsi="宋体"/>
                <w:color w:val="000000" w:themeColor="text1"/>
                <w:sz w:val="24"/>
                <w:szCs w:val="24"/>
                <w:highlight w:val="none"/>
                <w14:textFill>
                  <w14:solidFill>
                    <w14:schemeClr w14:val="tx1"/>
                  </w14:solidFill>
                </w14:textFill>
              </w:rPr>
              <w:t>生态修复各分区修复方案</w:t>
            </w:r>
          </w:p>
          <w:p w14:paraId="17B25F1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根据生态修复用地方向，不同修复分区因地制宜采取不同的生态修复方案。详见表</w:t>
            </w:r>
            <w:r>
              <w:rPr>
                <w:rFonts w:hint="eastAsia" w:ascii="宋体" w:hAnsi="宋体"/>
                <w:color w:val="000000" w:themeColor="text1"/>
                <w:sz w:val="24"/>
                <w:highlight w:val="none"/>
                <w:lang w:val="en-US" w:eastAsia="zh-CN"/>
                <w14:textFill>
                  <w14:solidFill>
                    <w14:schemeClr w14:val="tx1"/>
                  </w14:solidFill>
                </w14:textFill>
              </w:rPr>
              <w:t>2-2</w:t>
            </w:r>
            <w:r>
              <w:rPr>
                <w:rFonts w:hint="eastAsia" w:ascii="宋体" w:hAnsi="宋体"/>
                <w:color w:val="000000" w:themeColor="text1"/>
                <w:sz w:val="24"/>
                <w:highlight w:val="none"/>
                <w14:textFill>
                  <w14:solidFill>
                    <w14:schemeClr w14:val="tx1"/>
                  </w14:solidFill>
                </w14:textFill>
              </w:rPr>
              <w:t>。</w:t>
            </w:r>
          </w:p>
          <w:p w14:paraId="0BCA5516">
            <w:pPr>
              <w:pStyle w:val="97"/>
              <w:spacing w:afterLines="0" w:line="240" w:lineRule="auto"/>
              <w:rPr>
                <w:rFonts w:ascii="宋体" w:hAnsi="宋体"/>
                <w:b w:val="0"/>
                <w:color w:val="000000" w:themeColor="text1"/>
                <w:highlight w:val="none"/>
                <w14:textFill>
                  <w14:solidFill>
                    <w14:schemeClr w14:val="tx1"/>
                  </w14:solidFill>
                </w14:textFill>
              </w:rPr>
            </w:pPr>
            <w:r>
              <w:rPr>
                <w:rFonts w:hint="eastAsia" w:ascii="宋体" w:hAnsi="宋体"/>
                <w:b w:val="0"/>
                <w:color w:val="000000" w:themeColor="text1"/>
                <w:highlight w:val="none"/>
                <w14:textFill>
                  <w14:solidFill>
                    <w14:schemeClr w14:val="tx1"/>
                  </w14:solidFill>
                </w14:textFill>
              </w:rPr>
              <w:t>表</w:t>
            </w:r>
            <w:r>
              <w:rPr>
                <w:rFonts w:hint="eastAsia" w:ascii="宋体" w:hAnsi="宋体"/>
                <w:b w:val="0"/>
                <w:color w:val="000000" w:themeColor="text1"/>
                <w:highlight w:val="none"/>
                <w:lang w:val="en-US" w:eastAsia="zh-CN"/>
                <w14:textFill>
                  <w14:solidFill>
                    <w14:schemeClr w14:val="tx1"/>
                  </w14:solidFill>
                </w14:textFill>
              </w:rPr>
              <w:t>2-2</w:t>
            </w:r>
            <w:r>
              <w:rPr>
                <w:rFonts w:hint="eastAsia" w:ascii="宋体" w:hAnsi="宋体"/>
                <w:b w:val="0"/>
                <w:color w:val="000000" w:themeColor="text1"/>
                <w:highlight w:val="none"/>
                <w14:textFill>
                  <w14:solidFill>
                    <w14:schemeClr w14:val="tx1"/>
                  </w14:solidFill>
                </w14:textFill>
              </w:rPr>
              <w:t xml:space="preserve">  各矿山修复分区生态修复方案</w:t>
            </w:r>
          </w:p>
          <w:tbl>
            <w:tblPr>
              <w:tblStyle w:val="4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769"/>
              <w:gridCol w:w="1385"/>
              <w:gridCol w:w="1086"/>
              <w:gridCol w:w="1174"/>
              <w:gridCol w:w="2992"/>
            </w:tblGrid>
            <w:tr w14:paraId="7CF6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87" w:type="pct"/>
                  <w:vAlign w:val="center"/>
                </w:tcPr>
                <w:p w14:paraId="0FEA0229">
                  <w:pPr>
                    <w:pStyle w:val="107"/>
                    <w:rPr>
                      <w:color w:val="000000" w:themeColor="text1"/>
                      <w:sz w:val="21"/>
                      <w:szCs w:val="21"/>
                      <w:highlight w:val="none"/>
                      <w14:textFill>
                        <w14:solidFill>
                          <w14:schemeClr w14:val="tx1"/>
                        </w14:solidFill>
                      </w14:textFill>
                    </w:rPr>
                  </w:pPr>
                  <w:bookmarkStart w:id="10" w:name="_Toc122907728"/>
                  <w:r>
                    <w:rPr>
                      <w:color w:val="000000" w:themeColor="text1"/>
                      <w:sz w:val="21"/>
                      <w:szCs w:val="21"/>
                      <w:highlight w:val="none"/>
                      <w14:textFill>
                        <w14:solidFill>
                          <w14:schemeClr w14:val="tx1"/>
                        </w14:solidFill>
                      </w14:textFill>
                    </w:rPr>
                    <w:t>单元名称</w:t>
                  </w:r>
                </w:p>
              </w:tc>
              <w:tc>
                <w:tcPr>
                  <w:tcW w:w="458" w:type="pct"/>
                  <w:vAlign w:val="center"/>
                </w:tcPr>
                <w:p w14:paraId="375DC2B7">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分区编码</w:t>
                  </w:r>
                </w:p>
              </w:tc>
              <w:tc>
                <w:tcPr>
                  <w:tcW w:w="824" w:type="pct"/>
                  <w:vAlign w:val="center"/>
                </w:tcPr>
                <w:p w14:paraId="047C71F3">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分区名称</w:t>
                  </w:r>
                </w:p>
              </w:tc>
              <w:tc>
                <w:tcPr>
                  <w:tcW w:w="647" w:type="pct"/>
                  <w:vAlign w:val="center"/>
                </w:tcPr>
                <w:p w14:paraId="02B28271">
                  <w:pPr>
                    <w:pStyle w:val="107"/>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面积（hm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699" w:type="pct"/>
                  <w:vAlign w:val="center"/>
                </w:tcPr>
                <w:p w14:paraId="69CD1D67">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用地方向</w:t>
                  </w:r>
                </w:p>
              </w:tc>
              <w:tc>
                <w:tcPr>
                  <w:tcW w:w="1782" w:type="pct"/>
                  <w:vAlign w:val="center"/>
                </w:tcPr>
                <w:p w14:paraId="31B49072">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生态修复主要方案</w:t>
                  </w:r>
                </w:p>
              </w:tc>
            </w:tr>
            <w:tr w14:paraId="18DC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87" w:type="pct"/>
                  <w:vMerge w:val="restart"/>
                  <w:vAlign w:val="center"/>
                </w:tcPr>
                <w:p w14:paraId="2C725A74">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令友采石场露天采场</w:t>
                  </w:r>
                </w:p>
              </w:tc>
              <w:tc>
                <w:tcPr>
                  <w:tcW w:w="458" w:type="pct"/>
                  <w:vAlign w:val="center"/>
                </w:tcPr>
                <w:p w14:paraId="1CE7C011">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A</w:t>
                  </w:r>
                </w:p>
              </w:tc>
              <w:tc>
                <w:tcPr>
                  <w:tcW w:w="824" w:type="pct"/>
                  <w:vAlign w:val="center"/>
                </w:tcPr>
                <w:p w14:paraId="5D57913A">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堆填斜坡区</w:t>
                  </w:r>
                </w:p>
              </w:tc>
              <w:tc>
                <w:tcPr>
                  <w:tcW w:w="647" w:type="pct"/>
                  <w:vAlign w:val="center"/>
                </w:tcPr>
                <w:p w14:paraId="6BD4B1D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2.3506</w:t>
                  </w:r>
                </w:p>
              </w:tc>
              <w:tc>
                <w:tcPr>
                  <w:tcW w:w="699" w:type="pct"/>
                  <w:vAlign w:val="center"/>
                </w:tcPr>
                <w:p w14:paraId="450F22D1">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灌木林地</w:t>
                  </w:r>
                </w:p>
              </w:tc>
              <w:tc>
                <w:tcPr>
                  <w:tcW w:w="1782" w:type="pct"/>
                  <w:vAlign w:val="center"/>
                </w:tcPr>
                <w:p w14:paraId="41D4E122">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回填工程完成后，覆</w:t>
                  </w:r>
                  <w:r>
                    <w:rPr>
                      <w:rFonts w:hint="eastAsia"/>
                      <w:color w:val="000000" w:themeColor="text1"/>
                      <w:sz w:val="21"/>
                      <w:szCs w:val="21"/>
                      <w:highlight w:val="none"/>
                      <w:lang w:eastAsia="zh-CN"/>
                      <w14:textFill>
                        <w14:solidFill>
                          <w14:schemeClr w14:val="tx1"/>
                        </w14:solidFill>
                      </w14:textFill>
                    </w:rPr>
                    <w:t>盖</w:t>
                  </w:r>
                  <w:r>
                    <w:rPr>
                      <w:rFonts w:hint="eastAsia"/>
                      <w:color w:val="000000" w:themeColor="text1"/>
                      <w:sz w:val="21"/>
                      <w:szCs w:val="21"/>
                      <w:highlight w:val="none"/>
                      <w14:textFill>
                        <w14:solidFill>
                          <w14:schemeClr w14:val="tx1"/>
                        </w14:solidFill>
                      </w14:textFill>
                    </w:rPr>
                    <w:t>支撑土层和耕植土层，灌草结合植被恢复</w:t>
                  </w:r>
                </w:p>
              </w:tc>
            </w:tr>
            <w:tr w14:paraId="65BE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587" w:type="pct"/>
                  <w:vMerge w:val="continue"/>
                  <w:vAlign w:val="center"/>
                </w:tcPr>
                <w:p w14:paraId="4C19DFE5">
                  <w:pPr>
                    <w:pStyle w:val="107"/>
                    <w:rPr>
                      <w:color w:val="000000" w:themeColor="text1"/>
                      <w:sz w:val="21"/>
                      <w:szCs w:val="21"/>
                      <w:highlight w:val="none"/>
                      <w14:textFill>
                        <w14:solidFill>
                          <w14:schemeClr w14:val="tx1"/>
                        </w14:solidFill>
                      </w14:textFill>
                    </w:rPr>
                  </w:pPr>
                </w:p>
              </w:tc>
              <w:tc>
                <w:tcPr>
                  <w:tcW w:w="458" w:type="pct"/>
                  <w:vAlign w:val="center"/>
                </w:tcPr>
                <w:p w14:paraId="3C23E3E6">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w:t>
                  </w:r>
                </w:p>
              </w:tc>
              <w:tc>
                <w:tcPr>
                  <w:tcW w:w="824" w:type="pct"/>
                  <w:vAlign w:val="center"/>
                </w:tcPr>
                <w:p w14:paraId="07542C6B">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堆填</w:t>
                  </w:r>
                  <w:r>
                    <w:rPr>
                      <w:rFonts w:hint="eastAsia"/>
                      <w:color w:val="000000" w:themeColor="text1"/>
                      <w:sz w:val="21"/>
                      <w:szCs w:val="21"/>
                      <w:highlight w:val="none"/>
                      <w14:textFill>
                        <w14:solidFill>
                          <w14:schemeClr w14:val="tx1"/>
                        </w14:solidFill>
                      </w14:textFill>
                    </w:rPr>
                    <w:t>区顶部平台</w:t>
                  </w:r>
                </w:p>
              </w:tc>
              <w:tc>
                <w:tcPr>
                  <w:tcW w:w="647" w:type="pct"/>
                  <w:vAlign w:val="center"/>
                </w:tcPr>
                <w:p w14:paraId="5FB70CFF">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3.5084</w:t>
                  </w:r>
                </w:p>
              </w:tc>
              <w:tc>
                <w:tcPr>
                  <w:tcW w:w="699" w:type="pct"/>
                  <w:vAlign w:val="center"/>
                </w:tcPr>
                <w:p w14:paraId="468F1796">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旱地</w:t>
                  </w:r>
                </w:p>
              </w:tc>
              <w:tc>
                <w:tcPr>
                  <w:tcW w:w="1782" w:type="pct"/>
                  <w:vAlign w:val="center"/>
                </w:tcPr>
                <w:p w14:paraId="7DBC2DBF">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回填工程完成后，覆</w:t>
                  </w:r>
                  <w:r>
                    <w:rPr>
                      <w:rFonts w:hint="eastAsia"/>
                      <w:color w:val="000000" w:themeColor="text1"/>
                      <w:sz w:val="21"/>
                      <w:szCs w:val="21"/>
                      <w:highlight w:val="none"/>
                      <w:lang w:eastAsia="zh-CN"/>
                      <w14:textFill>
                        <w14:solidFill>
                          <w14:schemeClr w14:val="tx1"/>
                        </w14:solidFill>
                      </w14:textFill>
                    </w:rPr>
                    <w:t>盖</w:t>
                  </w:r>
                  <w:r>
                    <w:rPr>
                      <w:rFonts w:hint="eastAsia"/>
                      <w:color w:val="000000" w:themeColor="text1"/>
                      <w:sz w:val="21"/>
                      <w:szCs w:val="21"/>
                      <w:highlight w:val="none"/>
                      <w14:textFill>
                        <w14:solidFill>
                          <w14:schemeClr w14:val="tx1"/>
                        </w14:solidFill>
                      </w14:textFill>
                    </w:rPr>
                    <w:t>支撑土层和耕植土层，培肥耕种。</w:t>
                  </w:r>
                </w:p>
              </w:tc>
            </w:tr>
            <w:tr w14:paraId="3943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587" w:type="pct"/>
                  <w:vMerge w:val="continue"/>
                  <w:vAlign w:val="center"/>
                </w:tcPr>
                <w:p w14:paraId="22403A03">
                  <w:pPr>
                    <w:pStyle w:val="107"/>
                    <w:rPr>
                      <w:color w:val="000000" w:themeColor="text1"/>
                      <w:sz w:val="21"/>
                      <w:szCs w:val="21"/>
                      <w:highlight w:val="none"/>
                      <w14:textFill>
                        <w14:solidFill>
                          <w14:schemeClr w14:val="tx1"/>
                        </w14:solidFill>
                      </w14:textFill>
                    </w:rPr>
                  </w:pPr>
                </w:p>
              </w:tc>
              <w:tc>
                <w:tcPr>
                  <w:tcW w:w="458" w:type="pct"/>
                  <w:vAlign w:val="center"/>
                </w:tcPr>
                <w:p w14:paraId="73CB380F">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p>
              </w:tc>
              <w:tc>
                <w:tcPr>
                  <w:tcW w:w="824" w:type="pct"/>
                  <w:vAlign w:val="center"/>
                </w:tcPr>
                <w:p w14:paraId="7145AB59">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拦挡坝及周边平缓区</w:t>
                  </w:r>
                </w:p>
              </w:tc>
              <w:tc>
                <w:tcPr>
                  <w:tcW w:w="647" w:type="pct"/>
                  <w:vAlign w:val="center"/>
                </w:tcPr>
                <w:p w14:paraId="29BC3549">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0.3696</w:t>
                  </w:r>
                </w:p>
              </w:tc>
              <w:tc>
                <w:tcPr>
                  <w:tcW w:w="699" w:type="pct"/>
                  <w:vAlign w:val="center"/>
                </w:tcPr>
                <w:p w14:paraId="037FB8D0">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乔木</w:t>
                  </w:r>
                  <w:r>
                    <w:rPr>
                      <w:color w:val="000000" w:themeColor="text1"/>
                      <w:sz w:val="21"/>
                      <w:szCs w:val="21"/>
                      <w:highlight w:val="none"/>
                      <w14:textFill>
                        <w14:solidFill>
                          <w14:schemeClr w14:val="tx1"/>
                        </w14:solidFill>
                      </w14:textFill>
                    </w:rPr>
                    <w:t>林地</w:t>
                  </w:r>
                  <w:r>
                    <w:rPr>
                      <w:rFonts w:hint="eastAsia"/>
                      <w:color w:val="000000" w:themeColor="text1"/>
                      <w:sz w:val="21"/>
                      <w:szCs w:val="21"/>
                      <w:highlight w:val="none"/>
                      <w14:textFill>
                        <w14:solidFill>
                          <w14:schemeClr w14:val="tx1"/>
                        </w14:solidFill>
                      </w14:textFill>
                    </w:rPr>
                    <w:t>、设施用地</w:t>
                  </w:r>
                </w:p>
              </w:tc>
              <w:tc>
                <w:tcPr>
                  <w:tcW w:w="1782" w:type="pct"/>
                  <w:vAlign w:val="center"/>
                </w:tcPr>
                <w:p w14:paraId="1191C416">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回填工程完成后，覆耕植土层，乔灌草结合植被恢复。</w:t>
                  </w:r>
                </w:p>
              </w:tc>
            </w:tr>
            <w:tr w14:paraId="3313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jc w:val="center"/>
              </w:trPr>
              <w:tc>
                <w:tcPr>
                  <w:tcW w:w="587" w:type="pct"/>
                  <w:vMerge w:val="continue"/>
                  <w:vAlign w:val="center"/>
                </w:tcPr>
                <w:p w14:paraId="52F09670">
                  <w:pPr>
                    <w:pStyle w:val="107"/>
                    <w:rPr>
                      <w:color w:val="000000" w:themeColor="text1"/>
                      <w:sz w:val="21"/>
                      <w:szCs w:val="21"/>
                      <w:highlight w:val="none"/>
                      <w14:textFill>
                        <w14:solidFill>
                          <w14:schemeClr w14:val="tx1"/>
                        </w14:solidFill>
                      </w14:textFill>
                    </w:rPr>
                  </w:pPr>
                </w:p>
              </w:tc>
              <w:tc>
                <w:tcPr>
                  <w:tcW w:w="458" w:type="pct"/>
                  <w:vAlign w:val="center"/>
                </w:tcPr>
                <w:p w14:paraId="69A71440">
                  <w:pPr>
                    <w:pStyle w:val="107"/>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w:t>
                  </w:r>
                </w:p>
              </w:tc>
              <w:tc>
                <w:tcPr>
                  <w:tcW w:w="824" w:type="pct"/>
                  <w:vAlign w:val="center"/>
                </w:tcPr>
                <w:p w14:paraId="289C684A">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采矿</w:t>
                  </w:r>
                  <w:r>
                    <w:rPr>
                      <w:color w:val="000000" w:themeColor="text1"/>
                      <w:sz w:val="21"/>
                      <w:szCs w:val="21"/>
                      <w:highlight w:val="none"/>
                      <w14:textFill>
                        <w14:solidFill>
                          <w14:schemeClr w14:val="tx1"/>
                        </w14:solidFill>
                      </w14:textFill>
                    </w:rPr>
                    <w:t>陡坎区</w:t>
                  </w:r>
                </w:p>
              </w:tc>
              <w:tc>
                <w:tcPr>
                  <w:tcW w:w="647" w:type="pct"/>
                  <w:vAlign w:val="center"/>
                </w:tcPr>
                <w:p w14:paraId="3F078CD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0.0846</w:t>
                  </w:r>
                </w:p>
              </w:tc>
              <w:tc>
                <w:tcPr>
                  <w:tcW w:w="699" w:type="pct"/>
                  <w:vAlign w:val="center"/>
                </w:tcPr>
                <w:p w14:paraId="01B78A2A">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其他草地</w:t>
                  </w:r>
                </w:p>
              </w:tc>
              <w:tc>
                <w:tcPr>
                  <w:tcW w:w="1782" w:type="pct"/>
                  <w:vAlign w:val="center"/>
                </w:tcPr>
                <w:p w14:paraId="32DD3603">
                  <w:pPr>
                    <w:pStyle w:val="107"/>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回填工程完成后，陡坡区种植爬藤植物恢复为其他草地</w:t>
                  </w:r>
                </w:p>
              </w:tc>
            </w:tr>
            <w:tr w14:paraId="67DC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jc w:val="center"/>
              </w:trPr>
              <w:tc>
                <w:tcPr>
                  <w:tcW w:w="1870" w:type="pct"/>
                  <w:gridSpan w:val="3"/>
                  <w:vAlign w:val="center"/>
                </w:tcPr>
                <w:p w14:paraId="3BFAE416">
                  <w:pPr>
                    <w:pStyle w:val="107"/>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总计</w:t>
                  </w:r>
                </w:p>
              </w:tc>
              <w:tc>
                <w:tcPr>
                  <w:tcW w:w="647" w:type="pct"/>
                  <w:vAlign w:val="center"/>
                </w:tcPr>
                <w:p w14:paraId="56807176">
                  <w:pPr>
                    <w:pStyle w:val="107"/>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6.3132</w:t>
                  </w:r>
                </w:p>
              </w:tc>
              <w:tc>
                <w:tcPr>
                  <w:tcW w:w="699" w:type="pct"/>
                  <w:vAlign w:val="center"/>
                </w:tcPr>
                <w:p w14:paraId="42DE2FD4">
                  <w:pPr>
                    <w:pStyle w:val="107"/>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782" w:type="pct"/>
                  <w:vAlign w:val="center"/>
                </w:tcPr>
                <w:p w14:paraId="58EB0FA0">
                  <w:pPr>
                    <w:pStyle w:val="107"/>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bl>
          <w:p w14:paraId="00C5696E">
            <w:pPr>
              <w:pStyle w:val="95"/>
              <w:spacing w:before="0"/>
              <w:ind w:firstLine="482"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②</w:t>
            </w:r>
            <w:r>
              <w:rPr>
                <w:rFonts w:hint="eastAsia" w:ascii="宋体" w:hAnsi="宋体"/>
                <w:color w:val="000000" w:themeColor="text1"/>
                <w:sz w:val="24"/>
                <w:szCs w:val="24"/>
                <w:highlight w:val="none"/>
                <w14:textFill>
                  <w14:solidFill>
                    <w14:schemeClr w14:val="tx1"/>
                  </w14:solidFill>
                </w14:textFill>
              </w:rPr>
              <w:t>建设标准</w:t>
            </w:r>
            <w:bookmarkEnd w:id="10"/>
          </w:p>
          <w:p w14:paraId="5455599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依据云南省国土资源行业标准《土地开发整理工程建设标准》（试行），本项目修复应增加农用地数量。</w:t>
            </w:r>
          </w:p>
          <w:p w14:paraId="4E4AE8E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土壤剥覆工程：项目土地已损毁，不具备表土剥离的条件，外购表土满足复垦需求。</w:t>
            </w:r>
          </w:p>
          <w:p w14:paraId="35057DE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土地平整工程：要求结合项目区的地形地貌以及作物种植制度，根据复垦区地形和高程，结合土地地块现状，采取全部平整方法；进行土地平整时，总体以道路、位置分隔田块，遵循挖填平衡的原则，因地制宜，以田块（或格田）为平整单元；土地平整时，尽量做到挖填平衡，然后覆盖一定厚度的表土，使其满足耕作要求；土地平整后，格田宽度4～100米，长度控制在10～300米。</w:t>
            </w:r>
          </w:p>
          <w:p w14:paraId="576CC10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土地翻耕：土地翻耕是针对被压实的土地，由于土地被压实后，保水保肥能力降低，对临时压实板结等的土地进行土地翻耕，松动土壤，可以有效提高土地耕作的土壤条件。土地翻耕深度为30～50cm。</w:t>
            </w:r>
          </w:p>
          <w:p w14:paraId="5FEC418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生物化学工程：项目区表土为外购表土，肥力一般，因此，使用商品肥、农家肥进行肥力恢复，培肥1季。耕地培肥标准：商品肥50kg/亩、农家肥1500kg/亩。</w:t>
            </w:r>
          </w:p>
          <w:p w14:paraId="4273D2C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植被重建工程：结合项目区的地形地貌、土壤、地质等条件，复垦为旱地、乔木林地、灌木林地，根据项目区的气候及自然条件，旱地种植玉米-烤烟，乔木林地采用乔灌草结合，灌木林地采用灌草结合的方式。</w:t>
            </w:r>
          </w:p>
          <w:p w14:paraId="254DE26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灌排工程：建设标准总体上按照“灌得进、排得出”原则，建设旱涝保收的灌溉与排水工程灌溉体系。根据《灌溉与排水工程设计规范》、云南省国土资源行业标准《土地开发整理工程建设标准》（试行），结合实际地形地貌及水资源状况，主要规划为旱地、乔木林地、灌木林地，主要靠项目区天然降雨，布置水池等集水，提供保苗用水。</w:t>
            </w:r>
          </w:p>
          <w:p w14:paraId="38E4C86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道路工程：为方便农业生产，有利于机械化耕作，项目区内应完善道路系统。结合项目区现有道路等级及网络情况，项目规划的道路工程主要为田间生产道路，根据《公路桥涵设计通用规范》（JTGD60～2004）、《村镇规划标准》（GB50188～93）、云南省国土资源行业标准《土地开发整理工程建设标准》（试行），结合项目区实际将田间道路定位为等外级，按机耕道标准规划设计。田间道路宽为3.0m，要求路面平整，平直短捷。</w:t>
            </w:r>
          </w:p>
          <w:p w14:paraId="39DBF4B9">
            <w:pPr>
              <w:spacing w:line="360" w:lineRule="auto"/>
              <w:ind w:firstLine="480" w:firstLineChars="200"/>
              <w:rPr>
                <w:rFonts w:ascii="宋体" w:hAnsi="宋体"/>
                <w:b/>
                <w:bCs/>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通过项目区土地整治，全面配套灌溉与排水工程、交通建设，把项目区建设成为“田成方、林成网、渠相通、路相连、旱能浇、涝能排”，基础设施完备，生态环境优越，产出率高，生产条件好，具有一定田间景观，整体功能较强的复垦区。</w:t>
            </w:r>
          </w:p>
          <w:p w14:paraId="11A2EB5E">
            <w:pPr>
              <w:pStyle w:val="95"/>
              <w:spacing w:before="0"/>
              <w:ind w:firstLine="482" w:firstLineChars="200"/>
              <w:rPr>
                <w:rFonts w:ascii="宋体" w:hAnsi="宋体"/>
                <w:color w:val="000000" w:themeColor="text1"/>
                <w:sz w:val="24"/>
                <w:szCs w:val="24"/>
                <w:highlight w:val="none"/>
                <w14:textFill>
                  <w14:solidFill>
                    <w14:schemeClr w14:val="tx1"/>
                  </w14:solidFill>
                </w14:textFill>
              </w:rPr>
            </w:pPr>
            <w:bookmarkStart w:id="11" w:name="_Toc122907729"/>
            <w:r>
              <w:rPr>
                <w:rFonts w:hint="eastAsia" w:ascii="宋体" w:hAnsi="宋体"/>
                <w:color w:val="000000" w:themeColor="text1"/>
                <w:sz w:val="24"/>
                <w:szCs w:val="24"/>
                <w:highlight w:val="none"/>
                <w:lang w:val="en-US" w:eastAsia="zh-CN"/>
                <w14:textFill>
                  <w14:solidFill>
                    <w14:schemeClr w14:val="tx1"/>
                  </w14:solidFill>
                </w14:textFill>
              </w:rPr>
              <w:t>③</w:t>
            </w:r>
            <w:r>
              <w:rPr>
                <w:rFonts w:hint="eastAsia" w:ascii="宋体" w:hAnsi="宋体"/>
                <w:color w:val="000000" w:themeColor="text1"/>
                <w:sz w:val="24"/>
                <w:szCs w:val="24"/>
                <w:highlight w:val="none"/>
                <w14:textFill>
                  <w14:solidFill>
                    <w14:schemeClr w14:val="tx1"/>
                  </w14:solidFill>
                </w14:textFill>
              </w:rPr>
              <w:t>土地复垦质量要求与复垦措施</w:t>
            </w:r>
            <w:bookmarkEnd w:id="11"/>
          </w:p>
          <w:p w14:paraId="232B954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（1）土地复垦质量要求</w:t>
            </w:r>
          </w:p>
          <w:p w14:paraId="73200162">
            <w:pPr>
              <w:pStyle w:val="98"/>
              <w:ind w:firstLine="480"/>
              <w:rPr>
                <w:rFonts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根据确定的土地复垦方案和《土地复垦技术标准》（试行）、《云南省土地开发整理工程建设标准（试行）》、《雨水集蓄利用工程技术规范》（中华人民共和国行业标准，SL267-2001），按照经济合理的原则和土地复垦方向，采取相应的土地复垦标准。</w:t>
            </w:r>
          </w:p>
          <w:p w14:paraId="62C5C72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1）土地复垦质量控制标准</w:t>
            </w:r>
          </w:p>
          <w:p w14:paraId="102EF6FA">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根据土地复垦适宜性评价可知，项目的土地复垦方向主要为旱地、有林地。结合《土地复垦质量控制标准》（TD/T1036-2013）和当地实际情况，确定的土地复垦标准如下表：</w:t>
            </w:r>
          </w:p>
          <w:p w14:paraId="7EDB3561">
            <w:pPr>
              <w:pStyle w:val="99"/>
              <w:rPr>
                <w:rFonts w:ascii="宋体" w:hAnsi="宋体" w:cs="Times New Roman"/>
                <w:b/>
                <w:bCs/>
                <w:color w:val="000000" w:themeColor="text1"/>
                <w:szCs w:val="24"/>
                <w:highlight w:val="none"/>
                <w14:textFill>
                  <w14:solidFill>
                    <w14:schemeClr w14:val="tx1"/>
                  </w14:solidFill>
                </w14:textFill>
              </w:rPr>
            </w:pPr>
            <w:r>
              <w:rPr>
                <w:rFonts w:hint="eastAsia" w:ascii="宋体" w:hAnsi="宋体" w:cs="Times New Roman"/>
                <w:b/>
                <w:bCs/>
                <w:color w:val="000000" w:themeColor="text1"/>
                <w:szCs w:val="24"/>
                <w:highlight w:val="none"/>
                <w14:textFill>
                  <w14:solidFill>
                    <w14:schemeClr w14:val="tx1"/>
                  </w14:solidFill>
                </w14:textFill>
              </w:rPr>
              <w:t>表</w:t>
            </w:r>
            <w:r>
              <w:rPr>
                <w:rFonts w:hint="eastAsia" w:ascii="宋体" w:hAnsi="宋体" w:cs="Times New Roman"/>
                <w:b/>
                <w:bCs/>
                <w:color w:val="000000" w:themeColor="text1"/>
                <w:szCs w:val="24"/>
                <w:highlight w:val="none"/>
                <w:lang w:val="en-US" w:eastAsia="zh-CN"/>
                <w14:textFill>
                  <w14:solidFill>
                    <w14:schemeClr w14:val="tx1"/>
                  </w14:solidFill>
                </w14:textFill>
              </w:rPr>
              <w:t>2-3</w:t>
            </w:r>
            <w:r>
              <w:rPr>
                <w:rFonts w:hint="eastAsia" w:ascii="宋体" w:hAnsi="宋体" w:cs="Times New Roman"/>
                <w:b/>
                <w:bCs/>
                <w:color w:val="000000" w:themeColor="text1"/>
                <w:szCs w:val="24"/>
                <w:highlight w:val="none"/>
                <w14:textFill>
                  <w14:solidFill>
                    <w14:schemeClr w14:val="tx1"/>
                  </w14:solidFill>
                </w14:textFill>
              </w:rPr>
              <w:t xml:space="preserve">   土地复垦质量控制标准表</w:t>
            </w:r>
          </w:p>
          <w:tbl>
            <w:tblPr>
              <w:tblStyle w:val="4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194"/>
              <w:gridCol w:w="1664"/>
              <w:gridCol w:w="3673"/>
            </w:tblGrid>
            <w:tr w14:paraId="6498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noWrap w:val="0"/>
                  <w:vAlign w:val="center"/>
                </w:tcPr>
                <w:p w14:paraId="1FAFC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复垦利用方向</w:t>
                  </w:r>
                </w:p>
              </w:tc>
              <w:tc>
                <w:tcPr>
                  <w:tcW w:w="718" w:type="pct"/>
                  <w:noWrap w:val="0"/>
                  <w:vAlign w:val="center"/>
                </w:tcPr>
                <w:p w14:paraId="57E0A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指标类型</w:t>
                  </w:r>
                </w:p>
              </w:tc>
              <w:tc>
                <w:tcPr>
                  <w:tcW w:w="1001" w:type="pct"/>
                  <w:noWrap w:val="0"/>
                  <w:vAlign w:val="center"/>
                </w:tcPr>
                <w:p w14:paraId="2763F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基本指标</w:t>
                  </w:r>
                </w:p>
              </w:tc>
              <w:tc>
                <w:tcPr>
                  <w:tcW w:w="2209" w:type="pct"/>
                  <w:noWrap w:val="0"/>
                  <w:vAlign w:val="center"/>
                </w:tcPr>
                <w:p w14:paraId="21DC2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质量标准</w:t>
                  </w:r>
                </w:p>
              </w:tc>
            </w:tr>
            <w:tr w14:paraId="3A38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restart"/>
                  <w:noWrap w:val="0"/>
                  <w:vAlign w:val="center"/>
                </w:tcPr>
                <w:p w14:paraId="258A3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旱地</w:t>
                  </w:r>
                </w:p>
              </w:tc>
              <w:tc>
                <w:tcPr>
                  <w:tcW w:w="718" w:type="pct"/>
                  <w:vMerge w:val="restart"/>
                  <w:noWrap w:val="0"/>
                  <w:vAlign w:val="center"/>
                </w:tcPr>
                <w:p w14:paraId="4A5D38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地形条件</w:t>
                  </w:r>
                </w:p>
              </w:tc>
              <w:tc>
                <w:tcPr>
                  <w:tcW w:w="1001" w:type="pct"/>
                  <w:noWrap w:val="0"/>
                  <w:vAlign w:val="center"/>
                </w:tcPr>
                <w:p w14:paraId="4CBA9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地面坡度（°）</w:t>
                  </w:r>
                </w:p>
              </w:tc>
              <w:tc>
                <w:tcPr>
                  <w:tcW w:w="2209" w:type="pct"/>
                  <w:noWrap w:val="0"/>
                  <w:vAlign w:val="center"/>
                </w:tcPr>
                <w:p w14:paraId="6FD2A7B0">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r>
            <w:tr w14:paraId="2973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7CFF8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28488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50A51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平整度</w:t>
                  </w:r>
                </w:p>
              </w:tc>
              <w:tc>
                <w:tcPr>
                  <w:tcW w:w="2209" w:type="pct"/>
                  <w:noWrap w:val="0"/>
                  <w:vAlign w:val="center"/>
                </w:tcPr>
                <w:p w14:paraId="2B0E8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田面高差±5cm之内</w:t>
                  </w:r>
                </w:p>
              </w:tc>
            </w:tr>
            <w:tr w14:paraId="22F6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1F5CC0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restart"/>
                  <w:noWrap w:val="0"/>
                  <w:vAlign w:val="center"/>
                </w:tcPr>
                <w:p w14:paraId="71A8B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土壤质量</w:t>
                  </w:r>
                </w:p>
              </w:tc>
              <w:tc>
                <w:tcPr>
                  <w:tcW w:w="1001" w:type="pct"/>
                  <w:noWrap w:val="0"/>
                  <w:vAlign w:val="center"/>
                </w:tcPr>
                <w:p w14:paraId="5CFA3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有效土层厚度cm）</w:t>
                  </w:r>
                </w:p>
              </w:tc>
              <w:tc>
                <w:tcPr>
                  <w:tcW w:w="2209" w:type="pct"/>
                  <w:noWrap w:val="0"/>
                  <w:vAlign w:val="center"/>
                </w:tcPr>
                <w:p w14:paraId="083B2F4B">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r>
            <w:tr w14:paraId="201F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69FD2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7EB2FE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7F79B0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土壤容重（g/cm³）</w:t>
                  </w:r>
                </w:p>
              </w:tc>
              <w:tc>
                <w:tcPr>
                  <w:tcW w:w="2209" w:type="pct"/>
                  <w:noWrap w:val="0"/>
                  <w:vAlign w:val="center"/>
                </w:tcPr>
                <w:p w14:paraId="4B914025">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≤1.45</w:t>
                  </w:r>
                </w:p>
              </w:tc>
            </w:tr>
            <w:tr w14:paraId="6F5B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786E9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4B628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546188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土壤质地</w:t>
                  </w:r>
                </w:p>
              </w:tc>
              <w:tc>
                <w:tcPr>
                  <w:tcW w:w="2209" w:type="pct"/>
                  <w:noWrap w:val="0"/>
                  <w:vAlign w:val="center"/>
                </w:tcPr>
                <w:p w14:paraId="404E1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砂质壤土至壤质粘土</w:t>
                  </w:r>
                </w:p>
              </w:tc>
            </w:tr>
            <w:tr w14:paraId="1B95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37FFA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5BC091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027D94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砾石含量（%）</w:t>
                  </w:r>
                </w:p>
              </w:tc>
              <w:tc>
                <w:tcPr>
                  <w:tcW w:w="2209" w:type="pct"/>
                  <w:noWrap w:val="0"/>
                  <w:vAlign w:val="center"/>
                </w:tcPr>
                <w:p w14:paraId="42023943">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731E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31DB1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32EAA3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20A57088">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2209" w:type="pct"/>
                  <w:noWrap w:val="0"/>
                  <w:vAlign w:val="center"/>
                </w:tcPr>
                <w:p w14:paraId="155E3F48">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6.0～8.5</w:t>
                  </w:r>
                </w:p>
              </w:tc>
            </w:tr>
            <w:tr w14:paraId="09F9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19FBD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45790B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7DCA4B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有机质（%）</w:t>
                  </w:r>
                </w:p>
              </w:tc>
              <w:tc>
                <w:tcPr>
                  <w:tcW w:w="2209" w:type="pct"/>
                  <w:noWrap w:val="0"/>
                  <w:vAlign w:val="center"/>
                </w:tcPr>
                <w:p w14:paraId="1CD5120B">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5743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315D8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12A37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18F99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回填区域</w:t>
                  </w:r>
                </w:p>
              </w:tc>
              <w:tc>
                <w:tcPr>
                  <w:tcW w:w="2209" w:type="pct"/>
                  <w:noWrap w:val="0"/>
                  <w:vAlign w:val="center"/>
                </w:tcPr>
                <w:p w14:paraId="353A22D7">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不得含有毒有害物质，不得回填旧建筑拆除垃圾、建筑施工和装修垃圾、建材生产垃圾、软土一类等</w:t>
                  </w:r>
                </w:p>
              </w:tc>
            </w:tr>
            <w:tr w14:paraId="1156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669B4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restart"/>
                  <w:noWrap w:val="0"/>
                  <w:vAlign w:val="center"/>
                </w:tcPr>
                <w:p w14:paraId="072D4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配套设施</w:t>
                  </w:r>
                </w:p>
              </w:tc>
              <w:tc>
                <w:tcPr>
                  <w:tcW w:w="1001" w:type="pct"/>
                  <w:noWrap w:val="0"/>
                  <w:vAlign w:val="center"/>
                </w:tcPr>
                <w:p w14:paraId="3AAB8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灌溉</w:t>
                  </w:r>
                </w:p>
              </w:tc>
              <w:tc>
                <w:tcPr>
                  <w:tcW w:w="2209" w:type="pct"/>
                  <w:noWrap w:val="0"/>
                  <w:vAlign w:val="center"/>
                </w:tcPr>
                <w:p w14:paraId="01DCC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具备保苗灌排条件</w:t>
                  </w:r>
                </w:p>
              </w:tc>
            </w:tr>
            <w:tr w14:paraId="075C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772A6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100DD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23DAB1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排水</w:t>
                  </w:r>
                </w:p>
              </w:tc>
              <w:tc>
                <w:tcPr>
                  <w:tcW w:w="2209" w:type="pct"/>
                  <w:noWrap w:val="0"/>
                  <w:vAlign w:val="center"/>
                </w:tcPr>
                <w:p w14:paraId="27F59E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有截排水措施</w:t>
                  </w:r>
                </w:p>
              </w:tc>
            </w:tr>
            <w:tr w14:paraId="1927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42BB21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0917A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61DF7C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道路</w:t>
                  </w:r>
                </w:p>
              </w:tc>
              <w:tc>
                <w:tcPr>
                  <w:tcW w:w="2209" w:type="pct"/>
                  <w:noWrap w:val="0"/>
                  <w:vAlign w:val="center"/>
                </w:tcPr>
                <w:p w14:paraId="1A255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有交通运输道路连接，利于农业生产</w:t>
                  </w:r>
                </w:p>
              </w:tc>
            </w:tr>
            <w:tr w14:paraId="3A97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6DA2B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noWrap w:val="0"/>
                  <w:vAlign w:val="center"/>
                </w:tcPr>
                <w:p w14:paraId="104BB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生产力水平</w:t>
                  </w:r>
                </w:p>
              </w:tc>
              <w:tc>
                <w:tcPr>
                  <w:tcW w:w="1001" w:type="pct"/>
                  <w:noWrap w:val="0"/>
                  <w:vAlign w:val="center"/>
                </w:tcPr>
                <w:p w14:paraId="395FB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产量（kg/hm²）</w:t>
                  </w:r>
                </w:p>
              </w:tc>
              <w:tc>
                <w:tcPr>
                  <w:tcW w:w="2209" w:type="pct"/>
                  <w:noWrap w:val="0"/>
                  <w:vAlign w:val="center"/>
                </w:tcPr>
                <w:p w14:paraId="552D0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四年后达到周边地区同等土地利用类型水平</w:t>
                  </w:r>
                </w:p>
              </w:tc>
            </w:tr>
            <w:tr w14:paraId="2525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restart"/>
                  <w:noWrap w:val="0"/>
                  <w:vAlign w:val="center"/>
                </w:tcPr>
                <w:p w14:paraId="6BD60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有林地</w:t>
                  </w:r>
                </w:p>
              </w:tc>
              <w:tc>
                <w:tcPr>
                  <w:tcW w:w="718" w:type="pct"/>
                  <w:vMerge w:val="restart"/>
                  <w:noWrap w:val="0"/>
                  <w:vAlign w:val="center"/>
                </w:tcPr>
                <w:p w14:paraId="7667B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土壤质量</w:t>
                  </w:r>
                </w:p>
              </w:tc>
              <w:tc>
                <w:tcPr>
                  <w:tcW w:w="1001" w:type="pct"/>
                  <w:noWrap w:val="0"/>
                  <w:vAlign w:val="center"/>
                </w:tcPr>
                <w:p w14:paraId="1C5E7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有效土层厚度cm）</w:t>
                  </w:r>
                </w:p>
              </w:tc>
              <w:tc>
                <w:tcPr>
                  <w:tcW w:w="2209" w:type="pct"/>
                  <w:noWrap w:val="0"/>
                  <w:vAlign w:val="center"/>
                </w:tcPr>
                <w:p w14:paraId="4D670322">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r>
            <w:tr w14:paraId="723E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632DB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5768B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731E0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土壤容重（g/cm³）</w:t>
                  </w:r>
                </w:p>
              </w:tc>
              <w:tc>
                <w:tcPr>
                  <w:tcW w:w="2209" w:type="pct"/>
                  <w:noWrap w:val="0"/>
                  <w:vAlign w:val="center"/>
                </w:tcPr>
                <w:p w14:paraId="3CB976EB">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687F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7A92B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0D110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4C91E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土壤质地</w:t>
                  </w:r>
                </w:p>
              </w:tc>
              <w:tc>
                <w:tcPr>
                  <w:tcW w:w="2209" w:type="pct"/>
                  <w:noWrap w:val="0"/>
                  <w:vAlign w:val="center"/>
                </w:tcPr>
                <w:p w14:paraId="737BC1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砂土至壤质粘土</w:t>
                  </w:r>
                </w:p>
              </w:tc>
            </w:tr>
            <w:tr w14:paraId="0B98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204C0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510801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6673C7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砾石含量（%）</w:t>
                  </w:r>
                </w:p>
              </w:tc>
              <w:tc>
                <w:tcPr>
                  <w:tcW w:w="2209" w:type="pct"/>
                  <w:noWrap w:val="0"/>
                  <w:vAlign w:val="center"/>
                </w:tcPr>
                <w:p w14:paraId="4E26C9C9">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r>
            <w:tr w14:paraId="0D34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6FB05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03CD9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02D6700D">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2209" w:type="pct"/>
                  <w:noWrap w:val="0"/>
                  <w:vAlign w:val="center"/>
                </w:tcPr>
                <w:p w14:paraId="7369354A">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5.5～8.5</w:t>
                  </w:r>
                </w:p>
              </w:tc>
            </w:tr>
            <w:tr w14:paraId="3AD1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0F701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7DC3CA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0EDFFA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有机质（%）</w:t>
                  </w:r>
                </w:p>
              </w:tc>
              <w:tc>
                <w:tcPr>
                  <w:tcW w:w="2209" w:type="pct"/>
                  <w:noWrap w:val="0"/>
                  <w:vAlign w:val="center"/>
                </w:tcPr>
                <w:p w14:paraId="6047B9F4">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r>
            <w:tr w14:paraId="704E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748C4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noWrap w:val="0"/>
                  <w:vAlign w:val="center"/>
                </w:tcPr>
                <w:p w14:paraId="70C60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配套设施</w:t>
                  </w:r>
                </w:p>
              </w:tc>
              <w:tc>
                <w:tcPr>
                  <w:tcW w:w="1001" w:type="pct"/>
                  <w:noWrap w:val="0"/>
                  <w:vAlign w:val="center"/>
                </w:tcPr>
                <w:p w14:paraId="44B63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道路</w:t>
                  </w:r>
                </w:p>
              </w:tc>
              <w:tc>
                <w:tcPr>
                  <w:tcW w:w="2209" w:type="pct"/>
                  <w:noWrap w:val="0"/>
                  <w:vAlign w:val="center"/>
                </w:tcPr>
                <w:p w14:paraId="64F7A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周边有交通运输道路</w:t>
                  </w:r>
                </w:p>
              </w:tc>
            </w:tr>
            <w:tr w14:paraId="79D4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2CE4A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restart"/>
                  <w:noWrap w:val="0"/>
                  <w:vAlign w:val="center"/>
                </w:tcPr>
                <w:p w14:paraId="43B90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生产力水平</w:t>
                  </w:r>
                </w:p>
              </w:tc>
              <w:tc>
                <w:tcPr>
                  <w:tcW w:w="1001" w:type="pct"/>
                  <w:noWrap w:val="0"/>
                  <w:vAlign w:val="center"/>
                </w:tcPr>
                <w:p w14:paraId="6BBEDE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定植密度（株/</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hm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209" w:type="pct"/>
                  <w:noWrap w:val="0"/>
                  <w:vAlign w:val="center"/>
                </w:tcPr>
                <w:p w14:paraId="1CBC282E">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r>
            <w:tr w14:paraId="4318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31E6F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703F91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713C5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成活率（%）</w:t>
                  </w:r>
                </w:p>
              </w:tc>
              <w:tc>
                <w:tcPr>
                  <w:tcW w:w="2209" w:type="pct"/>
                  <w:noWrap w:val="0"/>
                  <w:vAlign w:val="center"/>
                </w:tcPr>
                <w:p w14:paraId="3089CD73">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≥85</w:t>
                  </w:r>
                </w:p>
              </w:tc>
            </w:tr>
            <w:tr w14:paraId="26B8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70" w:type="pct"/>
                  <w:vMerge w:val="continue"/>
                  <w:noWrap w:val="0"/>
                  <w:vAlign w:val="center"/>
                </w:tcPr>
                <w:p w14:paraId="3DBD62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8" w:type="pct"/>
                  <w:vMerge w:val="continue"/>
                  <w:noWrap w:val="0"/>
                  <w:vAlign w:val="center"/>
                </w:tcPr>
                <w:p w14:paraId="270B9D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01" w:type="pct"/>
                  <w:noWrap w:val="0"/>
                  <w:vAlign w:val="center"/>
                </w:tcPr>
                <w:p w14:paraId="2A5B8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保存率（%）</w:t>
                  </w:r>
                </w:p>
              </w:tc>
              <w:tc>
                <w:tcPr>
                  <w:tcW w:w="2209" w:type="pct"/>
                  <w:noWrap w:val="0"/>
                  <w:vAlign w:val="center"/>
                </w:tcPr>
                <w:p w14:paraId="453983E6">
                  <w:pPr>
                    <w:pStyle w:val="10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r>
          </w:tbl>
          <w:p w14:paraId="594EA0F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2）土地复垦措施技术标准</w:t>
            </w:r>
          </w:p>
          <w:p w14:paraId="4347E81C">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土地复垦适宜性评价可知，本项目的土地复垦方向主要为旱地、乔木林地、灌木林地。结合《土地复垦质量控制标准》（TD/T1036-2013）和当地实际情况，结合项目区土地损毁情况、复垦方向及土地复垦质量控制标准，制定复垦措施如下：</w:t>
            </w:r>
          </w:p>
          <w:p w14:paraId="0FAD50F6">
            <w:pPr>
              <w:spacing w:line="360" w:lineRule="auto"/>
              <w:ind w:firstLine="48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a、工程措施标准</w:t>
            </w:r>
          </w:p>
          <w:p w14:paraId="06092A90">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default" w:ascii="Times New Roman" w:hAnsi="Times New Roman" w:cs="Times New Roman"/>
                <w:color w:val="000000" w:themeColor="text1"/>
                <w:sz w:val="24"/>
                <w:highlight w:val="none"/>
                <w14:textFill>
                  <w14:solidFill>
                    <w14:schemeClr w14:val="tx1"/>
                  </w14:solidFill>
                </w14:textFill>
              </w:rPr>
              <w:instrText xml:space="preserve"> = 1 \* GB3 </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①</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改性磷石膏填料回填整形地貌。</w:t>
            </w:r>
          </w:p>
          <w:p w14:paraId="321BD8EE">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default" w:ascii="Times New Roman" w:hAnsi="Times New Roman" w:cs="Times New Roman"/>
                <w:color w:val="000000" w:themeColor="text1"/>
                <w:sz w:val="24"/>
                <w:highlight w:val="none"/>
                <w14:textFill>
                  <w14:solidFill>
                    <w14:schemeClr w14:val="tx1"/>
                  </w14:solidFill>
                </w14:textFill>
              </w:rPr>
              <w:instrText xml:space="preserve"> = 2 \* GB3 </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②</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有排水设施、防洪标准满足当地要求，即防洪标准按25年一遇的日最大降雨作物耐淹时间（1.5天）内排出为设计标准，50年一遇标准校核。</w:t>
            </w:r>
          </w:p>
          <w:p w14:paraId="326C6CF0">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default" w:ascii="Times New Roman" w:hAnsi="Times New Roman" w:cs="Times New Roman"/>
                <w:color w:val="000000" w:themeColor="text1"/>
                <w:sz w:val="24"/>
                <w:highlight w:val="none"/>
                <w14:textFill>
                  <w14:solidFill>
                    <w14:schemeClr w14:val="tx1"/>
                  </w14:solidFill>
                </w14:textFill>
              </w:rPr>
              <w:instrText xml:space="preserve"> = 3 \* GB3 </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③</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复耕区场地平整，坡度满足耕地要求，旱地地面坡度不超过25度。</w:t>
            </w:r>
          </w:p>
          <w:p w14:paraId="0CBB0084">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default" w:ascii="Times New Roman" w:hAnsi="Times New Roman" w:cs="Times New Roman"/>
                <w:color w:val="000000" w:themeColor="text1"/>
                <w:sz w:val="24"/>
                <w:highlight w:val="none"/>
                <w14:textFill>
                  <w14:solidFill>
                    <w14:schemeClr w14:val="tx1"/>
                  </w14:solidFill>
                </w14:textFill>
              </w:rPr>
              <w:instrText xml:space="preserve"> = 4 \* GB3 </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④</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依据各类废弃物性状，确定覆土的必要性、覆土层厚度等，回填区有防渗层的位置先覆0.4m厚支撑土层，再覆耕植土0.6m。其他无防渗层区域一般覆土厚度为自然沉实土壤≥0.5m。</w:t>
            </w:r>
          </w:p>
          <w:p w14:paraId="47D9D459">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fldChar w:fldCharType="begin"/>
            </w:r>
            <w:r>
              <w:rPr>
                <w:rFonts w:hint="default" w:ascii="Times New Roman" w:hAnsi="Times New Roman" w:cs="Times New Roman"/>
                <w:color w:val="000000" w:themeColor="text1"/>
                <w:sz w:val="24"/>
                <w:highlight w:val="none"/>
                <w14:textFill>
                  <w14:solidFill>
                    <w14:schemeClr w14:val="tx1"/>
                  </w14:solidFill>
                </w14:textFill>
              </w:rPr>
              <w:instrText xml:space="preserve"> = 5 \* GB3 </w:instrText>
            </w:r>
            <w:r>
              <w:rPr>
                <w:rFonts w:hint="default" w:ascii="Times New Roman" w:hAnsi="Times New Roman" w:cs="Times New Roman"/>
                <w:color w:val="000000" w:themeColor="text1"/>
                <w:sz w:val="24"/>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⑤</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遵循土地整治的标准规范，通过田、水、路、林、村综合整治，增加有效耕地面积，提高耕地质量，改善农村生产生活条件和生态环境的土地利用活动。</w:t>
            </w:r>
          </w:p>
          <w:p w14:paraId="7EB730C4">
            <w:pPr>
              <w:spacing w:line="360" w:lineRule="auto"/>
              <w:ind w:firstLine="48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b、植被措施标准</w:t>
            </w:r>
          </w:p>
          <w:p w14:paraId="08C92F0C">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本工程复垦植被措施应满足以下标准：</w:t>
            </w:r>
          </w:p>
          <w:p w14:paraId="73742AA6">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1）按照“适地适树、适地适草”的原则，结合立地条件及植被特点进行树种选择，乔木选用圆柏、旱冬瓜，灌木选用车桑子、火棘，草种选用狗牙根、白三叶、黑麦草。</w:t>
            </w:r>
          </w:p>
          <w:p w14:paraId="53F90929">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2）治理工程施工合格率应达100％，生物工程治理合格率达100％，对死亡的苗木及时补种。</w:t>
            </w:r>
          </w:p>
          <w:p w14:paraId="6E4715F5">
            <w:pPr>
              <w:adjustRightInd w:val="0"/>
              <w:ind w:firstLine="480"/>
              <w:jc w:val="left"/>
              <w:rPr>
                <w:b/>
                <w:bCs/>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3</w:t>
            </w:r>
            <w:r>
              <w:rPr>
                <w:b/>
                <w:bCs/>
                <w:color w:val="000000" w:themeColor="text1"/>
                <w:kern w:val="0"/>
                <w:highlight w:val="none"/>
                <w:lang w:bidi="ar"/>
                <w14:textFill>
                  <w14:solidFill>
                    <w14:schemeClr w14:val="tx1"/>
                  </w14:solidFill>
                </w14:textFill>
              </w:rPr>
              <w:t>、工程内容</w:t>
            </w:r>
          </w:p>
          <w:p w14:paraId="382240C1">
            <w:pPr>
              <w:adjustRightInd w:val="0"/>
              <w:ind w:firstLine="480"/>
              <w:jc w:val="left"/>
              <w:rPr>
                <w:color w:val="000000" w:themeColor="text1"/>
                <w:kern w:val="0"/>
                <w:highlight w:val="none"/>
                <w:lang w:bidi="ar"/>
                <w14:textFill>
                  <w14:solidFill>
                    <w14:schemeClr w14:val="tx1"/>
                  </w14:solidFill>
                </w14:textFill>
              </w:rPr>
            </w:pPr>
            <w:r>
              <w:rPr>
                <w:rFonts w:hint="eastAsia" w:hAnsi="宋体"/>
                <w:color w:val="000000" w:themeColor="text1"/>
                <w:szCs w:val="24"/>
                <w:highlight w:val="none"/>
                <w14:textFill>
                  <w14:solidFill>
                    <w14:schemeClr w14:val="tx1"/>
                  </w14:solidFill>
                </w14:textFill>
              </w:rPr>
              <w:t>回填修复工程主要工程措施按施工顺序分为：场地底部整平及边坡清理、地下水导排收集系统、拦挡坝填筑、回填区底部全防渗、渗滤液导排收集系统、改性磷石膏填料分层碾压回填、回填区顶部全防渗、截排水工程、监测措施、警示措施、防护工程等。</w:t>
            </w:r>
            <w:r>
              <w:rPr>
                <w:color w:val="000000" w:themeColor="text1"/>
                <w:highlight w:val="none"/>
                <w14:textFill>
                  <w14:solidFill>
                    <w14:schemeClr w14:val="tx1"/>
                  </w14:solidFill>
                </w14:textFill>
              </w:rPr>
              <w:t>主要</w:t>
            </w:r>
            <w:r>
              <w:rPr>
                <w:color w:val="000000" w:themeColor="text1"/>
                <w:kern w:val="0"/>
                <w:highlight w:val="none"/>
                <w:lang w:bidi="ar"/>
                <w14:textFill>
                  <w14:solidFill>
                    <w14:schemeClr w14:val="tx1"/>
                  </w14:solidFill>
                </w14:textFill>
              </w:rPr>
              <w:t>建设内容见下表。</w:t>
            </w:r>
          </w:p>
          <w:p w14:paraId="151B038F">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表2-</w:t>
            </w:r>
            <w:r>
              <w:rPr>
                <w:rFonts w:hint="eastAsia"/>
                <w:b/>
                <w:bCs/>
                <w:color w:val="000000" w:themeColor="text1"/>
                <w:kern w:val="0"/>
                <w:sz w:val="21"/>
                <w:szCs w:val="21"/>
                <w:highlight w:val="none"/>
                <w:lang w:val="en-US" w:eastAsia="zh-CN" w:bidi="ar"/>
                <w14:textFill>
                  <w14:solidFill>
                    <w14:schemeClr w14:val="tx1"/>
                  </w14:solidFill>
                </w14:textFill>
              </w:rPr>
              <w:t xml:space="preserve">4  </w:t>
            </w:r>
            <w:r>
              <w:rPr>
                <w:b/>
                <w:bCs/>
                <w:color w:val="000000" w:themeColor="text1"/>
                <w:kern w:val="0"/>
                <w:sz w:val="21"/>
                <w:szCs w:val="21"/>
                <w:highlight w:val="none"/>
                <w:lang w:bidi="ar"/>
                <w14:textFill>
                  <w14:solidFill>
                    <w14:schemeClr w14:val="tx1"/>
                  </w14:solidFill>
                </w14:textFill>
              </w:rPr>
              <w:t>工程建设内容一览表</w:t>
            </w:r>
          </w:p>
          <w:tbl>
            <w:tblPr>
              <w:tblStyle w:val="4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671"/>
              <w:gridCol w:w="6622"/>
              <w:gridCol w:w="663"/>
            </w:tblGrid>
            <w:tr w14:paraId="28E8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8" w:type="pct"/>
                  <w:gridSpan w:val="2"/>
                  <w:vAlign w:val="center"/>
                </w:tcPr>
                <w:p w14:paraId="3AA19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工程名称</w:t>
                  </w:r>
                </w:p>
              </w:tc>
              <w:tc>
                <w:tcPr>
                  <w:tcW w:w="3946" w:type="pct"/>
                  <w:vAlign w:val="center"/>
                </w:tcPr>
                <w:p w14:paraId="113AE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建设规模及内容</w:t>
                  </w:r>
                </w:p>
              </w:tc>
              <w:tc>
                <w:tcPr>
                  <w:tcW w:w="395" w:type="pct"/>
                  <w:vAlign w:val="center"/>
                </w:tcPr>
                <w:p w14:paraId="02530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备注</w:t>
                  </w:r>
                </w:p>
              </w:tc>
            </w:tr>
            <w:tr w14:paraId="312B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9" w:hRule="atLeast"/>
              </w:trPr>
              <w:tc>
                <w:tcPr>
                  <w:tcW w:w="258" w:type="pct"/>
                  <w:vMerge w:val="restart"/>
                  <w:vAlign w:val="center"/>
                </w:tcPr>
                <w:p w14:paraId="493DF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主体工程</w:t>
                  </w:r>
                </w:p>
              </w:tc>
              <w:tc>
                <w:tcPr>
                  <w:tcW w:w="399" w:type="pct"/>
                  <w:vAlign w:val="center"/>
                </w:tcPr>
                <w:p w14:paraId="2663C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边坡危岩清理及边坡修整</w:t>
                  </w:r>
                </w:p>
              </w:tc>
              <w:tc>
                <w:tcPr>
                  <w:tcW w:w="3946" w:type="pct"/>
                  <w:vAlign w:val="center"/>
                </w:tcPr>
                <w:p w14:paraId="7C50F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寻甸县塘子镇钟灵村委会令友采石场开采方式为露天开采，采矿过后遗留的露采场地严重破坏了山区的自然地貌、景观和生态环境，还改变了原有的地形地貌，对周围景观造成了极大的影响。目前，寻甸县塘子镇钟灵村委会令友采石场现状形成1个露天采场。采场长约412m，宽约200m，面积6.3132h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现状呈不规则形态，分布方向近南北向。矿山以往未严格按开发利用方案设计开采，未形成规范台阶，采场形成北侧、西侧、东侧三面高陡岩质边坡。采场最高点位于露天采场北侧，标高2100m，最低标高位于采坑底部西北侧位置，标高2044.05m，相对高差55.95m。采石场矿坑西面边坡，坡顶高程2075.8m，坡脚高程2044.0m，高度约31.0m，坡面倾向79°，总体边坡角65°。采石场矿坑北侧边坡，坡顶高程2108m，坡脚高程2045m，高度约63m，坡面倾向238°，总体边坡角约42°。该段边坡分为上段和下段，下段坡角约为37°，高约15m，上段坡角约为59°，高约40m。采石场矿坑东侧边坡，坡顶高程2102m，坡脚高程2049m，高度约53m，坡面倾向247°，总体边坡角约23°。</w:t>
                  </w:r>
                </w:p>
                <w:p w14:paraId="4F4EE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了消除采矿边坡安全隐患，满足后续场区底部防渗层铺设的场地要求，需对露天采场场地边坡进行危岩清理、边坡修整，清理过程中须做好边坡监测工作，采取合理、可行、有效的保护措施，防止边坡滑塌对施工人员和机械造成危害。</w:t>
                  </w:r>
                </w:p>
                <w:p w14:paraId="4AE12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场地清理时清除耕植土后，令友采石场露天采场采用清理的土石料用于场地底部整平，场地清理整平后边坡能够稳定满足防渗层铺设，且整平后方便后期底部防渗层锚固沟的修建，令友采石场露天采场场地清理整平预估可产生约81382m3土石方，土石比例约7:3；场地危岩清理主要是针对边坡浮石进行清理，面积约24074㎡，预估可产生约12037m3石方。场地清理产生的土石料用于场地底部整平，场地底部整平成不缓于2%的顺坡，场地底坡整平后需进行压实。本工程产生的土石方均用于本工程生态修复使用，不产生外运土石方。</w:t>
                  </w:r>
                </w:p>
              </w:tc>
              <w:tc>
                <w:tcPr>
                  <w:tcW w:w="395" w:type="pct"/>
                  <w:vAlign w:val="center"/>
                </w:tcPr>
                <w:p w14:paraId="714E1E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53FC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68AD8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399" w:type="pct"/>
                  <w:vAlign w:val="center"/>
                </w:tcPr>
                <w:p w14:paraId="101F4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回填区底部整平及边坡清理</w:t>
                  </w:r>
                </w:p>
              </w:tc>
              <w:tc>
                <w:tcPr>
                  <w:tcW w:w="3946" w:type="pct"/>
                  <w:vAlign w:val="center"/>
                </w:tcPr>
                <w:p w14:paraId="53F99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令友采石场露天采场采矿边坡清理修整完成后，为了满足回填区底部全防渗材料的铺设要求，对场地底部进行整平，整平完成后底部形成不缓于2%的顺坡，坡向采坑西北侧地下水收集井位置，以满足地下水及渗滤液导排收集，场地底部整平面积32287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4A80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由于开采边坡为岩质边坡，为了防止对防渗材料的破坏，需要对场地边坡区域进行清理，主要以清理浮石和尖锐突出物为主，清理完成采用简单设备进行整平，场地边坡清理面积32655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95" w:type="pct"/>
                  <w:vMerge w:val="restart"/>
                  <w:vAlign w:val="center"/>
                </w:tcPr>
                <w:p w14:paraId="587FF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690F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25FEB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324FE1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地下水导排收集系统</w:t>
                  </w:r>
                </w:p>
              </w:tc>
              <w:tc>
                <w:tcPr>
                  <w:tcW w:w="3946" w:type="pct"/>
                  <w:vAlign w:val="center"/>
                </w:tcPr>
                <w:p w14:paraId="0795E4E2">
                  <w:pPr>
                    <w:pStyle w:val="3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2" w:name="_Hlk195476108"/>
                  <w:r>
                    <w:rPr>
                      <w:rFonts w:hint="default" w:ascii="Times New Roman" w:hAnsi="Times New Roman" w:eastAsia="宋体" w:cs="Times New Roman"/>
                      <w:color w:val="000000" w:themeColor="text1"/>
                      <w:sz w:val="21"/>
                      <w:szCs w:val="21"/>
                      <w:highlight w:val="none"/>
                      <w14:textFill>
                        <w14:solidFill>
                          <w14:schemeClr w14:val="tx1"/>
                        </w14:solidFill>
                      </w14:textFill>
                    </w:rPr>
                    <w:t>令友采石场露天采场场地内地下水埋深较深，但在雨季时场地外雨水下渗有可能进入回填区底部，上层滞水形成地下水，为了防止地下水对防渗膜的顶托破坏，须将回填区地下水及时导出，使下渗的地下水不影响防渗结构层的有效性，故设计在修复区防渗层下设置地下水导排盲沟，导排雨季时雨水下渗形成的地下水。地下水导排盲沟在回填区底部整平后，开挖顶宽1500mm，高度500mm，底宽500mm的沟槽，采用土工布包裹碎石充填，碎石内埋设DN200塑料盲沟管。</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塑料盲沟</w:t>
                  </w:r>
                  <w:r>
                    <w:rPr>
                      <w:rFonts w:hint="default" w:ascii="Times New Roman" w:hAnsi="Times New Roman" w:eastAsia="宋体" w:cs="Times New Roman"/>
                      <w:color w:val="000000" w:themeColor="text1"/>
                      <w:sz w:val="21"/>
                      <w:szCs w:val="21"/>
                      <w:highlight w:val="none"/>
                      <w14:textFill>
                        <w14:solidFill>
                          <w14:schemeClr w14:val="tx1"/>
                        </w14:solidFill>
                      </w14:textFill>
                    </w:rPr>
                    <w:t>管接至采坑西北侧地下水收集井，地下水收集井为底部钢筋混凝土结构，采用DN300HDPE竖管由收集井接至堆填体标高以上，钢筋混凝土收集井净尺寸为2.2×2.2×3.2m，壁厚40cm，通过潜水泵抽至地下水收集池，在采坑西北侧顶部新建地下水收集池，尺寸按长×宽×高=5.0×5.0×2.0m设置，采用砖砌，1:2砂浆抹面。池顶标高2075.0m，地下水导排管出口标高2045.0m。池顶设置1.2m高防护栏杆和安全警示标志牌。</w:t>
                  </w:r>
                </w:p>
                <w:p w14:paraId="6F31F5B7">
                  <w:pPr>
                    <w:pStyle w:val="3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地下水收集池内的水主要用于修复区管护期浇灌使用。</w:t>
                  </w:r>
                  <w:bookmarkEnd w:id="12"/>
                </w:p>
              </w:tc>
              <w:tc>
                <w:tcPr>
                  <w:tcW w:w="395" w:type="pct"/>
                  <w:vMerge w:val="continue"/>
                  <w:vAlign w:val="center"/>
                </w:tcPr>
                <w:p w14:paraId="28241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EFC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48B58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1DD1EA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拦挡设施</w:t>
                  </w:r>
                </w:p>
              </w:tc>
              <w:tc>
                <w:tcPr>
                  <w:tcW w:w="3946" w:type="pct"/>
                  <w:vAlign w:val="center"/>
                </w:tcPr>
                <w:p w14:paraId="2BD3FB59">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为保证地貌回填体的安全，在场地南侧位置填筑拦挡坝。拦挡坝坝型结合现场实际情况，结合下游沉砂池挡水的要求，拦挡坝设计采用C25毛石砼重力坝。</w:t>
                  </w:r>
                </w:p>
                <w:p w14:paraId="4FB27B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拦挡坝坝底标高2067m，坝顶标高2072m，坝顶宽2m，坝顶长29m，坝高5m。</w:t>
                  </w:r>
                </w:p>
                <w:p w14:paraId="0EDB7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拦挡坝上游坝坡坡比1:0.4，拦挡坝上游坝坡坡面设防渗层与场内底部防渗层连接；拦挡坝下游坝坡坡比1:0.6。</w:t>
                  </w:r>
                </w:p>
                <w:p w14:paraId="6AF9E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拦挡坝坝基位置主要为原开采过程中形成的场地，首先对拦挡坝坝基位置进行清理，以砾质粘性土或灰岩为坝基持力层。毛石砼分层浇筑，毛石率不大于30%。</w:t>
                  </w:r>
                </w:p>
                <w:p w14:paraId="4C2F5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5" w:type="pct"/>
                  <w:vMerge w:val="continue"/>
                  <w:vAlign w:val="center"/>
                </w:tcPr>
                <w:p w14:paraId="5F2B43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D3D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04FBC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71D5F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回填区底部全防渗</w:t>
                  </w:r>
                </w:p>
              </w:tc>
              <w:tc>
                <w:tcPr>
                  <w:tcW w:w="3946" w:type="pct"/>
                  <w:vAlign w:val="center"/>
                </w:tcPr>
                <w:p w14:paraId="322AC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石场生态修复恢复地貌拟采用无害化处理后的改性磷石膏填料进行回填，根据检测结果，改性磷石膏填料为I类一般工业固体废物，根据项目所在地环境以及回填料的成分考虑，项目参照《一般工业固体废物贮存和填埋污染控制标准》（GB18599-2020）中Ⅱ类填埋场的要求对回填区进行底部全防渗，以达到该项目的环境风险可控的目的。</w:t>
                  </w:r>
                </w:p>
                <w:p w14:paraId="1F82C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防渗采用柔性结构防渗系统，防渗材料选择具有化学兼容性、耐久性、耐热性、高强度、低渗透率、易维护、无二次污染、适应地基不均匀沉降、具有较好的抗微生物侵蚀和抗化学腐蚀性能的HDPE防渗膜。通过设置人工防渗系统将修复回填区底部原地层与生态修复回填材料完全隔离，确保回填区域的渗滤液不下渗，严格控制渗滤液产生量，保护周边环境及地下水质。</w:t>
                  </w:r>
                </w:p>
                <w:p w14:paraId="65272C34">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1）底部防渗层结构</w:t>
                  </w:r>
                </w:p>
                <w:p w14:paraId="3CA32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1）底部防渗层结构</w:t>
                  </w:r>
                </w:p>
                <w:p w14:paraId="658CCA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底部防渗层首先在整平后的场地铺设0.75m厚粘土作为土工膜支撑保护层，粘土采用市场购买方式获得，要求粘土干净、含沙量小、黏粘、粒径小于0.05mm的含量应超过25%、塑性指数大于15。经压实措施处理后的饱和渗透系数不应大于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cm/s。黏土层铺设完成后铺设1.5mm厚单糙面HEPD土工防渗膜，并满足GB/T 17643和CJ/T234-2006规定的技术指标要求；最后在上部回填改性磷石膏填料。</w:t>
                  </w:r>
                </w:p>
                <w:p w14:paraId="092D2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底部防渗结构由下至上构成如下：</w:t>
                  </w:r>
                </w:p>
                <w:p w14:paraId="6B1BD5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（1）库底整平压实基础层（地下水导排盲沟在其中）</w:t>
                  </w:r>
                </w:p>
                <w:p w14:paraId="6FC5C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（2）0.75m厚粘土支撑保护层</w:t>
                  </w:r>
                </w:p>
                <w:p w14:paraId="4CB07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（3）400g/㎡长丝无纺土工布</w:t>
                  </w:r>
                </w:p>
                <w:p w14:paraId="60411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（4）1.5mm厚单糙面HDPE土工膜</w:t>
                  </w:r>
                </w:p>
                <w:p w14:paraId="0B05F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（5）400g/㎡长丝无纺土工布</w:t>
                  </w:r>
                </w:p>
                <w:p w14:paraId="5DA53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（6）改性磷石膏填料回填</w:t>
                  </w:r>
                </w:p>
                <w:p w14:paraId="50EFC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2）边坡防渗层结构</w:t>
                  </w:r>
                </w:p>
                <w:p w14:paraId="5E3933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由于场地边坡大部分陡峻，粘土层无法铺设，设计对边坡清理整平后，采用4800g/m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纳基膨润土毯作为防渗膜的保护层铺设在整平边坡上，再铺设HDPE土工防渗膜。</w:t>
                  </w:r>
                </w:p>
                <w:p w14:paraId="422B3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膨润土毯在岸坡较陡地段，需采用锚固钉、链固定，防止下滑。膨润土毯和土工防渗膜均在边坡顶部和分台台阶处设锚固沟进行锚固。</w:t>
                  </w:r>
                </w:p>
                <w:p w14:paraId="62185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边坡防渗层结构由下至上构成如下：</w:t>
                  </w:r>
                </w:p>
                <w:p w14:paraId="1486E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（1）边坡清理整平层</w:t>
                  </w:r>
                </w:p>
                <w:p w14:paraId="746E5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钠基膨润土毯</w:t>
                  </w:r>
                </w:p>
                <w:p w14:paraId="036E3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（3）1.5mm厚单糙面HDPE土工膜</w:t>
                  </w:r>
                </w:p>
                <w:p w14:paraId="72E17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（4）400g/㎡长丝无纺土工布</w:t>
                  </w:r>
                </w:p>
                <w:p w14:paraId="68BBBF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（5）改性磷石膏填料回填</w:t>
                  </w:r>
                </w:p>
              </w:tc>
              <w:tc>
                <w:tcPr>
                  <w:tcW w:w="395" w:type="pct"/>
                  <w:vMerge w:val="continue"/>
                  <w:vAlign w:val="center"/>
                </w:tcPr>
                <w:p w14:paraId="64C03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284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4D0BD9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5A05F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渗滤液导排收集系统</w:t>
                  </w:r>
                </w:p>
              </w:tc>
              <w:tc>
                <w:tcPr>
                  <w:tcW w:w="3946" w:type="pct"/>
                  <w:vAlign w:val="center"/>
                </w:tcPr>
                <w:p w14:paraId="716362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3" w:name="_Hlk195476156"/>
                  <w:r>
                    <w:rPr>
                      <w:rFonts w:hint="default" w:ascii="Times New Roman" w:hAnsi="Times New Roman" w:eastAsia="宋体" w:cs="Times New Roman"/>
                      <w:color w:val="000000" w:themeColor="text1"/>
                      <w:sz w:val="21"/>
                      <w:szCs w:val="21"/>
                      <w:highlight w:val="none"/>
                      <w14:textFill>
                        <w14:solidFill>
                          <w14:schemeClr w14:val="tx1"/>
                        </w14:solidFill>
                      </w14:textFill>
                    </w:rPr>
                    <w:t>为了将填料可能产生的渗滤液进行收集处理，底部防渗完成后，在防渗层上设置渗滤液收集导排盲沟，沟内铺设厚500mm的卵石，卵石采用400g/m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土工布包裹。导排盲沟内置dn200塑料盲沟管排渗，塑料盲沟管穿孔管外侧采用400g/m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沿线排水控制坡度2%，导排管接至渗滤液收集井，渗滤液收集井为底部钢筋混凝土结构，采用DN200HDPE竖管由收集井接至堆填体标高以上，钢筋混凝土收集井净尺寸为2.2×2.2×3.2m，壁厚40cm，收集后通过潜水泵抽至渗滤液收集池，渗滤液收集回运至常青树化工公司厂区内处理回用。在采坑顶部西北侧设渗滤液收集池，收集回填料渗滤液。</w:t>
                  </w:r>
                </w:p>
                <w:p w14:paraId="4A218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根据试验，改性磷石膏填料入场含水率为18%，回填碾压压实度0.92时，含水率在15%，加压至1MPa时含水率达到12%，以后继续加压至5MPa时含水率为11.5%，由此判断，改性磷石膏填料在含水率12%时水分主要为结晶水，自由水较少，很难再渗出，故回填的改性磷石膏填料残留水量以含水率12％考虑。</w:t>
                  </w:r>
                </w:p>
                <w:p w14:paraId="5597E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渗滤液收集池在采坑顶部，采用钢筋混凝土矩形水池结构，尺寸长×宽×高=10×4×2.5m，容积100m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。渗滤液采用洒水车回运至常青树化工公司厂区处理后回用。渗滤液池顶标高2075.0m，渗滤液导排管出口标高2046.3m。</w:t>
                  </w:r>
                  <w:bookmarkEnd w:id="13"/>
                </w:p>
              </w:tc>
              <w:tc>
                <w:tcPr>
                  <w:tcW w:w="395" w:type="pct"/>
                  <w:vMerge w:val="continue"/>
                  <w:vAlign w:val="center"/>
                </w:tcPr>
                <w:p w14:paraId="76BC0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448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06E61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24E0C75E">
                  <w:pPr>
                    <w:pStyle w:val="91"/>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露采区回填恢复地貌</w:t>
                  </w:r>
                </w:p>
              </w:tc>
              <w:tc>
                <w:tcPr>
                  <w:tcW w:w="3946" w:type="pct"/>
                  <w:vAlign w:val="center"/>
                </w:tcPr>
                <w:p w14:paraId="779B2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令友采石场露天采场生态修复区设计采用改性磷石膏填料回填。矿坑堆填区从整平后的坑底2046m标高堆填至2081m标高，根据改性磷石膏填料特性、矿坑地形条件及雨水排水条件等因数，设计改性磷石膏填料回填堆排顺序为先填平采矿凹坑至</w:t>
                  </w:r>
                  <w:bookmarkStart w:id="14" w:name="_Hlk195476269"/>
                  <w:r>
                    <w:rPr>
                      <w:rFonts w:hint="default" w:ascii="Times New Roman" w:hAnsi="Times New Roman" w:eastAsia="宋体" w:cs="Times New Roman"/>
                      <w:color w:val="000000" w:themeColor="text1"/>
                      <w:sz w:val="21"/>
                      <w:szCs w:val="21"/>
                      <w:highlight w:val="none"/>
                      <w14:textFill>
                        <w14:solidFill>
                          <w14:schemeClr w14:val="tx1"/>
                        </w14:solidFill>
                      </w14:textFill>
                    </w:rPr>
                    <w:t>标高2070m，再由拦挡坝坝顶和周边采坑顶部按1:3.0的坡比放坡堆填，堆填体总外坡比控制缓于1:3.5。拦挡坝高度5m，拦挡坝以上堆填高度9m,最终堆填标高2081m。堆填每5m高，留设3m宽马道。</w:t>
                  </w:r>
                  <w:bookmarkEnd w:id="14"/>
                  <w:r>
                    <w:rPr>
                      <w:rFonts w:hint="default" w:ascii="Times New Roman" w:hAnsi="Times New Roman" w:eastAsia="宋体" w:cs="Times New Roman"/>
                      <w:color w:val="000000" w:themeColor="text1"/>
                      <w:sz w:val="21"/>
                      <w:szCs w:val="21"/>
                      <w:highlight w:val="none"/>
                      <w14:textFill>
                        <w14:solidFill>
                          <w14:schemeClr w14:val="tx1"/>
                        </w14:solidFill>
                      </w14:textFill>
                    </w:rPr>
                    <w:t>按场地地形初步测算回填量共计104.93万m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150万t。</w:t>
                  </w:r>
                </w:p>
              </w:tc>
              <w:tc>
                <w:tcPr>
                  <w:tcW w:w="395" w:type="pct"/>
                  <w:vMerge w:val="continue"/>
                  <w:vAlign w:val="center"/>
                </w:tcPr>
                <w:p w14:paraId="340B3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58B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76F1E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66AFDA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顶部防渗层结构</w:t>
                  </w:r>
                </w:p>
              </w:tc>
              <w:tc>
                <w:tcPr>
                  <w:tcW w:w="3946" w:type="pct"/>
                  <w:vAlign w:val="center"/>
                </w:tcPr>
                <w:p w14:paraId="7E75D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按设计回填完成后，为了控制后期雨水下渗产生新的渗滤液，参照《一般工业固体废物贮存和填埋污染控制标准》（GB18599-2020）Ⅱ类填埋场封场技术要求进行封场，回填区顶部封场采用柔性结构防渗系统，防渗材料选用HDPE土工防渗膜。通过设置人工防渗系统阻隔雨水下渗，形成新的渗滤液造成环境风险</w:t>
                  </w:r>
                  <w:r>
                    <w:rPr>
                      <w:rFonts w:hint="default" w:ascii="Times New Roman" w:hAnsi="Times New Roman" w:eastAsia="宋体" w:cs="Times New Roman"/>
                      <w:bCs/>
                      <w:color w:val="000000" w:themeColor="text1"/>
                      <w:sz w:val="21"/>
                      <w:szCs w:val="21"/>
                      <w:highlight w:val="none"/>
                      <w14:textFill>
                        <w14:solidFill>
                          <w14:schemeClr w14:val="tx1"/>
                        </w14:solidFill>
                      </w14:textFill>
                    </w:rPr>
                    <w:t>，保护周边地下水水质。</w:t>
                  </w:r>
                </w:p>
                <w:p w14:paraId="11D0B55C">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改性磷石膏填料</w:t>
                  </w:r>
                  <w:r>
                    <w:rPr>
                      <w:rFonts w:hint="default" w:ascii="Times New Roman" w:hAnsi="Times New Roman" w:eastAsia="宋体" w:cs="Times New Roman"/>
                      <w:color w:val="000000" w:themeColor="text1"/>
                      <w:sz w:val="21"/>
                      <w:szCs w:val="21"/>
                      <w:highlight w:val="none"/>
                      <w14:textFill>
                        <w14:solidFill>
                          <w14:schemeClr w14:val="tx1"/>
                        </w14:solidFill>
                      </w14:textFill>
                    </w:rPr>
                    <w:t>回填完成后，对回填区顶部采用土工防渗膜进行封场防渗，</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顶部防渗膜与底部全防渗土工膜可靠焊接，阻隔雨水下渗进入堆填体。</w:t>
                  </w:r>
                </w:p>
                <w:p w14:paraId="30AC8EE6">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顶部防渗处理结构由下至上构成如下：</w:t>
                  </w:r>
                </w:p>
                <w:p w14:paraId="5798B4A0">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（1）回填材料压实整平</w:t>
                  </w:r>
                </w:p>
                <w:p w14:paraId="30F437DC">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（2）膜下排气管</w:t>
                  </w:r>
                </w:p>
                <w:p w14:paraId="073457EB">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（3）400g/㎡长丝无纺土工布</w:t>
                  </w:r>
                </w:p>
                <w:p w14:paraId="3BD2D3A8">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bookmarkStart w:id="15" w:name="_Hlk192838016"/>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（4）1.5mm厚双糙面HDPE土工膜</w:t>
                  </w:r>
                </w:p>
                <w:bookmarkEnd w:id="15"/>
                <w:p w14:paraId="2BC1E988">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（5）4800g/㎡复合排水网格</w:t>
                  </w:r>
                </w:p>
                <w:p w14:paraId="399758F8">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（6）40cm厚阻隔支撑层填土（碎石盲沟排水网格布设其中）</w:t>
                  </w:r>
                </w:p>
                <w:p w14:paraId="14A3862D">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（7）覆土60cm，恢复为灌木林地</w:t>
                  </w:r>
                  <w:r>
                    <w:rPr>
                      <w:rFonts w:hint="default"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p>
              </w:tc>
              <w:tc>
                <w:tcPr>
                  <w:tcW w:w="395" w:type="pct"/>
                  <w:vMerge w:val="continue"/>
                  <w:vAlign w:val="center"/>
                </w:tcPr>
                <w:p w14:paraId="39356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3CE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258" w:type="pct"/>
                  <w:vMerge w:val="continue"/>
                  <w:vAlign w:val="center"/>
                </w:tcPr>
                <w:p w14:paraId="0668F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9" w:type="pct"/>
                  <w:vAlign w:val="center"/>
                </w:tcPr>
                <w:p w14:paraId="31516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排洪排水设施</w:t>
                  </w:r>
                </w:p>
              </w:tc>
              <w:tc>
                <w:tcPr>
                  <w:tcW w:w="3946" w:type="pct"/>
                  <w:vAlign w:val="center"/>
                </w:tcPr>
                <w:p w14:paraId="754321B1">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令友采石场露天采场汇水面积为0.122km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，采场位于汇水区顶部，周边汇水较少，基本为场地内汇水。设计在修复回填区周边设置周边截水沟，长1024米，净断面尺寸为B×H＝0.8m×1.0m，最小底坡2%，结构为砖砌结构</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。在回填区最终堆填边坡平台上设置坡面雨水沟，</w:t>
                  </w:r>
                  <w:r>
                    <w:rPr>
                      <w:rFonts w:hint="default" w:ascii="Times New Roman" w:hAnsi="Times New Roman" w:eastAsia="宋体" w:cs="Times New Roman"/>
                      <w:color w:val="000000" w:themeColor="text1"/>
                      <w:sz w:val="21"/>
                      <w:szCs w:val="21"/>
                      <w:highlight w:val="none"/>
                      <w14:textFill>
                        <w14:solidFill>
                          <w14:schemeClr w14:val="tx1"/>
                        </w14:solidFill>
                      </w14:textFill>
                    </w:rPr>
                    <w:t>净断面尺寸为B×H＝0.3m×0.4m，最小底坡1%，结构为砖砌结构。生态修复区汇水通过拦挡坝下游沟谷外排。</w:t>
                  </w:r>
                </w:p>
                <w:p w14:paraId="51281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场内设置纵横雨水沟，导排场内雨水进入周边截水沟外排。在堆填体每层平台上修建雨水沟，沟断面300mm×400mm，坡度不小于0.01，堆填体边坡纵向设雨水沟，纵向坡面雨水沟间隔30m设一条，断面300mm×400mm。雨水沟导排至周边截水沟，断面500mm×600mm，直接外排或收集于地下水收集池，用于场地养护浇灌。</w:t>
                  </w:r>
                </w:p>
              </w:tc>
              <w:tc>
                <w:tcPr>
                  <w:tcW w:w="395" w:type="pct"/>
                  <w:vMerge w:val="continue"/>
                  <w:vAlign w:val="center"/>
                </w:tcPr>
                <w:p w14:paraId="1523A7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832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258" w:type="pct"/>
                  <w:vMerge w:val="continue"/>
                  <w:vAlign w:val="center"/>
                </w:tcPr>
                <w:p w14:paraId="1A150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399" w:type="pct"/>
                  <w:vMerge w:val="restart"/>
                  <w:vAlign w:val="center"/>
                </w:tcPr>
                <w:p w14:paraId="68CF09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改性磷石膏填料</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黏土、耕植土</w:t>
                  </w:r>
                </w:p>
              </w:tc>
              <w:tc>
                <w:tcPr>
                  <w:tcW w:w="3946" w:type="pct"/>
                  <w:vAlign w:val="center"/>
                </w:tcPr>
                <w:p w14:paraId="2EDC0087">
                  <w:pPr>
                    <w:pStyle w:val="94"/>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根据项目实施方案及堆填设计，令友采石场矿坑</w:t>
                  </w:r>
                  <w:r>
                    <w:rPr>
                      <w:rFonts w:hint="default" w:ascii="Times New Roman" w:hAnsi="Times New Roman" w:eastAsia="宋体" w:cs="Times New Roman"/>
                      <w:color w:val="000000" w:themeColor="text1"/>
                      <w:sz w:val="21"/>
                      <w:szCs w:val="21"/>
                      <w:highlight w:val="none"/>
                      <w14:textFill>
                        <w14:solidFill>
                          <w14:schemeClr w14:val="tx1"/>
                        </w14:solidFill>
                      </w14:textFill>
                    </w:rPr>
                    <w:t>回填量共计104.93万m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150万t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接纳云南常青树化工有限公司磷石膏渣场库存量约100万吨左右改性后达标的磷石膏后，库容有剩余。为了缓解本县域内磷石膏综合利用率不足的压力、充分利用该矿坑资源、力争修复效果更加完善。剩余库容可以接纳县域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中化云龙有限公司</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改性后生产合格的磷石膏作为修复材料进行填埋。改性后的磷石膏必须满足《一般工业固体废物贮存和填埋污染控制标准（GB18599-2020）》规定的第I类一般工业固体废物要求和《改性磷石膏用于矿山废弃地生态修复回填技术规范》（DB53/T1269-2024）要求方可入厂进行生态修复。</w:t>
                  </w:r>
                </w:p>
              </w:tc>
              <w:tc>
                <w:tcPr>
                  <w:tcW w:w="395" w:type="pct"/>
                  <w:vAlign w:val="center"/>
                </w:tcPr>
                <w:p w14:paraId="02869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14:paraId="21F2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58" w:type="pct"/>
                  <w:vMerge w:val="continue"/>
                  <w:vAlign w:val="center"/>
                </w:tcPr>
                <w:p w14:paraId="18453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399" w:type="pct"/>
                  <w:vMerge w:val="continue"/>
                  <w:vAlign w:val="center"/>
                </w:tcPr>
                <w:p w14:paraId="24E54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946" w:type="pct"/>
                  <w:vAlign w:val="center"/>
                </w:tcPr>
                <w:p w14:paraId="1002B2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本项目生态修复工程措施完成后，顶部防渗层以上先覆盖40cm厚细粒土层作为阻隔支撑层。生态修复区生态恢复方向为耕地和林地。</w:t>
                  </w:r>
                </w:p>
                <w:p w14:paraId="1738F2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生态修复分区覆土情况如下：</w:t>
                  </w:r>
                </w:p>
                <w:p w14:paraId="74418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（1）回填区堆填斜坡区：生态修复为灌木林地，先覆0.4m厚细粒土作为阻隔支撑层，再覆0.6m厚表土，覆土面积27031m2，覆土量27031m3。</w:t>
                  </w:r>
                </w:p>
                <w:p w14:paraId="228B21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（2）回填区顶部平台区：生态修复为旱地，先覆0.4m厚细粒土作为阻隔支撑层，再覆0.6m厚表土，覆土面积35786m2，覆土量35786m3。</w:t>
                  </w:r>
                </w:p>
                <w:p w14:paraId="78B25407">
                  <w:pPr>
                    <w:pStyle w:val="10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（3）拦挡坝周边平缓区：生态修复为乔木林地，覆0.6m厚表土，覆土面积2607m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，覆土量1564m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726CF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（4）顶部采坑陡坡区：生态修复为其他草地，边坡坡度较陡，无法覆土。</w:t>
                  </w:r>
                </w:p>
                <w:p w14:paraId="116EAD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令友采石场生态修复区总覆土量64381m3，总修复面积63132.39m2，按10%的损耗考虑，共需覆土70819.3m3。表土来源为外购，购于附近村民的农用地，取土点复垦由农户自行耕种恢复。</w:t>
                  </w:r>
                </w:p>
              </w:tc>
              <w:tc>
                <w:tcPr>
                  <w:tcW w:w="395" w:type="pct"/>
                  <w:vAlign w:val="center"/>
                </w:tcPr>
                <w:p w14:paraId="34BC4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14:paraId="17F1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Merge w:val="restart"/>
                  <w:vAlign w:val="center"/>
                </w:tcPr>
                <w:p w14:paraId="7A348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公用工程</w:t>
                  </w:r>
                </w:p>
              </w:tc>
              <w:tc>
                <w:tcPr>
                  <w:tcW w:w="399" w:type="pct"/>
                  <w:vAlign w:val="center"/>
                </w:tcPr>
                <w:p w14:paraId="357E7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给水</w:t>
                  </w:r>
                </w:p>
              </w:tc>
              <w:tc>
                <w:tcPr>
                  <w:tcW w:w="3946" w:type="pct"/>
                  <w:vAlign w:val="center"/>
                </w:tcPr>
                <w:p w14:paraId="0D48B69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由于周边水源缺乏，为了堆填完成后场地恢复为林地后的灌溉，在场地内周边截水沟低处位置灌溉蓄水池（雨水收集池），收集下雨时的雨水，用于场地灌溉。根据场地生态修复规划，灌溉蓄水池（雨水收集池）共设置1个，采用C20钢筋混凝土结构。灌溉蓄水池容积120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395" w:type="pct"/>
                  <w:vAlign w:val="center"/>
                </w:tcPr>
                <w:p w14:paraId="31B057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5DFA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Merge w:val="continue"/>
                  <w:vAlign w:val="center"/>
                </w:tcPr>
                <w:p w14:paraId="23740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1C0E3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排水</w:t>
                  </w:r>
                </w:p>
              </w:tc>
              <w:tc>
                <w:tcPr>
                  <w:tcW w:w="3946" w:type="pct"/>
                  <w:vAlign w:val="center"/>
                </w:tcPr>
                <w:p w14:paraId="0581A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施工废水经收集沉淀后回用于项目区洒水降尘，养护用水经土壤吸收、蒸发。</w:t>
                  </w:r>
                </w:p>
              </w:tc>
              <w:tc>
                <w:tcPr>
                  <w:tcW w:w="395" w:type="pct"/>
                  <w:vAlign w:val="center"/>
                </w:tcPr>
                <w:p w14:paraId="0638E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5F4B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Merge w:val="continue"/>
                  <w:vAlign w:val="center"/>
                </w:tcPr>
                <w:p w14:paraId="07AAF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2289E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供电</w:t>
                  </w:r>
                </w:p>
              </w:tc>
              <w:tc>
                <w:tcPr>
                  <w:tcW w:w="3946" w:type="pct"/>
                  <w:vAlign w:val="center"/>
                </w:tcPr>
                <w:p w14:paraId="737F6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项目用电从附近供电系统接入。</w:t>
                  </w:r>
                </w:p>
              </w:tc>
              <w:tc>
                <w:tcPr>
                  <w:tcW w:w="395" w:type="pct"/>
                  <w:vAlign w:val="center"/>
                </w:tcPr>
                <w:p w14:paraId="4DA47A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383E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0425E5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依托工程</w:t>
                  </w:r>
                </w:p>
              </w:tc>
              <w:tc>
                <w:tcPr>
                  <w:tcW w:w="399" w:type="pct"/>
                  <w:vAlign w:val="center"/>
                </w:tcPr>
                <w:p w14:paraId="10B3E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改性磷石膏生产线</w:t>
                  </w:r>
                </w:p>
              </w:tc>
              <w:tc>
                <w:tcPr>
                  <w:tcW w:w="3946" w:type="pct"/>
                  <w:vAlign w:val="center"/>
                </w:tcPr>
                <w:p w14:paraId="22113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根据项目实施方案及堆填设计，改性磷石膏来源于《</w:t>
                  </w:r>
                  <w:r>
                    <w:rPr>
                      <w:rFonts w:hint="default" w:ascii="Times New Roman" w:hAnsi="Times New Roman" w:eastAsia="宋体" w:cs="Times New Roman"/>
                      <w:color w:val="000000" w:themeColor="text1"/>
                      <w:sz w:val="21"/>
                      <w:szCs w:val="21"/>
                      <w:highlight w:val="none"/>
                      <w14:textFill>
                        <w14:solidFill>
                          <w14:schemeClr w14:val="tx1"/>
                        </w14:solidFill>
                      </w14:textFill>
                    </w:rPr>
                    <w:t>云南常青树化工有限公司磷石膏无害化改性处理工程</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》生产的合格产品以及</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县域内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中化云龙有限公司</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生产的合格产品</w:t>
                  </w:r>
                </w:p>
              </w:tc>
              <w:tc>
                <w:tcPr>
                  <w:tcW w:w="395" w:type="pct"/>
                  <w:vAlign w:val="center"/>
                </w:tcPr>
                <w:p w14:paraId="4DC6E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2259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50E29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辅助工程</w:t>
                  </w:r>
                </w:p>
              </w:tc>
              <w:tc>
                <w:tcPr>
                  <w:tcW w:w="399" w:type="pct"/>
                  <w:vAlign w:val="center"/>
                </w:tcPr>
                <w:p w14:paraId="64D0A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运输工程</w:t>
                  </w:r>
                </w:p>
              </w:tc>
              <w:tc>
                <w:tcPr>
                  <w:tcW w:w="3946" w:type="pct"/>
                  <w:vAlign w:val="center"/>
                </w:tcPr>
                <w:p w14:paraId="2BB56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依托现有公路进行运输</w:t>
                  </w:r>
                </w:p>
              </w:tc>
              <w:tc>
                <w:tcPr>
                  <w:tcW w:w="395" w:type="pct"/>
                  <w:vAlign w:val="center"/>
                </w:tcPr>
                <w:p w14:paraId="3232C8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依托</w:t>
                  </w:r>
                </w:p>
              </w:tc>
            </w:tr>
            <w:tr w14:paraId="4F6F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58" w:type="pct"/>
                  <w:vMerge w:val="restart"/>
                  <w:vAlign w:val="center"/>
                </w:tcPr>
                <w:p w14:paraId="01F1B6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环保工程</w:t>
                  </w:r>
                </w:p>
              </w:tc>
              <w:tc>
                <w:tcPr>
                  <w:tcW w:w="399" w:type="pct"/>
                  <w:vAlign w:val="center"/>
                </w:tcPr>
                <w:p w14:paraId="1C80D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废气</w:t>
                  </w:r>
                </w:p>
              </w:tc>
              <w:tc>
                <w:tcPr>
                  <w:tcW w:w="3946" w:type="pct"/>
                  <w:vAlign w:val="center"/>
                </w:tcPr>
                <w:p w14:paraId="571D05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施工期</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配备一辆洒水车，对修复区施工面进行洒水降尘。</w:t>
                  </w:r>
                </w:p>
              </w:tc>
              <w:tc>
                <w:tcPr>
                  <w:tcW w:w="395" w:type="pct"/>
                  <w:vAlign w:val="center"/>
                </w:tcPr>
                <w:p w14:paraId="2DC1D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3FF1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Merge w:val="continue"/>
                  <w:vAlign w:val="center"/>
                </w:tcPr>
                <w:p w14:paraId="79D2B7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19DB78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废水</w:t>
                  </w:r>
                </w:p>
              </w:tc>
              <w:tc>
                <w:tcPr>
                  <w:tcW w:w="3946" w:type="pct"/>
                  <w:vAlign w:val="center"/>
                </w:tcPr>
                <w:p w14:paraId="66D39E4B">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14:textFill>
                        <w14:solidFill>
                          <w14:schemeClr w14:val="tx1"/>
                        </w14:solidFill>
                      </w14:textFill>
                    </w:rPr>
                    <w:t>①</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施工废水：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在矿坑修复区设置1个</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3m³的临时沉淀池收集处理车辆冲洗等施工废水</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将施工废水收集沉淀后回用于施工用水、施工场地洒水等；施工人员洗手废水经收集后全部回用于施工场地降尘。</w:t>
                  </w:r>
                </w:p>
                <w:p w14:paraId="1E076540">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14:textFill>
                        <w14:solidFill>
                          <w14:schemeClr w14:val="tx1"/>
                        </w14:solidFill>
                      </w14:textFill>
                    </w:rPr>
                    <w:t>②</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渗滤液收集及处置：</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在矿坑修复区新建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15.488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m³（2.2×2.2×3.2m）的渗滤液收集井，1个</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800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m³的渗滤液收集池用来收集渗滤液</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由于高差，渗滤液在渗滤液收集井暂存后经管道提升至</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渗滤液收集池</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中；施工期渗滤液回用于修复区绿化及洒水抑尘，管护期使用罐车拉回</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云南常青树化工有限公司</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进行处理。</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地下水收集导排水定期开展监测，</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执行</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《农田灌溉水质标准》（GB5084—2021）中表1、表2旱地作物限值，达标的可回用于修复区绿化浇灌；不达标的拉运回云南常青树化工有限公司、中化云龙有限公司回用，禁止外排</w:t>
                  </w:r>
                  <w:r>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t>。</w:t>
                  </w:r>
                </w:p>
                <w:p w14:paraId="3CB1D91C">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③地下水观察与收集：</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在矿坑修复区新建容积10m³（2.0×2.0×2.5m）的地下水收集井</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1个</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×2m）的地下水收集池，</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地下水收集井与地下水收集池同时具备收集和观察功能，通过地下水检测结果判断是否发生</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因防渗衬层破损</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而</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导致渗漏问题</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发生的情况，从而采取相关防治措施</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p w14:paraId="689745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④雨水收集：</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雨水收集池共设置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个，容积为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的雨水收集池</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雨水在收集池中收集后用于修复区绿化及洒水抑尘。</w:t>
                  </w:r>
                </w:p>
              </w:tc>
              <w:tc>
                <w:tcPr>
                  <w:tcW w:w="395" w:type="pct"/>
                  <w:vAlign w:val="center"/>
                </w:tcPr>
                <w:p w14:paraId="00536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43FB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Merge w:val="continue"/>
                  <w:vAlign w:val="center"/>
                </w:tcPr>
                <w:p w14:paraId="4E02A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175D4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固体废物</w:t>
                  </w:r>
                </w:p>
              </w:tc>
              <w:tc>
                <w:tcPr>
                  <w:tcW w:w="3946" w:type="pct"/>
                  <w:vAlign w:val="center"/>
                </w:tcPr>
                <w:p w14:paraId="7CC5E9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1、生活垃圾：施工期生活垃圾集中收集后清运至就近村庄生活垃圾收集点堆存，委托环卫部门清运。</w:t>
                  </w:r>
                </w:p>
                <w:p w14:paraId="2C7B7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2、旱厕粪便：施工期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人员如厕依托原采石场办公用房已建</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旱厕，旱厕粪便</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定期清掏肥田</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p w14:paraId="5F88E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3、场地清理土石方：施工期场地清理及边坡整治产生的土石方用于场地平整回填。</w:t>
                  </w:r>
                </w:p>
              </w:tc>
              <w:tc>
                <w:tcPr>
                  <w:tcW w:w="395" w:type="pct"/>
                  <w:vAlign w:val="center"/>
                </w:tcPr>
                <w:p w14:paraId="228D4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2F6F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Merge w:val="continue"/>
                  <w:vAlign w:val="center"/>
                </w:tcPr>
                <w:p w14:paraId="4CFBA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0710C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地下水</w:t>
                  </w:r>
                </w:p>
              </w:tc>
              <w:tc>
                <w:tcPr>
                  <w:tcW w:w="3946" w:type="pct"/>
                  <w:vAlign w:val="center"/>
                </w:tcPr>
                <w:p w14:paraId="673D9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1、防渗</w:t>
                  </w:r>
                </w:p>
                <w:p w14:paraId="105F3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池、地下水收集池均采用钢筋混凝土矩形水池。渗滤液收集池、地下水收集池均采用C30钢筋混凝土，周边壁厚300mm，底板厚度300mm，底板下设置100mm混凝土垫层，以素填土层作为基础持力层，渗滤液收集池、地下水收集池混凝土等级C30，钢筋等级选用HRB400，钢筋保护层厚度30mm，渗滤液收集池、地下水收集池内外壁涂刷一层沥青漆防腐，同时池内壁铺设复合HDPE防渗膜防渗，规格：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土工布＋1.5mmHDPE膜+400g/m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w:t>
                  </w:r>
                </w:p>
                <w:p w14:paraId="02354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2、监控井</w:t>
                  </w:r>
                </w:p>
                <w:p w14:paraId="6D728167">
                  <w:pPr>
                    <w:pStyle w:val="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根据《改性磷石膏用于矿山废弃地生态修复回填技术规范》（DB53/T1269-2024）</w:t>
                  </w:r>
                  <w:r>
                    <w:rPr>
                      <w:rFonts w:hint="default" w:ascii="Times New Roman" w:hAnsi="Times New Roman" w:eastAsia="宋体" w:cs="Times New Roman"/>
                      <w:b w:val="0"/>
                      <w:bCs/>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《改性磷石膏综合利用 矿山生态修复</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跟踪评估规范</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》（DB5301/T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2023）</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《环境影响评价技术导则 地下水环境》（HJ610-2016）、《磷石膏利用和无害化贮存污染控制技术规范》（HJ1415—2025）</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，并结合项目实际水文地质调查情况，</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设置6个地下水跟踪监控井，其中上游1个，侧游3个，下游布设1个地下水跟踪监控井，八角洞村各设置1口地下水跟踪监控井。</w:t>
                  </w:r>
                </w:p>
                <w:p w14:paraId="2D189582">
                  <w:pPr>
                    <w:pStyle w:val="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根据《改性磷石膏用于矿山废弃地生态修复回填技术规范》（DB53/T1269-2024）</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在采石场设置1口地下水收集井（同时具备收集和观察功能），通过检测结果判断是否发生</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因防渗衬层破损</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而</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导致渗漏问题</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发生的情况</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w:t>
                  </w:r>
                </w:p>
              </w:tc>
              <w:tc>
                <w:tcPr>
                  <w:tcW w:w="395" w:type="pct"/>
                  <w:vAlign w:val="center"/>
                </w:tcPr>
                <w:p w14:paraId="05B0A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1015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06D770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环境监测工程</w:t>
                  </w:r>
                </w:p>
              </w:tc>
              <w:tc>
                <w:tcPr>
                  <w:tcW w:w="4346" w:type="pct"/>
                  <w:gridSpan w:val="2"/>
                  <w:vAlign w:val="center"/>
                </w:tcPr>
                <w:p w14:paraId="2AB76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位移监测：在项目竣工后，为监测堆填区堆填体稳定性，共设置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个堆填体边坡变形监测点，</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14</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个位移监测</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桩</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p>
                <w:p w14:paraId="6939A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渗漏检测：项目回填区设置渗漏监控系统，监控防渗衬层完整性。设置防渗衬层渗漏监测设备。</w:t>
                  </w:r>
                </w:p>
                <w:p w14:paraId="3F75D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地下水收集检测：项目地下水导排盲沟接地下水收集</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池</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，有地下水渗出时，需随时检测地下水水质情况。</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在采石场设置1口地下水收集井，通过检测结果判断是否发生</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因防渗衬层破损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而</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导致渗漏问题</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发生的情况</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p>
                <w:p w14:paraId="77A363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渗滤液监测：对渗滤液收集</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池</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的水质、出水量等进行定期观测并记录。</w:t>
                  </w:r>
                </w:p>
                <w:p w14:paraId="37372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地下水水质监测：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设置6个地下水跟踪监控井，其中上游1个，侧游3个，下游布设1个地下水跟踪监控井，八角洞村各设置1口地下水跟踪监控井。</w:t>
                  </w:r>
                </w:p>
              </w:tc>
              <w:tc>
                <w:tcPr>
                  <w:tcW w:w="395" w:type="pct"/>
                  <w:vAlign w:val="center"/>
                </w:tcPr>
                <w:p w14:paraId="4817E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bl>
          <w:p w14:paraId="06E8A083">
            <w:pPr>
              <w:pStyle w:val="103"/>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表</w:t>
            </w:r>
            <w:r>
              <w:rPr>
                <w:rFonts w:hint="eastAsia" w:ascii="宋体" w:hAnsi="宋体" w:eastAsia="宋体" w:cs="宋体"/>
                <w:color w:val="000000" w:themeColor="text1"/>
                <w:highlight w:val="none"/>
                <w:lang w:val="en-US" w:eastAsia="zh-CN"/>
                <w14:textFill>
                  <w14:solidFill>
                    <w14:schemeClr w14:val="tx1"/>
                  </w14:solidFill>
                </w14:textFill>
              </w:rPr>
              <w:t>2-5</w:t>
            </w:r>
            <w:r>
              <w:rPr>
                <w:rFonts w:hint="eastAsia" w:ascii="宋体" w:hAnsi="宋体" w:eastAsia="宋体" w:cs="宋体"/>
                <w:color w:val="000000" w:themeColor="text1"/>
                <w:highlight w:val="none"/>
                <w14:textFill>
                  <w14:solidFill>
                    <w14:schemeClr w14:val="tx1"/>
                  </w14:solidFill>
                </w14:textFill>
              </w:rPr>
              <w:t xml:space="preserve">  </w:t>
            </w:r>
            <w:bookmarkStart w:id="16" w:name="_Hlk202363985"/>
            <w:r>
              <w:rPr>
                <w:rFonts w:hint="eastAsia" w:ascii="宋体" w:hAnsi="宋体" w:eastAsia="宋体" w:cs="宋体"/>
                <w:color w:val="000000" w:themeColor="text1"/>
                <w:highlight w:val="none"/>
                <w14:textFill>
                  <w14:solidFill>
                    <w14:schemeClr w14:val="tx1"/>
                  </w14:solidFill>
                </w14:textFill>
              </w:rPr>
              <w:t>采石场生态修复工程量表</w:t>
            </w:r>
            <w:bookmarkEnd w:id="16"/>
          </w:p>
          <w:tbl>
            <w:tblPr>
              <w:tblStyle w:val="40"/>
              <w:tblW w:w="8059" w:type="dxa"/>
              <w:jc w:val="center"/>
              <w:tblLayout w:type="fixed"/>
              <w:tblCellMar>
                <w:top w:w="0" w:type="dxa"/>
                <w:left w:w="108" w:type="dxa"/>
                <w:bottom w:w="0" w:type="dxa"/>
                <w:right w:w="108" w:type="dxa"/>
              </w:tblCellMar>
            </w:tblPr>
            <w:tblGrid>
              <w:gridCol w:w="772"/>
              <w:gridCol w:w="1776"/>
              <w:gridCol w:w="3041"/>
              <w:gridCol w:w="884"/>
              <w:gridCol w:w="1586"/>
            </w:tblGrid>
            <w:tr w14:paraId="41DAFDC6">
              <w:tblPrEx>
                <w:tblCellMar>
                  <w:top w:w="0" w:type="dxa"/>
                  <w:left w:w="108" w:type="dxa"/>
                  <w:bottom w:w="0" w:type="dxa"/>
                  <w:right w:w="108" w:type="dxa"/>
                </w:tblCellMar>
              </w:tblPrEx>
              <w:trPr>
                <w:trHeight w:val="440" w:hRule="atLeast"/>
                <w:jc w:val="center"/>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7407828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7" w:name="_Hlk202363944"/>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776" w:type="dxa"/>
                  <w:tcBorders>
                    <w:top w:val="single" w:color="auto" w:sz="4" w:space="0"/>
                    <w:left w:val="single" w:color="auto" w:sz="4" w:space="0"/>
                    <w:bottom w:val="single" w:color="auto" w:sz="4" w:space="0"/>
                    <w:right w:val="single" w:color="auto" w:sz="4" w:space="0"/>
                  </w:tcBorders>
                  <w:shd w:val="clear" w:color="auto" w:fill="auto"/>
                  <w:vAlign w:val="center"/>
                </w:tcPr>
                <w:p w14:paraId="2345D28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单位工程名称</w:t>
                  </w:r>
                </w:p>
              </w:tc>
              <w:tc>
                <w:tcPr>
                  <w:tcW w:w="3041" w:type="dxa"/>
                  <w:tcBorders>
                    <w:top w:val="single" w:color="auto" w:sz="4" w:space="0"/>
                    <w:left w:val="single" w:color="auto" w:sz="4" w:space="0"/>
                    <w:bottom w:val="single" w:color="auto" w:sz="4" w:space="0"/>
                    <w:right w:val="single" w:color="auto" w:sz="4" w:space="0"/>
                  </w:tcBorders>
                  <w:shd w:val="clear" w:color="auto" w:fill="auto"/>
                  <w:vAlign w:val="center"/>
                </w:tcPr>
                <w:p w14:paraId="56134DA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项目名称</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4983D25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单位</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2B00176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数量</w:t>
                  </w:r>
                </w:p>
              </w:tc>
            </w:tr>
            <w:tr w14:paraId="669D592D">
              <w:tblPrEx>
                <w:tblCellMar>
                  <w:top w:w="0" w:type="dxa"/>
                  <w:left w:w="108" w:type="dxa"/>
                  <w:bottom w:w="0" w:type="dxa"/>
                  <w:right w:w="108" w:type="dxa"/>
                </w:tblCellMar>
              </w:tblPrEx>
              <w:trPr>
                <w:trHeight w:val="390"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B2093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8" w:name="_Hlk202281981"/>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776" w:type="dxa"/>
                  <w:vMerge w:val="restart"/>
                  <w:tcBorders>
                    <w:top w:val="nil"/>
                    <w:left w:val="single" w:color="auto" w:sz="4" w:space="0"/>
                    <w:right w:val="single" w:color="auto" w:sz="4" w:space="0"/>
                  </w:tcBorders>
                  <w:shd w:val="clear" w:color="auto" w:fill="auto"/>
                  <w:vAlign w:val="center"/>
                </w:tcPr>
                <w:p w14:paraId="4683250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露天采场场地分台及整平</w:t>
                  </w:r>
                </w:p>
              </w:tc>
              <w:tc>
                <w:tcPr>
                  <w:tcW w:w="3041" w:type="dxa"/>
                  <w:tcBorders>
                    <w:top w:val="nil"/>
                    <w:left w:val="nil"/>
                    <w:bottom w:val="single" w:color="auto" w:sz="4" w:space="0"/>
                    <w:right w:val="single" w:color="auto" w:sz="4" w:space="0"/>
                  </w:tcBorders>
                  <w:shd w:val="clear" w:color="auto" w:fill="auto"/>
                  <w:vAlign w:val="center"/>
                </w:tcPr>
                <w:p w14:paraId="6644372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边坡削坡</w:t>
                  </w:r>
                </w:p>
              </w:tc>
              <w:tc>
                <w:tcPr>
                  <w:tcW w:w="884" w:type="dxa"/>
                  <w:tcBorders>
                    <w:top w:val="nil"/>
                    <w:left w:val="nil"/>
                    <w:bottom w:val="single" w:color="auto" w:sz="4" w:space="0"/>
                    <w:right w:val="nil"/>
                  </w:tcBorders>
                  <w:shd w:val="clear" w:color="auto" w:fill="auto"/>
                  <w:vAlign w:val="center"/>
                </w:tcPr>
                <w:p w14:paraId="1700740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26835ED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35600</w:t>
                  </w:r>
                </w:p>
              </w:tc>
            </w:tr>
            <w:bookmarkEnd w:id="18"/>
            <w:tr w14:paraId="6E0FC580">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09A43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right w:val="single" w:color="auto" w:sz="4" w:space="0"/>
                  </w:tcBorders>
                  <w:shd w:val="clear" w:color="auto" w:fill="auto"/>
                  <w:vAlign w:val="center"/>
                </w:tcPr>
                <w:p w14:paraId="74D8CFD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4B9602A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场地清理</w:t>
                  </w:r>
                </w:p>
              </w:tc>
              <w:tc>
                <w:tcPr>
                  <w:tcW w:w="884" w:type="dxa"/>
                  <w:tcBorders>
                    <w:top w:val="nil"/>
                    <w:left w:val="nil"/>
                    <w:bottom w:val="single" w:color="auto" w:sz="4" w:space="0"/>
                    <w:right w:val="nil"/>
                  </w:tcBorders>
                  <w:shd w:val="clear" w:color="auto" w:fill="auto"/>
                  <w:vAlign w:val="center"/>
                </w:tcPr>
                <w:p w14:paraId="30148DB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35246EB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81382</w:t>
                  </w:r>
                </w:p>
              </w:tc>
            </w:tr>
            <w:tr w14:paraId="7EAD607C">
              <w:tblPrEx>
                <w:tblCellMar>
                  <w:top w:w="0" w:type="dxa"/>
                  <w:left w:w="108" w:type="dxa"/>
                  <w:bottom w:w="0" w:type="dxa"/>
                  <w:right w:w="108" w:type="dxa"/>
                </w:tblCellMar>
              </w:tblPrEx>
              <w:trPr>
                <w:trHeight w:val="390" w:hRule="atLeast"/>
                <w:jc w:val="center"/>
              </w:trPr>
              <w:tc>
                <w:tcPr>
                  <w:tcW w:w="772" w:type="dxa"/>
                  <w:vMerge w:val="continue"/>
                  <w:tcBorders>
                    <w:top w:val="nil"/>
                    <w:left w:val="single" w:color="auto" w:sz="4" w:space="0"/>
                    <w:bottom w:val="single" w:color="auto" w:sz="4" w:space="0"/>
                    <w:right w:val="single" w:color="auto" w:sz="4" w:space="0"/>
                  </w:tcBorders>
                  <w:vAlign w:val="center"/>
                </w:tcPr>
                <w:p w14:paraId="5F7E3FC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18B9776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08BA140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危岩清理</w:t>
                  </w:r>
                </w:p>
              </w:tc>
              <w:tc>
                <w:tcPr>
                  <w:tcW w:w="884" w:type="dxa"/>
                  <w:tcBorders>
                    <w:top w:val="nil"/>
                    <w:left w:val="nil"/>
                    <w:bottom w:val="single" w:color="auto" w:sz="4" w:space="0"/>
                    <w:right w:val="nil"/>
                  </w:tcBorders>
                  <w:shd w:val="clear" w:color="auto" w:fill="auto"/>
                  <w:vAlign w:val="center"/>
                </w:tcPr>
                <w:p w14:paraId="7FC2A69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8" w:space="0"/>
                    <w:bottom w:val="single" w:color="auto" w:sz="8" w:space="0"/>
                    <w:right w:val="single" w:color="auto" w:sz="8" w:space="0"/>
                  </w:tcBorders>
                  <w:shd w:val="clear" w:color="auto" w:fill="auto"/>
                  <w:vAlign w:val="center"/>
                </w:tcPr>
                <w:p w14:paraId="3D1C2BD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12037</w:t>
                  </w:r>
                </w:p>
              </w:tc>
            </w:tr>
            <w:tr w14:paraId="62999E5E">
              <w:tblPrEx>
                <w:tblCellMar>
                  <w:top w:w="0" w:type="dxa"/>
                  <w:left w:w="108" w:type="dxa"/>
                  <w:bottom w:w="0" w:type="dxa"/>
                  <w:right w:w="108" w:type="dxa"/>
                </w:tblCellMar>
              </w:tblPrEx>
              <w:trPr>
                <w:trHeight w:val="390" w:hRule="atLeast"/>
                <w:jc w:val="center"/>
              </w:trPr>
              <w:tc>
                <w:tcPr>
                  <w:tcW w:w="772" w:type="dxa"/>
                  <w:vMerge w:val="continue"/>
                  <w:tcBorders>
                    <w:top w:val="nil"/>
                    <w:left w:val="single" w:color="auto" w:sz="4" w:space="0"/>
                    <w:bottom w:val="single" w:color="auto" w:sz="4" w:space="0"/>
                    <w:right w:val="single" w:color="auto" w:sz="4" w:space="0"/>
                  </w:tcBorders>
                  <w:vAlign w:val="center"/>
                </w:tcPr>
                <w:p w14:paraId="5D7190A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5E17B3B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32795D8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边坡修整</w:t>
                  </w:r>
                </w:p>
              </w:tc>
              <w:tc>
                <w:tcPr>
                  <w:tcW w:w="884" w:type="dxa"/>
                  <w:tcBorders>
                    <w:top w:val="nil"/>
                    <w:left w:val="nil"/>
                    <w:bottom w:val="single" w:color="auto" w:sz="4" w:space="0"/>
                    <w:right w:val="nil"/>
                  </w:tcBorders>
                  <w:shd w:val="clear" w:color="auto" w:fill="auto"/>
                  <w:vAlign w:val="center"/>
                </w:tcPr>
                <w:p w14:paraId="081E9D7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vAlign w:val="center"/>
                </w:tcPr>
                <w:p w14:paraId="37010B4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32655</w:t>
                  </w:r>
                </w:p>
              </w:tc>
            </w:tr>
            <w:tr w14:paraId="00BEB6BA">
              <w:tblPrEx>
                <w:tblCellMar>
                  <w:top w:w="0" w:type="dxa"/>
                  <w:left w:w="108" w:type="dxa"/>
                  <w:bottom w:w="0" w:type="dxa"/>
                  <w:right w:w="108" w:type="dxa"/>
                </w:tblCellMar>
              </w:tblPrEx>
              <w:trPr>
                <w:trHeight w:val="390" w:hRule="atLeast"/>
                <w:jc w:val="center"/>
              </w:trPr>
              <w:tc>
                <w:tcPr>
                  <w:tcW w:w="772" w:type="dxa"/>
                  <w:vMerge w:val="continue"/>
                  <w:tcBorders>
                    <w:top w:val="nil"/>
                    <w:left w:val="single" w:color="auto" w:sz="4" w:space="0"/>
                    <w:bottom w:val="single" w:color="auto" w:sz="4" w:space="0"/>
                    <w:right w:val="single" w:color="auto" w:sz="4" w:space="0"/>
                  </w:tcBorders>
                  <w:vAlign w:val="center"/>
                </w:tcPr>
                <w:p w14:paraId="4C2396B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029FCDB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22BC76C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底部整平压实</w:t>
                  </w:r>
                </w:p>
              </w:tc>
              <w:tc>
                <w:tcPr>
                  <w:tcW w:w="884" w:type="dxa"/>
                  <w:tcBorders>
                    <w:top w:val="nil"/>
                    <w:left w:val="nil"/>
                    <w:bottom w:val="single" w:color="auto" w:sz="4" w:space="0"/>
                    <w:right w:val="nil"/>
                  </w:tcBorders>
                  <w:shd w:val="clear" w:color="auto" w:fill="auto"/>
                  <w:vAlign w:val="center"/>
                </w:tcPr>
                <w:p w14:paraId="25A795B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vAlign w:val="center"/>
                </w:tcPr>
                <w:p w14:paraId="63431E0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32287</w:t>
                  </w:r>
                </w:p>
              </w:tc>
            </w:tr>
            <w:tr w14:paraId="791AF2F2">
              <w:tblPrEx>
                <w:tblCellMar>
                  <w:top w:w="0" w:type="dxa"/>
                  <w:left w:w="108" w:type="dxa"/>
                  <w:bottom w:w="0" w:type="dxa"/>
                  <w:right w:w="108" w:type="dxa"/>
                </w:tblCellMar>
              </w:tblPrEx>
              <w:trPr>
                <w:trHeight w:val="390" w:hRule="atLeast"/>
                <w:jc w:val="center"/>
              </w:trPr>
              <w:tc>
                <w:tcPr>
                  <w:tcW w:w="772" w:type="dxa"/>
                  <w:vMerge w:val="continue"/>
                  <w:tcBorders>
                    <w:top w:val="nil"/>
                    <w:left w:val="single" w:color="auto" w:sz="4" w:space="0"/>
                    <w:bottom w:val="single" w:color="auto" w:sz="4" w:space="0"/>
                    <w:right w:val="single" w:color="auto" w:sz="4" w:space="0"/>
                  </w:tcBorders>
                  <w:vAlign w:val="center"/>
                </w:tcPr>
                <w:p w14:paraId="6EE60C1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bottom w:val="single" w:color="auto" w:sz="4" w:space="0"/>
                    <w:right w:val="single" w:color="auto" w:sz="4" w:space="0"/>
                  </w:tcBorders>
                  <w:vAlign w:val="center"/>
                </w:tcPr>
                <w:p w14:paraId="1B00275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4C80C81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整平回填土石料</w:t>
                  </w:r>
                </w:p>
              </w:tc>
              <w:tc>
                <w:tcPr>
                  <w:tcW w:w="884" w:type="dxa"/>
                  <w:tcBorders>
                    <w:top w:val="nil"/>
                    <w:left w:val="nil"/>
                    <w:bottom w:val="single" w:color="auto" w:sz="4" w:space="0"/>
                    <w:right w:val="nil"/>
                  </w:tcBorders>
                  <w:shd w:val="clear" w:color="auto" w:fill="auto"/>
                  <w:vAlign w:val="center"/>
                </w:tcPr>
                <w:p w14:paraId="522BFC1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0A200B6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95800</w:t>
                  </w:r>
                </w:p>
              </w:tc>
            </w:tr>
            <w:tr w14:paraId="130B0650">
              <w:tblPrEx>
                <w:tblCellMar>
                  <w:top w:w="0" w:type="dxa"/>
                  <w:left w:w="108" w:type="dxa"/>
                  <w:bottom w:w="0" w:type="dxa"/>
                  <w:right w:w="108" w:type="dxa"/>
                </w:tblCellMar>
              </w:tblPrEx>
              <w:trPr>
                <w:trHeight w:val="223" w:hRule="atLeast"/>
                <w:jc w:val="center"/>
              </w:trPr>
              <w:tc>
                <w:tcPr>
                  <w:tcW w:w="772" w:type="dxa"/>
                  <w:vMerge w:val="restart"/>
                  <w:tcBorders>
                    <w:top w:val="single" w:color="auto" w:sz="4" w:space="0"/>
                    <w:left w:val="single" w:color="auto" w:sz="4" w:space="0"/>
                    <w:bottom w:val="single" w:color="auto" w:sz="4" w:space="0"/>
                    <w:right w:val="single" w:color="auto" w:sz="4" w:space="0"/>
                  </w:tcBorders>
                  <w:vAlign w:val="center"/>
                </w:tcPr>
                <w:p w14:paraId="4FD67CA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7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5C9BA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w:t>
                  </w:r>
                </w:p>
              </w:tc>
              <w:tc>
                <w:tcPr>
                  <w:tcW w:w="3041" w:type="dxa"/>
                  <w:tcBorders>
                    <w:top w:val="nil"/>
                    <w:left w:val="nil"/>
                    <w:bottom w:val="single" w:color="auto" w:sz="4" w:space="0"/>
                    <w:right w:val="single" w:color="auto" w:sz="4" w:space="0"/>
                  </w:tcBorders>
                  <w:shd w:val="clear" w:color="auto" w:fill="auto"/>
                  <w:vAlign w:val="center"/>
                </w:tcPr>
                <w:p w14:paraId="6B4AD96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土石方开挖</w:t>
                  </w:r>
                </w:p>
              </w:tc>
              <w:tc>
                <w:tcPr>
                  <w:tcW w:w="884" w:type="dxa"/>
                  <w:tcBorders>
                    <w:top w:val="nil"/>
                    <w:left w:val="nil"/>
                    <w:bottom w:val="single" w:color="auto" w:sz="4" w:space="0"/>
                    <w:right w:val="nil"/>
                  </w:tcBorders>
                  <w:shd w:val="clear" w:color="auto" w:fill="auto"/>
                  <w:vAlign w:val="center"/>
                </w:tcPr>
                <w:p w14:paraId="74CF271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6201858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290</w:t>
                  </w:r>
                </w:p>
              </w:tc>
            </w:tr>
            <w:tr w14:paraId="46850AEE">
              <w:tblPrEx>
                <w:tblCellMar>
                  <w:top w:w="0" w:type="dxa"/>
                  <w:left w:w="108" w:type="dxa"/>
                  <w:bottom w:w="0" w:type="dxa"/>
                  <w:right w:w="108" w:type="dxa"/>
                </w:tblCellMar>
              </w:tblPrEx>
              <w:trPr>
                <w:trHeight w:val="223"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5C929D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FC2A8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5B33DFF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C25毛石砼</w:t>
                  </w:r>
                </w:p>
              </w:tc>
              <w:tc>
                <w:tcPr>
                  <w:tcW w:w="884" w:type="dxa"/>
                  <w:tcBorders>
                    <w:top w:val="nil"/>
                    <w:left w:val="nil"/>
                    <w:bottom w:val="single" w:color="auto" w:sz="4" w:space="0"/>
                    <w:right w:val="nil"/>
                  </w:tcBorders>
                  <w:shd w:val="clear" w:color="auto" w:fill="auto"/>
                  <w:vAlign w:val="center"/>
                </w:tcPr>
                <w:p w14:paraId="56D1E8F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2BBDABC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665</w:t>
                  </w:r>
                </w:p>
              </w:tc>
            </w:tr>
            <w:tr w14:paraId="192B5166">
              <w:tblPrEx>
                <w:tblCellMar>
                  <w:top w:w="0" w:type="dxa"/>
                  <w:left w:w="108" w:type="dxa"/>
                  <w:bottom w:w="0" w:type="dxa"/>
                  <w:right w:w="108" w:type="dxa"/>
                </w:tblCellMar>
              </w:tblPrEx>
              <w:trPr>
                <w:trHeight w:val="390"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F4D0C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7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AF928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地下水导排收集</w:t>
                  </w:r>
                </w:p>
              </w:tc>
              <w:tc>
                <w:tcPr>
                  <w:tcW w:w="3041" w:type="dxa"/>
                  <w:tcBorders>
                    <w:top w:val="nil"/>
                    <w:left w:val="nil"/>
                    <w:bottom w:val="single" w:color="auto" w:sz="4" w:space="0"/>
                    <w:right w:val="single" w:color="auto" w:sz="4" w:space="0"/>
                  </w:tcBorders>
                  <w:shd w:val="clear" w:color="auto" w:fill="auto"/>
                  <w:noWrap/>
                  <w:vAlign w:val="center"/>
                </w:tcPr>
                <w:p w14:paraId="0C8CD36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沟槽土石方开挖</w:t>
                  </w:r>
                </w:p>
              </w:tc>
              <w:tc>
                <w:tcPr>
                  <w:tcW w:w="884" w:type="dxa"/>
                  <w:tcBorders>
                    <w:top w:val="nil"/>
                    <w:left w:val="nil"/>
                    <w:bottom w:val="single" w:color="auto" w:sz="4" w:space="0"/>
                    <w:right w:val="nil"/>
                  </w:tcBorders>
                  <w:shd w:val="clear" w:color="auto" w:fill="auto"/>
                  <w:vAlign w:val="center"/>
                </w:tcPr>
                <w:p w14:paraId="5D6B783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2AB1E79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252</w:t>
                  </w:r>
                </w:p>
              </w:tc>
            </w:tr>
            <w:tr w14:paraId="1F7D6C89">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050A4D8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72B6148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080B282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无纺长丝土工布</w:t>
                  </w:r>
                </w:p>
              </w:tc>
              <w:tc>
                <w:tcPr>
                  <w:tcW w:w="884" w:type="dxa"/>
                  <w:tcBorders>
                    <w:top w:val="nil"/>
                    <w:left w:val="nil"/>
                    <w:bottom w:val="single" w:color="auto" w:sz="4" w:space="0"/>
                    <w:right w:val="nil"/>
                  </w:tcBorders>
                  <w:shd w:val="clear" w:color="auto" w:fill="auto"/>
                  <w:vAlign w:val="center"/>
                </w:tcPr>
                <w:p w14:paraId="1D60D61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vAlign w:val="center"/>
                </w:tcPr>
                <w:p w14:paraId="01E9B58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1975</w:t>
                  </w:r>
                </w:p>
              </w:tc>
            </w:tr>
            <w:tr w14:paraId="14A9E31D">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3CA98A0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32AB6EF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0FFB5CB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沟槽碎石回填</w:t>
                  </w:r>
                </w:p>
              </w:tc>
              <w:tc>
                <w:tcPr>
                  <w:tcW w:w="884" w:type="dxa"/>
                  <w:tcBorders>
                    <w:top w:val="nil"/>
                    <w:left w:val="nil"/>
                    <w:bottom w:val="single" w:color="auto" w:sz="4" w:space="0"/>
                    <w:right w:val="nil"/>
                  </w:tcBorders>
                  <w:shd w:val="clear" w:color="auto" w:fill="auto"/>
                  <w:vAlign w:val="center"/>
                </w:tcPr>
                <w:p w14:paraId="68A610D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8" w:space="0"/>
                    <w:bottom w:val="single" w:color="auto" w:sz="8" w:space="0"/>
                    <w:right w:val="single" w:color="auto" w:sz="8" w:space="0"/>
                  </w:tcBorders>
                  <w:shd w:val="clear" w:color="auto" w:fill="auto"/>
                  <w:vAlign w:val="center"/>
                </w:tcPr>
                <w:p w14:paraId="7546B37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228</w:t>
                  </w:r>
                </w:p>
              </w:tc>
            </w:tr>
            <w:tr w14:paraId="1512CF2E">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36FF5DD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7A8BC2D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3E7154A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DN200PE导排管</w:t>
                  </w:r>
                </w:p>
              </w:tc>
              <w:tc>
                <w:tcPr>
                  <w:tcW w:w="884" w:type="dxa"/>
                  <w:tcBorders>
                    <w:top w:val="nil"/>
                    <w:left w:val="nil"/>
                    <w:bottom w:val="single" w:color="auto" w:sz="4" w:space="0"/>
                    <w:right w:val="nil"/>
                  </w:tcBorders>
                  <w:shd w:val="clear" w:color="auto" w:fill="auto"/>
                  <w:vAlign w:val="center"/>
                </w:tcPr>
                <w:p w14:paraId="31046D7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8" w:space="0"/>
                    <w:bottom w:val="single" w:color="auto" w:sz="8" w:space="0"/>
                    <w:right w:val="single" w:color="auto" w:sz="8" w:space="0"/>
                  </w:tcBorders>
                  <w:shd w:val="clear" w:color="auto" w:fill="auto"/>
                  <w:vAlign w:val="center"/>
                </w:tcPr>
                <w:p w14:paraId="4E6CB14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456</w:t>
                  </w:r>
                </w:p>
              </w:tc>
            </w:tr>
            <w:tr w14:paraId="67F60530">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2C76718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14C6976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0E95AA8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C30砼</w:t>
                  </w:r>
                </w:p>
              </w:tc>
              <w:tc>
                <w:tcPr>
                  <w:tcW w:w="884" w:type="dxa"/>
                  <w:tcBorders>
                    <w:top w:val="nil"/>
                    <w:left w:val="nil"/>
                    <w:bottom w:val="single" w:color="auto" w:sz="4" w:space="0"/>
                    <w:right w:val="nil"/>
                  </w:tcBorders>
                  <w:shd w:val="clear" w:color="auto" w:fill="auto"/>
                  <w:vAlign w:val="center"/>
                </w:tcPr>
                <w:p w14:paraId="25C548F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8" w:space="0"/>
                    <w:bottom w:val="single" w:color="auto" w:sz="8" w:space="0"/>
                    <w:right w:val="single" w:color="auto" w:sz="8" w:space="0"/>
                  </w:tcBorders>
                  <w:shd w:val="clear" w:color="auto" w:fill="auto"/>
                  <w:vAlign w:val="center"/>
                </w:tcPr>
                <w:p w14:paraId="3BB75AF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12.64</w:t>
                  </w:r>
                </w:p>
              </w:tc>
            </w:tr>
            <w:tr w14:paraId="30E1595D">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ECD2E1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59C757F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6DDE406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钢筋</w:t>
                  </w:r>
                </w:p>
              </w:tc>
              <w:tc>
                <w:tcPr>
                  <w:tcW w:w="884" w:type="dxa"/>
                  <w:tcBorders>
                    <w:top w:val="nil"/>
                    <w:left w:val="nil"/>
                    <w:bottom w:val="single" w:color="auto" w:sz="4" w:space="0"/>
                    <w:right w:val="nil"/>
                  </w:tcBorders>
                  <w:shd w:val="clear" w:color="auto" w:fill="auto"/>
                  <w:vAlign w:val="center"/>
                </w:tcPr>
                <w:p w14:paraId="52286B7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tc>
              <w:tc>
                <w:tcPr>
                  <w:tcW w:w="1586" w:type="dxa"/>
                  <w:tcBorders>
                    <w:top w:val="nil"/>
                    <w:left w:val="single" w:color="auto" w:sz="8" w:space="0"/>
                    <w:bottom w:val="single" w:color="auto" w:sz="8" w:space="0"/>
                    <w:right w:val="single" w:color="auto" w:sz="8" w:space="0"/>
                  </w:tcBorders>
                  <w:shd w:val="clear" w:color="auto" w:fill="auto"/>
                  <w:vAlign w:val="center"/>
                </w:tcPr>
                <w:p w14:paraId="650E088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1.52</w:t>
                  </w:r>
                </w:p>
              </w:tc>
            </w:tr>
            <w:tr w14:paraId="2A952DA3">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F786E7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3B179DA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2E4D552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C25砼地下水收集池</w:t>
                  </w:r>
                </w:p>
              </w:tc>
              <w:tc>
                <w:tcPr>
                  <w:tcW w:w="884" w:type="dxa"/>
                  <w:tcBorders>
                    <w:top w:val="nil"/>
                    <w:left w:val="nil"/>
                    <w:bottom w:val="single" w:color="auto" w:sz="4" w:space="0"/>
                    <w:right w:val="nil"/>
                  </w:tcBorders>
                  <w:shd w:val="clear" w:color="auto" w:fill="auto"/>
                  <w:vAlign w:val="center"/>
                </w:tcPr>
                <w:p w14:paraId="427D4EA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8" w:space="0"/>
                    <w:bottom w:val="single" w:color="auto" w:sz="8" w:space="0"/>
                    <w:right w:val="single" w:color="auto" w:sz="8" w:space="0"/>
                  </w:tcBorders>
                  <w:shd w:val="clear" w:color="auto" w:fill="auto"/>
                  <w:vAlign w:val="center"/>
                </w:tcPr>
                <w:p w14:paraId="6F4C8F4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19.5</w:t>
                  </w:r>
                </w:p>
              </w:tc>
            </w:tr>
            <w:tr w14:paraId="687527F9">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141156B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3DB2891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1239B6A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1.2m防护栏杆</w:t>
                  </w:r>
                </w:p>
              </w:tc>
              <w:tc>
                <w:tcPr>
                  <w:tcW w:w="884" w:type="dxa"/>
                  <w:tcBorders>
                    <w:top w:val="nil"/>
                    <w:left w:val="nil"/>
                    <w:bottom w:val="single" w:color="auto" w:sz="4" w:space="0"/>
                    <w:right w:val="nil"/>
                  </w:tcBorders>
                  <w:shd w:val="clear" w:color="auto" w:fill="auto"/>
                  <w:vAlign w:val="center"/>
                </w:tcPr>
                <w:p w14:paraId="4B0B5C8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8" w:space="0"/>
                    <w:bottom w:val="single" w:color="auto" w:sz="8" w:space="0"/>
                    <w:right w:val="single" w:color="auto" w:sz="8" w:space="0"/>
                  </w:tcBorders>
                  <w:shd w:val="clear" w:color="auto" w:fill="auto"/>
                  <w:vAlign w:val="center"/>
                </w:tcPr>
                <w:p w14:paraId="1AE8F23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r>
            <w:tr w14:paraId="6FE6FC42">
              <w:tblPrEx>
                <w:tblCellMar>
                  <w:top w:w="0" w:type="dxa"/>
                  <w:left w:w="108" w:type="dxa"/>
                  <w:bottom w:w="0" w:type="dxa"/>
                  <w:right w:w="108" w:type="dxa"/>
                </w:tblCellMar>
              </w:tblPrEx>
              <w:trPr>
                <w:trHeight w:val="390"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F79BC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776" w:type="dxa"/>
                  <w:vMerge w:val="restart"/>
                  <w:tcBorders>
                    <w:top w:val="nil"/>
                    <w:left w:val="single" w:color="auto" w:sz="4" w:space="0"/>
                    <w:right w:val="single" w:color="auto" w:sz="4" w:space="0"/>
                  </w:tcBorders>
                  <w:shd w:val="clear" w:color="auto" w:fill="auto"/>
                  <w:vAlign w:val="center"/>
                </w:tcPr>
                <w:p w14:paraId="7D89A6D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底部全防渗系统</w:t>
                  </w:r>
                </w:p>
              </w:tc>
              <w:tc>
                <w:tcPr>
                  <w:tcW w:w="3041" w:type="dxa"/>
                  <w:tcBorders>
                    <w:top w:val="nil"/>
                    <w:left w:val="nil"/>
                    <w:bottom w:val="single" w:color="auto" w:sz="4" w:space="0"/>
                    <w:right w:val="single" w:color="auto" w:sz="4" w:space="0"/>
                  </w:tcBorders>
                  <w:shd w:val="clear" w:color="auto" w:fill="auto"/>
                  <w:noWrap/>
                  <w:vAlign w:val="center"/>
                </w:tcPr>
                <w:p w14:paraId="30AFEEE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黏土</w:t>
                  </w:r>
                </w:p>
              </w:tc>
              <w:tc>
                <w:tcPr>
                  <w:tcW w:w="884" w:type="dxa"/>
                  <w:tcBorders>
                    <w:top w:val="nil"/>
                    <w:left w:val="nil"/>
                    <w:bottom w:val="single" w:color="auto" w:sz="4" w:space="0"/>
                    <w:right w:val="nil"/>
                  </w:tcBorders>
                  <w:shd w:val="clear" w:color="auto" w:fill="auto"/>
                  <w:vAlign w:val="center"/>
                </w:tcPr>
                <w:p w14:paraId="074E5BD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1BB5810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24215</w:t>
                  </w:r>
                </w:p>
              </w:tc>
            </w:tr>
            <w:tr w14:paraId="2AF23C5C">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2BCE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right w:val="single" w:color="auto" w:sz="4" w:space="0"/>
                  </w:tcBorders>
                  <w:shd w:val="clear" w:color="auto" w:fill="auto"/>
                  <w:vAlign w:val="center"/>
                </w:tcPr>
                <w:p w14:paraId="282A67C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1A0E956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无纺长丝土工布</w:t>
                  </w:r>
                </w:p>
              </w:tc>
              <w:tc>
                <w:tcPr>
                  <w:tcW w:w="884" w:type="dxa"/>
                  <w:tcBorders>
                    <w:top w:val="nil"/>
                    <w:left w:val="nil"/>
                    <w:bottom w:val="single" w:color="auto" w:sz="4" w:space="0"/>
                    <w:right w:val="nil"/>
                  </w:tcBorders>
                  <w:shd w:val="clear" w:color="auto" w:fill="auto"/>
                  <w:vAlign w:val="center"/>
                </w:tcPr>
                <w:p w14:paraId="4FF9DA0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6547EA8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102090</w:t>
                  </w:r>
                </w:p>
              </w:tc>
            </w:tr>
            <w:tr w14:paraId="58F003D5">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428C638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0FF183A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717B277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纳基膨润土毯</w:t>
                  </w:r>
                </w:p>
              </w:tc>
              <w:tc>
                <w:tcPr>
                  <w:tcW w:w="884" w:type="dxa"/>
                  <w:tcBorders>
                    <w:top w:val="nil"/>
                    <w:left w:val="nil"/>
                    <w:bottom w:val="single" w:color="auto" w:sz="4" w:space="0"/>
                    <w:right w:val="nil"/>
                  </w:tcBorders>
                  <w:shd w:val="clear" w:color="auto" w:fill="auto"/>
                  <w:vAlign w:val="center"/>
                </w:tcPr>
                <w:p w14:paraId="021810C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vAlign w:val="center"/>
                </w:tcPr>
                <w:p w14:paraId="28E331F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35920</w:t>
                  </w:r>
                </w:p>
              </w:tc>
            </w:tr>
            <w:tr w14:paraId="0FDE7999">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6758DB1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746AC3E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35E590F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1.5mmHDPE单糙面防渗膜</w:t>
                  </w:r>
                </w:p>
              </w:tc>
              <w:tc>
                <w:tcPr>
                  <w:tcW w:w="884" w:type="dxa"/>
                  <w:tcBorders>
                    <w:top w:val="nil"/>
                    <w:left w:val="nil"/>
                    <w:bottom w:val="single" w:color="auto" w:sz="4" w:space="0"/>
                    <w:right w:val="nil"/>
                  </w:tcBorders>
                  <w:shd w:val="clear" w:color="auto" w:fill="auto"/>
                  <w:vAlign w:val="center"/>
                </w:tcPr>
                <w:p w14:paraId="53025DE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vAlign w:val="center"/>
                </w:tcPr>
                <w:p w14:paraId="7B2194D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68190</w:t>
                  </w:r>
                </w:p>
              </w:tc>
            </w:tr>
            <w:tr w14:paraId="188153BF">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70C3B6F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bottom w:val="single" w:color="auto" w:sz="4" w:space="0"/>
                    <w:right w:val="single" w:color="auto" w:sz="4" w:space="0"/>
                  </w:tcBorders>
                  <w:vAlign w:val="center"/>
                </w:tcPr>
                <w:p w14:paraId="3FBB045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4B787F7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锚固沟(0.8×0.8)</w:t>
                  </w:r>
                </w:p>
              </w:tc>
              <w:tc>
                <w:tcPr>
                  <w:tcW w:w="884" w:type="dxa"/>
                  <w:tcBorders>
                    <w:top w:val="nil"/>
                    <w:left w:val="nil"/>
                    <w:bottom w:val="single" w:color="auto" w:sz="4" w:space="0"/>
                    <w:right w:val="nil"/>
                  </w:tcBorders>
                  <w:shd w:val="clear" w:color="auto" w:fill="auto"/>
                  <w:vAlign w:val="center"/>
                </w:tcPr>
                <w:p w14:paraId="2791811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8" w:space="0"/>
                    <w:bottom w:val="single" w:color="auto" w:sz="8" w:space="0"/>
                    <w:right w:val="single" w:color="auto" w:sz="8" w:space="0"/>
                  </w:tcBorders>
                  <w:shd w:val="clear" w:color="auto" w:fill="auto"/>
                  <w:vAlign w:val="center"/>
                </w:tcPr>
                <w:p w14:paraId="27728EE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2060</w:t>
                  </w:r>
                </w:p>
              </w:tc>
            </w:tr>
            <w:tr w14:paraId="09D17BEE">
              <w:tblPrEx>
                <w:tblCellMar>
                  <w:top w:w="0" w:type="dxa"/>
                  <w:left w:w="108" w:type="dxa"/>
                  <w:bottom w:w="0" w:type="dxa"/>
                  <w:right w:w="108" w:type="dxa"/>
                </w:tblCellMar>
              </w:tblPrEx>
              <w:trPr>
                <w:trHeight w:val="390"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E55DE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776" w:type="dxa"/>
                  <w:vMerge w:val="restart"/>
                  <w:tcBorders>
                    <w:top w:val="nil"/>
                    <w:left w:val="single" w:color="auto" w:sz="4" w:space="0"/>
                    <w:right w:val="single" w:color="auto" w:sz="4" w:space="0"/>
                  </w:tcBorders>
                  <w:shd w:val="clear" w:color="auto" w:fill="auto"/>
                  <w:vAlign w:val="center"/>
                </w:tcPr>
                <w:p w14:paraId="489A77C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渗滤液导排收集</w:t>
                  </w:r>
                </w:p>
              </w:tc>
              <w:tc>
                <w:tcPr>
                  <w:tcW w:w="3041" w:type="dxa"/>
                  <w:tcBorders>
                    <w:top w:val="nil"/>
                    <w:left w:val="nil"/>
                    <w:bottom w:val="single" w:color="auto" w:sz="4" w:space="0"/>
                    <w:right w:val="single" w:color="auto" w:sz="4" w:space="0"/>
                  </w:tcBorders>
                  <w:shd w:val="clear" w:color="auto" w:fill="auto"/>
                  <w:noWrap/>
                  <w:vAlign w:val="center"/>
                </w:tcPr>
                <w:p w14:paraId="636D700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无纺长丝土工布</w:t>
                  </w:r>
                </w:p>
              </w:tc>
              <w:tc>
                <w:tcPr>
                  <w:tcW w:w="884" w:type="dxa"/>
                  <w:tcBorders>
                    <w:top w:val="nil"/>
                    <w:left w:val="nil"/>
                    <w:bottom w:val="single" w:color="auto" w:sz="4" w:space="0"/>
                    <w:right w:val="nil"/>
                  </w:tcBorders>
                  <w:shd w:val="clear" w:color="auto" w:fill="auto"/>
                  <w:vAlign w:val="center"/>
                </w:tcPr>
                <w:p w14:paraId="6A4D73E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4" w:space="0"/>
                    <w:bottom w:val="single" w:color="auto" w:sz="4" w:space="0"/>
                    <w:right w:val="single" w:color="auto" w:sz="4" w:space="0"/>
                  </w:tcBorders>
                  <w:shd w:val="clear" w:color="auto" w:fill="auto"/>
                  <w:vAlign w:val="center"/>
                </w:tcPr>
                <w:p w14:paraId="6EC752A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2422</w:t>
                  </w:r>
                </w:p>
              </w:tc>
            </w:tr>
            <w:tr w14:paraId="1B5EB499">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7F9B3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right w:val="single" w:color="auto" w:sz="4" w:space="0"/>
                  </w:tcBorders>
                  <w:shd w:val="clear" w:color="auto" w:fill="auto"/>
                  <w:vAlign w:val="center"/>
                </w:tcPr>
                <w:p w14:paraId="531BDA6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2326322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沟槽碎石回填</w:t>
                  </w:r>
                </w:p>
              </w:tc>
              <w:tc>
                <w:tcPr>
                  <w:tcW w:w="884" w:type="dxa"/>
                  <w:tcBorders>
                    <w:top w:val="nil"/>
                    <w:left w:val="nil"/>
                    <w:bottom w:val="single" w:color="auto" w:sz="4" w:space="0"/>
                    <w:right w:val="nil"/>
                  </w:tcBorders>
                  <w:shd w:val="clear" w:color="auto" w:fill="auto"/>
                  <w:vAlign w:val="center"/>
                </w:tcPr>
                <w:p w14:paraId="76BDA83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4" w:space="0"/>
                    <w:bottom w:val="single" w:color="auto" w:sz="4" w:space="0"/>
                    <w:right w:val="single" w:color="auto" w:sz="4" w:space="0"/>
                  </w:tcBorders>
                  <w:shd w:val="clear" w:color="auto" w:fill="auto"/>
                  <w:vAlign w:val="center"/>
                </w:tcPr>
                <w:p w14:paraId="04A2F9C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274</w:t>
                  </w:r>
                </w:p>
              </w:tc>
            </w:tr>
            <w:tr w14:paraId="38558225">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7135DCC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6A0E249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75A851B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DN200PE导排管</w:t>
                  </w:r>
                </w:p>
              </w:tc>
              <w:tc>
                <w:tcPr>
                  <w:tcW w:w="884" w:type="dxa"/>
                  <w:tcBorders>
                    <w:top w:val="nil"/>
                    <w:left w:val="nil"/>
                    <w:bottom w:val="single" w:color="auto" w:sz="4" w:space="0"/>
                    <w:right w:val="nil"/>
                  </w:tcBorders>
                  <w:shd w:val="clear" w:color="auto" w:fill="auto"/>
                  <w:vAlign w:val="center"/>
                </w:tcPr>
                <w:p w14:paraId="58DE82C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4" w:space="0"/>
                    <w:bottom w:val="single" w:color="auto" w:sz="4" w:space="0"/>
                    <w:right w:val="single" w:color="auto" w:sz="4" w:space="0"/>
                  </w:tcBorders>
                  <w:shd w:val="clear" w:color="auto" w:fill="auto"/>
                  <w:vAlign w:val="center"/>
                </w:tcPr>
                <w:p w14:paraId="5F85CBF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456</w:t>
                  </w:r>
                </w:p>
              </w:tc>
            </w:tr>
            <w:tr w14:paraId="461560A7">
              <w:tblPrEx>
                <w:tblCellMar>
                  <w:top w:w="0" w:type="dxa"/>
                  <w:left w:w="108" w:type="dxa"/>
                  <w:bottom w:w="0" w:type="dxa"/>
                  <w:right w:w="108" w:type="dxa"/>
                </w:tblCellMar>
              </w:tblPrEx>
              <w:trPr>
                <w:trHeight w:val="37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EE12B1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621AFD0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79138A2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C30混凝土</w:t>
                  </w:r>
                </w:p>
              </w:tc>
              <w:tc>
                <w:tcPr>
                  <w:tcW w:w="884" w:type="dxa"/>
                  <w:tcBorders>
                    <w:top w:val="nil"/>
                    <w:left w:val="nil"/>
                    <w:bottom w:val="single" w:color="auto" w:sz="4" w:space="0"/>
                    <w:right w:val="nil"/>
                  </w:tcBorders>
                  <w:shd w:val="clear" w:color="auto" w:fill="auto"/>
                  <w:vAlign w:val="center"/>
                </w:tcPr>
                <w:p w14:paraId="13112D8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4" w:space="0"/>
                    <w:bottom w:val="single" w:color="auto" w:sz="4" w:space="0"/>
                    <w:right w:val="single" w:color="auto" w:sz="4" w:space="0"/>
                  </w:tcBorders>
                  <w:shd w:val="clear" w:color="auto" w:fill="auto"/>
                  <w:vAlign w:val="center"/>
                </w:tcPr>
                <w:p w14:paraId="1F844E4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74.92</w:t>
                  </w:r>
                </w:p>
              </w:tc>
            </w:tr>
            <w:tr w14:paraId="57ABB2C4">
              <w:tblPrEx>
                <w:tblCellMar>
                  <w:top w:w="0" w:type="dxa"/>
                  <w:left w:w="108" w:type="dxa"/>
                  <w:bottom w:w="0" w:type="dxa"/>
                  <w:right w:w="108" w:type="dxa"/>
                </w:tblCellMar>
              </w:tblPrEx>
              <w:trPr>
                <w:trHeight w:val="31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12BC132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76BB57E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4267539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钢筋</w:t>
                  </w:r>
                </w:p>
              </w:tc>
              <w:tc>
                <w:tcPr>
                  <w:tcW w:w="884" w:type="dxa"/>
                  <w:tcBorders>
                    <w:top w:val="nil"/>
                    <w:left w:val="nil"/>
                    <w:bottom w:val="single" w:color="auto" w:sz="4" w:space="0"/>
                    <w:right w:val="nil"/>
                  </w:tcBorders>
                  <w:shd w:val="clear" w:color="auto" w:fill="auto"/>
                  <w:vAlign w:val="center"/>
                </w:tcPr>
                <w:p w14:paraId="6D8C8DF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tc>
              <w:tc>
                <w:tcPr>
                  <w:tcW w:w="1586" w:type="dxa"/>
                  <w:tcBorders>
                    <w:top w:val="nil"/>
                    <w:left w:val="single" w:color="auto" w:sz="4" w:space="0"/>
                    <w:bottom w:val="single" w:color="auto" w:sz="4" w:space="0"/>
                    <w:right w:val="single" w:color="auto" w:sz="4" w:space="0"/>
                  </w:tcBorders>
                  <w:shd w:val="clear" w:color="auto" w:fill="auto"/>
                  <w:vAlign w:val="center"/>
                </w:tcPr>
                <w:p w14:paraId="2419F0F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7.14</w:t>
                  </w:r>
                </w:p>
              </w:tc>
            </w:tr>
            <w:tr w14:paraId="59E182FD">
              <w:tblPrEx>
                <w:tblCellMar>
                  <w:top w:w="0" w:type="dxa"/>
                  <w:left w:w="108" w:type="dxa"/>
                  <w:bottom w:w="0" w:type="dxa"/>
                  <w:right w:w="108" w:type="dxa"/>
                </w:tblCellMar>
              </w:tblPrEx>
              <w:trPr>
                <w:trHeight w:val="31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2AB84D4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bottom w:val="single" w:color="auto" w:sz="4" w:space="0"/>
                    <w:right w:val="single" w:color="auto" w:sz="4" w:space="0"/>
                  </w:tcBorders>
                  <w:vAlign w:val="center"/>
                </w:tcPr>
                <w:p w14:paraId="30316C7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4CEAD84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1.2m防护栏杆</w:t>
                  </w:r>
                </w:p>
              </w:tc>
              <w:tc>
                <w:tcPr>
                  <w:tcW w:w="884" w:type="dxa"/>
                  <w:tcBorders>
                    <w:top w:val="nil"/>
                    <w:left w:val="nil"/>
                    <w:bottom w:val="single" w:color="auto" w:sz="4" w:space="0"/>
                    <w:right w:val="nil"/>
                  </w:tcBorders>
                  <w:shd w:val="clear" w:color="auto" w:fill="auto"/>
                  <w:vAlign w:val="center"/>
                </w:tcPr>
                <w:p w14:paraId="3AA44DF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4" w:space="0"/>
                    <w:bottom w:val="single" w:color="auto" w:sz="4" w:space="0"/>
                    <w:right w:val="single" w:color="auto" w:sz="4" w:space="0"/>
                  </w:tcBorders>
                  <w:shd w:val="clear" w:color="auto" w:fill="auto"/>
                  <w:vAlign w:val="center"/>
                </w:tcPr>
                <w:p w14:paraId="4C1EFA9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r>
            <w:tr w14:paraId="35269C9E">
              <w:tblPrEx>
                <w:tblCellMar>
                  <w:top w:w="0" w:type="dxa"/>
                  <w:left w:w="108" w:type="dxa"/>
                  <w:bottom w:w="0" w:type="dxa"/>
                  <w:right w:w="108" w:type="dxa"/>
                </w:tblCellMar>
              </w:tblPrEx>
              <w:trPr>
                <w:trHeight w:val="315"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6886D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776" w:type="dxa"/>
                  <w:vMerge w:val="restart"/>
                  <w:tcBorders>
                    <w:top w:val="nil"/>
                    <w:left w:val="single" w:color="auto" w:sz="4" w:space="0"/>
                    <w:bottom w:val="single" w:color="auto" w:sz="4" w:space="0"/>
                    <w:right w:val="single" w:color="auto" w:sz="4" w:space="0"/>
                  </w:tcBorders>
                  <w:shd w:val="clear" w:color="auto" w:fill="auto"/>
                  <w:vAlign w:val="center"/>
                </w:tcPr>
                <w:p w14:paraId="50770F2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改性磷石膏基质填料回填</w:t>
                  </w:r>
                </w:p>
              </w:tc>
              <w:tc>
                <w:tcPr>
                  <w:tcW w:w="3041" w:type="dxa"/>
                  <w:tcBorders>
                    <w:top w:val="nil"/>
                    <w:left w:val="nil"/>
                    <w:bottom w:val="single" w:color="auto" w:sz="4" w:space="0"/>
                    <w:right w:val="single" w:color="auto" w:sz="4" w:space="0"/>
                  </w:tcBorders>
                  <w:shd w:val="clear" w:color="auto" w:fill="auto"/>
                  <w:noWrap/>
                  <w:vAlign w:val="center"/>
                </w:tcPr>
                <w:p w14:paraId="18CCC3A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改性磷石膏基质填料运输</w:t>
                  </w:r>
                </w:p>
              </w:tc>
              <w:tc>
                <w:tcPr>
                  <w:tcW w:w="884" w:type="dxa"/>
                  <w:tcBorders>
                    <w:top w:val="nil"/>
                    <w:left w:val="nil"/>
                    <w:bottom w:val="single" w:color="auto" w:sz="4" w:space="0"/>
                    <w:right w:val="nil"/>
                  </w:tcBorders>
                  <w:shd w:val="clear" w:color="auto" w:fill="auto"/>
                  <w:vAlign w:val="center"/>
                </w:tcPr>
                <w:p w14:paraId="02F5703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tc>
              <w:tc>
                <w:tcPr>
                  <w:tcW w:w="1586" w:type="dxa"/>
                  <w:tcBorders>
                    <w:top w:val="nil"/>
                    <w:left w:val="single" w:color="auto" w:sz="4" w:space="0"/>
                    <w:bottom w:val="single" w:color="auto" w:sz="4" w:space="0"/>
                    <w:right w:val="single" w:color="auto" w:sz="4" w:space="0"/>
                  </w:tcBorders>
                  <w:shd w:val="clear" w:color="auto" w:fill="auto"/>
                  <w:vAlign w:val="center"/>
                </w:tcPr>
                <w:p w14:paraId="2128D22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1469020</w:t>
                  </w:r>
                </w:p>
              </w:tc>
            </w:tr>
            <w:tr w14:paraId="15BEEB2B">
              <w:tblPrEx>
                <w:tblCellMar>
                  <w:top w:w="0" w:type="dxa"/>
                  <w:left w:w="108" w:type="dxa"/>
                  <w:bottom w:w="0" w:type="dxa"/>
                  <w:right w:w="108" w:type="dxa"/>
                </w:tblCellMar>
              </w:tblPrEx>
              <w:trPr>
                <w:trHeight w:val="37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2A41909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4EEA45B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663DABC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改性磷石膏基质填料回填压实</w:t>
                  </w:r>
                </w:p>
              </w:tc>
              <w:tc>
                <w:tcPr>
                  <w:tcW w:w="884" w:type="dxa"/>
                  <w:tcBorders>
                    <w:top w:val="nil"/>
                    <w:left w:val="nil"/>
                    <w:bottom w:val="single" w:color="auto" w:sz="4" w:space="0"/>
                    <w:right w:val="nil"/>
                  </w:tcBorders>
                  <w:shd w:val="clear" w:color="auto" w:fill="auto"/>
                  <w:vAlign w:val="center"/>
                </w:tcPr>
                <w:p w14:paraId="697E761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4" w:space="0"/>
                    <w:bottom w:val="single" w:color="auto" w:sz="4" w:space="0"/>
                    <w:right w:val="single" w:color="auto" w:sz="4" w:space="0"/>
                  </w:tcBorders>
                  <w:shd w:val="clear" w:color="auto" w:fill="auto"/>
                  <w:vAlign w:val="center"/>
                </w:tcPr>
                <w:p w14:paraId="053FFBD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1049300</w:t>
                  </w:r>
                </w:p>
              </w:tc>
            </w:tr>
            <w:tr w14:paraId="7FBDA93B">
              <w:tblPrEx>
                <w:tblCellMar>
                  <w:top w:w="0" w:type="dxa"/>
                  <w:left w:w="108" w:type="dxa"/>
                  <w:bottom w:w="0" w:type="dxa"/>
                  <w:right w:w="108" w:type="dxa"/>
                </w:tblCellMar>
              </w:tblPrEx>
              <w:trPr>
                <w:trHeight w:val="390"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4E36B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776" w:type="dxa"/>
                  <w:vMerge w:val="restart"/>
                  <w:tcBorders>
                    <w:top w:val="nil"/>
                    <w:left w:val="single" w:color="auto" w:sz="4" w:space="0"/>
                    <w:right w:val="single" w:color="auto" w:sz="4" w:space="0"/>
                  </w:tcBorders>
                  <w:shd w:val="clear" w:color="auto" w:fill="auto"/>
                  <w:vAlign w:val="center"/>
                </w:tcPr>
                <w:p w14:paraId="2694B68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顶部防渗系统</w:t>
                  </w:r>
                </w:p>
              </w:tc>
              <w:tc>
                <w:tcPr>
                  <w:tcW w:w="3041" w:type="dxa"/>
                  <w:tcBorders>
                    <w:top w:val="nil"/>
                    <w:left w:val="nil"/>
                    <w:bottom w:val="nil"/>
                    <w:right w:val="single" w:color="auto" w:sz="4" w:space="0"/>
                  </w:tcBorders>
                  <w:shd w:val="clear" w:color="auto" w:fill="auto"/>
                  <w:noWrap/>
                  <w:vAlign w:val="center"/>
                </w:tcPr>
                <w:p w14:paraId="6C1A041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1.5mmHDPE双糙面防渗膜</w:t>
                  </w:r>
                </w:p>
              </w:tc>
              <w:tc>
                <w:tcPr>
                  <w:tcW w:w="884" w:type="dxa"/>
                  <w:tcBorders>
                    <w:top w:val="nil"/>
                    <w:left w:val="nil"/>
                    <w:bottom w:val="nil"/>
                    <w:right w:val="nil"/>
                  </w:tcBorders>
                  <w:shd w:val="clear" w:color="auto" w:fill="auto"/>
                  <w:vAlign w:val="center"/>
                </w:tcPr>
                <w:p w14:paraId="2D39812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6467BD6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64525</w:t>
                  </w:r>
                </w:p>
              </w:tc>
            </w:tr>
            <w:tr w14:paraId="63EB76D7">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2876C49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46F4D5E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single" w:color="auto" w:sz="4" w:space="0"/>
                    <w:left w:val="nil"/>
                    <w:bottom w:val="single" w:color="auto" w:sz="4" w:space="0"/>
                    <w:right w:val="single" w:color="auto" w:sz="4" w:space="0"/>
                  </w:tcBorders>
                  <w:shd w:val="clear" w:color="auto" w:fill="auto"/>
                  <w:noWrap/>
                  <w:vAlign w:val="center"/>
                </w:tcPr>
                <w:p w14:paraId="0E45247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碎石</w:t>
                  </w:r>
                </w:p>
              </w:tc>
              <w:tc>
                <w:tcPr>
                  <w:tcW w:w="884" w:type="dxa"/>
                  <w:tcBorders>
                    <w:top w:val="single" w:color="auto" w:sz="4" w:space="0"/>
                    <w:left w:val="nil"/>
                    <w:bottom w:val="single" w:color="auto" w:sz="4" w:space="0"/>
                    <w:right w:val="nil"/>
                  </w:tcBorders>
                  <w:shd w:val="clear" w:color="auto" w:fill="auto"/>
                  <w:vAlign w:val="center"/>
                </w:tcPr>
                <w:p w14:paraId="69D41AB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8" w:space="0"/>
                    <w:bottom w:val="single" w:color="auto" w:sz="8" w:space="0"/>
                    <w:right w:val="single" w:color="auto" w:sz="8" w:space="0"/>
                  </w:tcBorders>
                  <w:shd w:val="clear" w:color="auto" w:fill="auto"/>
                  <w:vAlign w:val="center"/>
                </w:tcPr>
                <w:p w14:paraId="4CEE028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420</w:t>
                  </w:r>
                </w:p>
              </w:tc>
            </w:tr>
            <w:tr w14:paraId="5DCA88B4">
              <w:tblPrEx>
                <w:tblCellMar>
                  <w:top w:w="0" w:type="dxa"/>
                  <w:left w:w="108" w:type="dxa"/>
                  <w:bottom w:w="0" w:type="dxa"/>
                  <w:right w:w="108" w:type="dxa"/>
                </w:tblCellMar>
              </w:tblPrEx>
              <w:trPr>
                <w:trHeight w:val="33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7BDE411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0F197FE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4293E58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DN100塑料盲沟管</w:t>
                  </w:r>
                </w:p>
              </w:tc>
              <w:tc>
                <w:tcPr>
                  <w:tcW w:w="884" w:type="dxa"/>
                  <w:tcBorders>
                    <w:top w:val="nil"/>
                    <w:left w:val="nil"/>
                    <w:bottom w:val="single" w:color="auto" w:sz="4" w:space="0"/>
                    <w:right w:val="nil"/>
                  </w:tcBorders>
                  <w:shd w:val="clear" w:color="auto" w:fill="auto"/>
                  <w:vAlign w:val="center"/>
                </w:tcPr>
                <w:p w14:paraId="6109B95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8" w:space="0"/>
                    <w:bottom w:val="single" w:color="auto" w:sz="8" w:space="0"/>
                    <w:right w:val="single" w:color="auto" w:sz="8" w:space="0"/>
                  </w:tcBorders>
                  <w:shd w:val="clear" w:color="auto" w:fill="auto"/>
                  <w:vAlign w:val="center"/>
                </w:tcPr>
                <w:p w14:paraId="3133617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2080</w:t>
                  </w:r>
                </w:p>
              </w:tc>
            </w:tr>
            <w:tr w14:paraId="3CE816DC">
              <w:tblPrEx>
                <w:tblCellMar>
                  <w:top w:w="0" w:type="dxa"/>
                  <w:left w:w="108" w:type="dxa"/>
                  <w:bottom w:w="0" w:type="dxa"/>
                  <w:right w:w="108" w:type="dxa"/>
                </w:tblCellMar>
              </w:tblPrEx>
              <w:trPr>
                <w:trHeight w:val="33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20E1B34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1A829A7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67D9730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DN50塑料盲沟管</w:t>
                  </w:r>
                </w:p>
              </w:tc>
              <w:tc>
                <w:tcPr>
                  <w:tcW w:w="884" w:type="dxa"/>
                  <w:tcBorders>
                    <w:top w:val="nil"/>
                    <w:left w:val="nil"/>
                    <w:bottom w:val="single" w:color="auto" w:sz="4" w:space="0"/>
                    <w:right w:val="nil"/>
                  </w:tcBorders>
                  <w:shd w:val="clear" w:color="auto" w:fill="auto"/>
                  <w:vAlign w:val="center"/>
                </w:tcPr>
                <w:p w14:paraId="47AB897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8" w:space="0"/>
                    <w:bottom w:val="single" w:color="auto" w:sz="8" w:space="0"/>
                    <w:right w:val="single" w:color="auto" w:sz="8" w:space="0"/>
                  </w:tcBorders>
                  <w:shd w:val="clear" w:color="auto" w:fill="auto"/>
                  <w:vAlign w:val="center"/>
                </w:tcPr>
                <w:p w14:paraId="33FC24D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1030</w:t>
                  </w:r>
                </w:p>
              </w:tc>
            </w:tr>
            <w:tr w14:paraId="292D1AA8">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0495E5D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228CF1B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622047D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无纺长丝土工布</w:t>
                  </w:r>
                </w:p>
              </w:tc>
              <w:tc>
                <w:tcPr>
                  <w:tcW w:w="884" w:type="dxa"/>
                  <w:tcBorders>
                    <w:top w:val="nil"/>
                    <w:left w:val="nil"/>
                    <w:bottom w:val="single" w:color="auto" w:sz="4" w:space="0"/>
                    <w:right w:val="nil"/>
                  </w:tcBorders>
                  <w:shd w:val="clear" w:color="auto" w:fill="auto"/>
                  <w:vAlign w:val="center"/>
                </w:tcPr>
                <w:p w14:paraId="701FA8E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noWrap/>
                  <w:vAlign w:val="center"/>
                </w:tcPr>
                <w:p w14:paraId="27403E6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64525</w:t>
                  </w:r>
                </w:p>
              </w:tc>
            </w:tr>
            <w:tr w14:paraId="695C409C">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2D6C2A8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right w:val="single" w:color="auto" w:sz="4" w:space="0"/>
                  </w:tcBorders>
                  <w:vAlign w:val="center"/>
                </w:tcPr>
                <w:p w14:paraId="774F1BA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60A79EA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复核排水网格</w:t>
                  </w:r>
                </w:p>
              </w:tc>
              <w:tc>
                <w:tcPr>
                  <w:tcW w:w="884" w:type="dxa"/>
                  <w:tcBorders>
                    <w:top w:val="nil"/>
                    <w:left w:val="nil"/>
                    <w:bottom w:val="single" w:color="auto" w:sz="4" w:space="0"/>
                    <w:right w:val="nil"/>
                  </w:tcBorders>
                  <w:shd w:val="clear" w:color="auto" w:fill="auto"/>
                  <w:vAlign w:val="center"/>
                </w:tcPr>
                <w:p w14:paraId="10842B1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single" w:color="auto" w:sz="8" w:space="0"/>
                    <w:bottom w:val="single" w:color="auto" w:sz="8" w:space="0"/>
                    <w:right w:val="single" w:color="auto" w:sz="8" w:space="0"/>
                  </w:tcBorders>
                  <w:shd w:val="clear" w:color="auto" w:fill="auto"/>
                  <w:noWrap/>
                  <w:vAlign w:val="center"/>
                </w:tcPr>
                <w:p w14:paraId="7162099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64525</w:t>
                  </w:r>
                </w:p>
              </w:tc>
            </w:tr>
            <w:tr w14:paraId="53ED7A06">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B1BC0B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single" w:color="auto" w:sz="4" w:space="0"/>
                    <w:bottom w:val="single" w:color="auto" w:sz="4" w:space="0"/>
                    <w:right w:val="single" w:color="auto" w:sz="4" w:space="0"/>
                  </w:tcBorders>
                  <w:vAlign w:val="center"/>
                </w:tcPr>
                <w:p w14:paraId="24488F0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noWrap/>
                  <w:vAlign w:val="center"/>
                </w:tcPr>
                <w:p w14:paraId="3D755B6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锚固沟(0.8×0.8)</w:t>
                  </w:r>
                </w:p>
              </w:tc>
              <w:tc>
                <w:tcPr>
                  <w:tcW w:w="884" w:type="dxa"/>
                  <w:tcBorders>
                    <w:top w:val="nil"/>
                    <w:left w:val="nil"/>
                    <w:bottom w:val="single" w:color="auto" w:sz="4" w:space="0"/>
                    <w:right w:val="nil"/>
                  </w:tcBorders>
                  <w:shd w:val="clear" w:color="auto" w:fill="auto"/>
                  <w:vAlign w:val="center"/>
                </w:tcPr>
                <w:p w14:paraId="3D9E18C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8" w:space="0"/>
                    <w:bottom w:val="single" w:color="auto" w:sz="8" w:space="0"/>
                    <w:right w:val="single" w:color="auto" w:sz="8" w:space="0"/>
                  </w:tcBorders>
                  <w:shd w:val="clear" w:color="auto" w:fill="auto"/>
                  <w:noWrap/>
                  <w:vAlign w:val="center"/>
                </w:tcPr>
                <w:p w14:paraId="3097C2E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1100</w:t>
                  </w:r>
                </w:p>
              </w:tc>
            </w:tr>
            <w:tr w14:paraId="0DF02C1C">
              <w:tblPrEx>
                <w:tblCellMar>
                  <w:top w:w="0" w:type="dxa"/>
                  <w:left w:w="108" w:type="dxa"/>
                  <w:bottom w:w="0" w:type="dxa"/>
                  <w:right w:w="108" w:type="dxa"/>
                </w:tblCellMar>
              </w:tblPrEx>
              <w:trPr>
                <w:trHeight w:val="390"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F084E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776" w:type="dxa"/>
                  <w:vMerge w:val="restart"/>
                  <w:tcBorders>
                    <w:top w:val="nil"/>
                    <w:left w:val="single" w:color="auto" w:sz="4" w:space="0"/>
                    <w:bottom w:val="single" w:color="auto" w:sz="4" w:space="0"/>
                    <w:right w:val="single" w:color="auto" w:sz="4" w:space="0"/>
                  </w:tcBorders>
                  <w:shd w:val="clear" w:color="auto" w:fill="auto"/>
                  <w:vAlign w:val="center"/>
                </w:tcPr>
                <w:p w14:paraId="218158A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覆土及植被恢复</w:t>
                  </w:r>
                </w:p>
              </w:tc>
              <w:tc>
                <w:tcPr>
                  <w:tcW w:w="3041" w:type="dxa"/>
                  <w:tcBorders>
                    <w:top w:val="nil"/>
                    <w:left w:val="nil"/>
                    <w:bottom w:val="single" w:color="auto" w:sz="4" w:space="0"/>
                    <w:right w:val="single" w:color="auto" w:sz="4" w:space="0"/>
                  </w:tcBorders>
                  <w:shd w:val="clear" w:color="auto" w:fill="auto"/>
                  <w:vAlign w:val="center"/>
                </w:tcPr>
                <w:p w14:paraId="6608522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场地表层覆土</w:t>
                  </w:r>
                </w:p>
              </w:tc>
              <w:tc>
                <w:tcPr>
                  <w:tcW w:w="884" w:type="dxa"/>
                  <w:tcBorders>
                    <w:top w:val="nil"/>
                    <w:left w:val="nil"/>
                    <w:bottom w:val="single" w:color="auto" w:sz="4" w:space="0"/>
                    <w:right w:val="nil"/>
                  </w:tcBorders>
                  <w:shd w:val="clear" w:color="auto" w:fill="auto"/>
                  <w:vAlign w:val="center"/>
                </w:tcPr>
                <w:p w14:paraId="2E3935E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234904E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70819</w:t>
                  </w:r>
                </w:p>
              </w:tc>
            </w:tr>
            <w:tr w14:paraId="3C460571">
              <w:tblPrEx>
                <w:tblCellMar>
                  <w:top w:w="0" w:type="dxa"/>
                  <w:left w:w="108" w:type="dxa"/>
                  <w:bottom w:w="0" w:type="dxa"/>
                  <w:right w:w="108" w:type="dxa"/>
                </w:tblCellMar>
              </w:tblPrEx>
              <w:trPr>
                <w:trHeight w:val="413"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7A74E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shd w:val="clear" w:color="auto" w:fill="auto"/>
                  <w:vAlign w:val="center"/>
                </w:tcPr>
                <w:p w14:paraId="2142239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3A59E89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种植乔木</w:t>
                  </w:r>
                </w:p>
              </w:tc>
              <w:tc>
                <w:tcPr>
                  <w:tcW w:w="884" w:type="dxa"/>
                  <w:tcBorders>
                    <w:top w:val="nil"/>
                    <w:left w:val="nil"/>
                    <w:bottom w:val="single" w:color="auto" w:sz="4" w:space="0"/>
                    <w:right w:val="nil"/>
                  </w:tcBorders>
                  <w:shd w:val="clear" w:color="auto" w:fill="auto"/>
                  <w:vAlign w:val="center"/>
                </w:tcPr>
                <w:p w14:paraId="5F04330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棵</w:t>
                  </w:r>
                </w:p>
              </w:tc>
              <w:tc>
                <w:tcPr>
                  <w:tcW w:w="1586" w:type="dxa"/>
                  <w:tcBorders>
                    <w:top w:val="single" w:color="auto" w:sz="8" w:space="0"/>
                    <w:left w:val="single" w:color="auto" w:sz="8" w:space="0"/>
                    <w:bottom w:val="single" w:color="auto" w:sz="8" w:space="0"/>
                    <w:right w:val="single" w:color="auto" w:sz="8" w:space="0"/>
                  </w:tcBorders>
                  <w:shd w:val="clear" w:color="auto" w:fill="auto"/>
                  <w:vAlign w:val="center"/>
                </w:tcPr>
                <w:p w14:paraId="1AB0F84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652</w:t>
                  </w:r>
                </w:p>
              </w:tc>
            </w:tr>
            <w:tr w14:paraId="3476CE9B">
              <w:tblPrEx>
                <w:tblCellMar>
                  <w:top w:w="0" w:type="dxa"/>
                  <w:left w:w="108" w:type="dxa"/>
                  <w:bottom w:w="0" w:type="dxa"/>
                  <w:right w:w="108" w:type="dxa"/>
                </w:tblCellMar>
              </w:tblPrEx>
              <w:trPr>
                <w:trHeight w:val="33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152B191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2E29FFA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0E5FEFF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种植灌木</w:t>
                  </w:r>
                </w:p>
              </w:tc>
              <w:tc>
                <w:tcPr>
                  <w:tcW w:w="884" w:type="dxa"/>
                  <w:tcBorders>
                    <w:top w:val="nil"/>
                    <w:left w:val="nil"/>
                    <w:bottom w:val="single" w:color="auto" w:sz="4" w:space="0"/>
                    <w:right w:val="nil"/>
                  </w:tcBorders>
                  <w:shd w:val="clear" w:color="auto" w:fill="auto"/>
                  <w:vAlign w:val="center"/>
                </w:tcPr>
                <w:p w14:paraId="75ADC18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棵</w:t>
                  </w:r>
                </w:p>
              </w:tc>
              <w:tc>
                <w:tcPr>
                  <w:tcW w:w="1586" w:type="dxa"/>
                  <w:tcBorders>
                    <w:top w:val="nil"/>
                    <w:left w:val="single" w:color="auto" w:sz="8" w:space="0"/>
                    <w:bottom w:val="single" w:color="auto" w:sz="8" w:space="0"/>
                    <w:right w:val="single" w:color="auto" w:sz="8" w:space="0"/>
                  </w:tcBorders>
                  <w:shd w:val="clear" w:color="auto" w:fill="auto"/>
                  <w:vAlign w:val="center"/>
                </w:tcPr>
                <w:p w14:paraId="46AC5A4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14820</w:t>
                  </w:r>
                </w:p>
              </w:tc>
            </w:tr>
            <w:tr w14:paraId="7924418B">
              <w:tblPrEx>
                <w:tblCellMar>
                  <w:top w:w="0" w:type="dxa"/>
                  <w:left w:w="108" w:type="dxa"/>
                  <w:bottom w:w="0" w:type="dxa"/>
                  <w:right w:w="108" w:type="dxa"/>
                </w:tblCellMar>
              </w:tblPrEx>
              <w:trPr>
                <w:trHeight w:val="33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04AA08D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6570A08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339CE81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藤本</w:t>
                  </w:r>
                </w:p>
              </w:tc>
              <w:tc>
                <w:tcPr>
                  <w:tcW w:w="884" w:type="dxa"/>
                  <w:tcBorders>
                    <w:top w:val="nil"/>
                    <w:left w:val="nil"/>
                    <w:bottom w:val="single" w:color="auto" w:sz="4" w:space="0"/>
                    <w:right w:val="nil"/>
                  </w:tcBorders>
                  <w:shd w:val="clear" w:color="auto" w:fill="auto"/>
                  <w:vAlign w:val="center"/>
                </w:tcPr>
                <w:p w14:paraId="26204A2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株</w:t>
                  </w:r>
                </w:p>
              </w:tc>
              <w:tc>
                <w:tcPr>
                  <w:tcW w:w="1586" w:type="dxa"/>
                  <w:tcBorders>
                    <w:top w:val="nil"/>
                    <w:left w:val="single" w:color="auto" w:sz="8" w:space="0"/>
                    <w:bottom w:val="single" w:color="auto" w:sz="8" w:space="0"/>
                    <w:right w:val="single" w:color="auto" w:sz="8" w:space="0"/>
                  </w:tcBorders>
                  <w:shd w:val="clear" w:color="auto" w:fill="auto"/>
                  <w:vAlign w:val="center"/>
                </w:tcPr>
                <w:p w14:paraId="5A18EE6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206</w:t>
                  </w:r>
                </w:p>
              </w:tc>
            </w:tr>
            <w:tr w14:paraId="2BAE4DEE">
              <w:tblPrEx>
                <w:tblCellMar>
                  <w:top w:w="0" w:type="dxa"/>
                  <w:left w:w="108" w:type="dxa"/>
                  <w:bottom w:w="0" w:type="dxa"/>
                  <w:right w:w="108" w:type="dxa"/>
                </w:tblCellMar>
              </w:tblPrEx>
              <w:trPr>
                <w:trHeight w:val="39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060E3E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1F7DC87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20CEC24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播撒草籽（65kg/hm2）</w:t>
                  </w:r>
                </w:p>
              </w:tc>
              <w:tc>
                <w:tcPr>
                  <w:tcW w:w="884" w:type="dxa"/>
                  <w:tcBorders>
                    <w:top w:val="nil"/>
                    <w:left w:val="nil"/>
                    <w:bottom w:val="single" w:color="auto" w:sz="4" w:space="0"/>
                    <w:right w:val="nil"/>
                  </w:tcBorders>
                  <w:shd w:val="clear" w:color="auto" w:fill="auto"/>
                  <w:vAlign w:val="center"/>
                </w:tcPr>
                <w:p w14:paraId="05737C8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m2</w:t>
                  </w:r>
                </w:p>
              </w:tc>
              <w:tc>
                <w:tcPr>
                  <w:tcW w:w="1586" w:type="dxa"/>
                  <w:tcBorders>
                    <w:top w:val="nil"/>
                    <w:left w:val="single" w:color="auto" w:sz="8" w:space="0"/>
                    <w:bottom w:val="single" w:color="auto" w:sz="8" w:space="0"/>
                    <w:right w:val="single" w:color="auto" w:sz="8" w:space="0"/>
                  </w:tcBorders>
                  <w:shd w:val="clear" w:color="auto" w:fill="auto"/>
                  <w:vAlign w:val="center"/>
                </w:tcPr>
                <w:p w14:paraId="04F94FF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26113</w:t>
                  </w:r>
                </w:p>
              </w:tc>
            </w:tr>
            <w:tr w14:paraId="51D53727">
              <w:tblPrEx>
                <w:tblCellMar>
                  <w:top w:w="0" w:type="dxa"/>
                  <w:left w:w="108" w:type="dxa"/>
                  <w:bottom w:w="0" w:type="dxa"/>
                  <w:right w:w="108" w:type="dxa"/>
                </w:tblCellMar>
              </w:tblPrEx>
              <w:trPr>
                <w:trHeight w:val="315" w:hRule="atLeast"/>
                <w:jc w:val="center"/>
              </w:trPr>
              <w:tc>
                <w:tcPr>
                  <w:tcW w:w="772" w:type="dxa"/>
                  <w:vMerge w:val="restart"/>
                  <w:tcBorders>
                    <w:top w:val="single" w:color="auto" w:sz="4" w:space="0"/>
                    <w:left w:val="single" w:color="auto" w:sz="4" w:space="0"/>
                    <w:bottom w:val="single" w:color="auto" w:sz="4" w:space="0"/>
                    <w:right w:val="single" w:color="auto" w:sz="4" w:space="0"/>
                  </w:tcBorders>
                  <w:vAlign w:val="center"/>
                </w:tcPr>
                <w:p w14:paraId="3065C78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776" w:type="dxa"/>
                  <w:vMerge w:val="restart"/>
                  <w:tcBorders>
                    <w:top w:val="nil"/>
                    <w:left w:val="nil"/>
                    <w:right w:val="single" w:color="auto" w:sz="4" w:space="0"/>
                  </w:tcBorders>
                  <w:shd w:val="clear" w:color="auto" w:fill="auto"/>
                  <w:vAlign w:val="center"/>
                </w:tcPr>
                <w:p w14:paraId="3256912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培肥工程</w:t>
                  </w:r>
                </w:p>
              </w:tc>
              <w:tc>
                <w:tcPr>
                  <w:tcW w:w="3041" w:type="dxa"/>
                  <w:tcBorders>
                    <w:top w:val="nil"/>
                    <w:left w:val="nil"/>
                    <w:bottom w:val="single" w:color="auto" w:sz="4" w:space="0"/>
                    <w:right w:val="single" w:color="auto" w:sz="4" w:space="0"/>
                  </w:tcBorders>
                  <w:shd w:val="clear" w:color="auto" w:fill="auto"/>
                  <w:vAlign w:val="center"/>
                </w:tcPr>
                <w:p w14:paraId="1A091C1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商品肥（750kg/hm2）</w:t>
                  </w:r>
                </w:p>
              </w:tc>
              <w:tc>
                <w:tcPr>
                  <w:tcW w:w="884" w:type="dxa"/>
                  <w:tcBorders>
                    <w:top w:val="nil"/>
                    <w:left w:val="nil"/>
                    <w:bottom w:val="single" w:color="auto" w:sz="4" w:space="0"/>
                    <w:right w:val="nil"/>
                  </w:tcBorders>
                  <w:shd w:val="clear" w:color="auto" w:fill="auto"/>
                  <w:vAlign w:val="center"/>
                </w:tcPr>
                <w:p w14:paraId="711264D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2885F87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35786</w:t>
                  </w:r>
                </w:p>
              </w:tc>
            </w:tr>
            <w:tr w14:paraId="23BE474E">
              <w:tblPrEx>
                <w:tblCellMar>
                  <w:top w:w="0" w:type="dxa"/>
                  <w:left w:w="108" w:type="dxa"/>
                  <w:bottom w:w="0" w:type="dxa"/>
                  <w:right w:w="108" w:type="dxa"/>
                </w:tblCellMar>
              </w:tblPrEx>
              <w:trPr>
                <w:trHeight w:val="31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4DA629B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left w:val="nil"/>
                    <w:bottom w:val="single" w:color="auto" w:sz="4" w:space="0"/>
                    <w:right w:val="single" w:color="auto" w:sz="4" w:space="0"/>
                  </w:tcBorders>
                  <w:shd w:val="clear" w:color="auto" w:fill="auto"/>
                  <w:vAlign w:val="center"/>
                </w:tcPr>
                <w:p w14:paraId="00F958B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10BDE42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有机农家肥（22.5t/hm2）</w:t>
                  </w:r>
                </w:p>
              </w:tc>
              <w:tc>
                <w:tcPr>
                  <w:tcW w:w="884" w:type="dxa"/>
                  <w:tcBorders>
                    <w:top w:val="nil"/>
                    <w:left w:val="nil"/>
                    <w:bottom w:val="single" w:color="auto" w:sz="4" w:space="0"/>
                    <w:right w:val="nil"/>
                  </w:tcBorders>
                  <w:shd w:val="clear" w:color="auto" w:fill="auto"/>
                  <w:vAlign w:val="center"/>
                </w:tcPr>
                <w:p w14:paraId="4C89BFF1">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14:paraId="36C9C6C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35786</w:t>
                  </w:r>
                </w:p>
              </w:tc>
            </w:tr>
            <w:tr w14:paraId="22C90A93">
              <w:tblPrEx>
                <w:tblCellMar>
                  <w:top w:w="0" w:type="dxa"/>
                  <w:left w:w="108" w:type="dxa"/>
                  <w:bottom w:w="0" w:type="dxa"/>
                  <w:right w:w="108" w:type="dxa"/>
                </w:tblCellMar>
              </w:tblPrEx>
              <w:trPr>
                <w:trHeight w:val="375"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FD5DC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776" w:type="dxa"/>
                  <w:vMerge w:val="restart"/>
                  <w:tcBorders>
                    <w:top w:val="nil"/>
                    <w:left w:val="single" w:color="auto" w:sz="4" w:space="0"/>
                    <w:bottom w:val="single" w:color="auto" w:sz="4" w:space="0"/>
                    <w:right w:val="single" w:color="auto" w:sz="4" w:space="0"/>
                  </w:tcBorders>
                  <w:shd w:val="clear" w:color="auto" w:fill="auto"/>
                  <w:vAlign w:val="center"/>
                </w:tcPr>
                <w:p w14:paraId="7C75869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截排水沟</w:t>
                  </w:r>
                </w:p>
              </w:tc>
              <w:tc>
                <w:tcPr>
                  <w:tcW w:w="3041" w:type="dxa"/>
                  <w:tcBorders>
                    <w:top w:val="nil"/>
                    <w:left w:val="nil"/>
                    <w:bottom w:val="single" w:color="auto" w:sz="4" w:space="0"/>
                    <w:right w:val="single" w:color="auto" w:sz="4" w:space="0"/>
                  </w:tcBorders>
                  <w:shd w:val="clear" w:color="auto" w:fill="auto"/>
                  <w:vAlign w:val="center"/>
                </w:tcPr>
                <w:p w14:paraId="1D0AE7E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开挖土石方</w:t>
                  </w:r>
                </w:p>
              </w:tc>
              <w:tc>
                <w:tcPr>
                  <w:tcW w:w="884" w:type="dxa"/>
                  <w:tcBorders>
                    <w:top w:val="nil"/>
                    <w:left w:val="nil"/>
                    <w:bottom w:val="single" w:color="auto" w:sz="4" w:space="0"/>
                    <w:right w:val="nil"/>
                  </w:tcBorders>
                  <w:shd w:val="clear" w:color="auto" w:fill="auto"/>
                  <w:vAlign w:val="center"/>
                </w:tcPr>
                <w:p w14:paraId="02765E7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586" w:type="dxa"/>
                  <w:tcBorders>
                    <w:top w:val="nil"/>
                    <w:left w:val="single" w:color="auto" w:sz="4" w:space="0"/>
                    <w:bottom w:val="single" w:color="auto" w:sz="4" w:space="0"/>
                    <w:right w:val="single" w:color="auto" w:sz="4" w:space="0"/>
                  </w:tcBorders>
                  <w:shd w:val="clear" w:color="auto" w:fill="auto"/>
                  <w:vAlign w:val="center"/>
                </w:tcPr>
                <w:p w14:paraId="01E3588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1372</w:t>
                  </w:r>
                </w:p>
              </w:tc>
            </w:tr>
            <w:tr w14:paraId="320E619C">
              <w:tblPrEx>
                <w:tblCellMar>
                  <w:top w:w="0" w:type="dxa"/>
                  <w:left w:w="108" w:type="dxa"/>
                  <w:bottom w:w="0" w:type="dxa"/>
                  <w:right w:w="108" w:type="dxa"/>
                </w:tblCellMar>
              </w:tblPrEx>
              <w:trPr>
                <w:trHeight w:val="60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4FD3771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62C5E4B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541F34A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周边截水沟（素砼，断面0.8×1.0）</w:t>
                  </w:r>
                </w:p>
              </w:tc>
              <w:tc>
                <w:tcPr>
                  <w:tcW w:w="884" w:type="dxa"/>
                  <w:tcBorders>
                    <w:top w:val="nil"/>
                    <w:left w:val="nil"/>
                    <w:bottom w:val="single" w:color="auto" w:sz="4" w:space="0"/>
                    <w:right w:val="nil"/>
                  </w:tcBorders>
                  <w:shd w:val="clear" w:color="auto" w:fill="auto"/>
                  <w:vAlign w:val="center"/>
                </w:tcPr>
                <w:p w14:paraId="27A41BD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4" w:space="0"/>
                    <w:bottom w:val="single" w:color="auto" w:sz="4" w:space="0"/>
                    <w:right w:val="single" w:color="auto" w:sz="4" w:space="0"/>
                  </w:tcBorders>
                  <w:shd w:val="clear" w:color="auto" w:fill="auto"/>
                  <w:vAlign w:val="center"/>
                </w:tcPr>
                <w:p w14:paraId="3790851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1024</w:t>
                  </w:r>
                </w:p>
              </w:tc>
            </w:tr>
            <w:tr w14:paraId="2E28C141">
              <w:tblPrEx>
                <w:tblCellMar>
                  <w:top w:w="0" w:type="dxa"/>
                  <w:left w:w="108" w:type="dxa"/>
                  <w:bottom w:w="0" w:type="dxa"/>
                  <w:right w:w="108" w:type="dxa"/>
                </w:tblCellMar>
              </w:tblPrEx>
              <w:trPr>
                <w:trHeight w:val="600"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5DBAB4A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52A57D0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39C1EAD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坡面雨水沟（素砼，断面0.3×0.4）</w:t>
                  </w:r>
                </w:p>
              </w:tc>
              <w:tc>
                <w:tcPr>
                  <w:tcW w:w="884" w:type="dxa"/>
                  <w:tcBorders>
                    <w:top w:val="nil"/>
                    <w:left w:val="nil"/>
                    <w:bottom w:val="single" w:color="auto" w:sz="4" w:space="0"/>
                    <w:right w:val="nil"/>
                  </w:tcBorders>
                  <w:shd w:val="clear" w:color="auto" w:fill="auto"/>
                  <w:vAlign w:val="center"/>
                </w:tcPr>
                <w:p w14:paraId="74B2662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single" w:color="auto" w:sz="4" w:space="0"/>
                    <w:bottom w:val="single" w:color="auto" w:sz="4" w:space="0"/>
                    <w:right w:val="single" w:color="auto" w:sz="4" w:space="0"/>
                  </w:tcBorders>
                  <w:shd w:val="clear" w:color="auto" w:fill="auto"/>
                  <w:vAlign w:val="center"/>
                </w:tcPr>
                <w:p w14:paraId="341ECC5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2580</w:t>
                  </w:r>
                </w:p>
              </w:tc>
            </w:tr>
            <w:tr w14:paraId="5E394FE5">
              <w:tblPrEx>
                <w:tblCellMar>
                  <w:top w:w="0" w:type="dxa"/>
                  <w:left w:w="108" w:type="dxa"/>
                  <w:bottom w:w="0" w:type="dxa"/>
                  <w:right w:w="108" w:type="dxa"/>
                </w:tblCellMar>
              </w:tblPrEx>
              <w:trPr>
                <w:trHeight w:val="315"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902C6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776" w:type="dxa"/>
                  <w:vMerge w:val="restart"/>
                  <w:tcBorders>
                    <w:top w:val="nil"/>
                    <w:left w:val="single" w:color="auto" w:sz="4" w:space="0"/>
                    <w:bottom w:val="single" w:color="auto" w:sz="4" w:space="0"/>
                    <w:right w:val="single" w:color="auto" w:sz="4" w:space="0"/>
                  </w:tcBorders>
                  <w:shd w:val="clear" w:color="auto" w:fill="auto"/>
                  <w:vAlign w:val="center"/>
                </w:tcPr>
                <w:p w14:paraId="207297B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监测围护</w:t>
                  </w:r>
                </w:p>
              </w:tc>
              <w:tc>
                <w:tcPr>
                  <w:tcW w:w="3041" w:type="dxa"/>
                  <w:tcBorders>
                    <w:top w:val="nil"/>
                    <w:left w:val="nil"/>
                    <w:bottom w:val="single" w:color="auto" w:sz="4" w:space="0"/>
                    <w:right w:val="single" w:color="auto" w:sz="4" w:space="0"/>
                  </w:tcBorders>
                  <w:shd w:val="clear" w:color="auto" w:fill="auto"/>
                  <w:vAlign w:val="center"/>
                </w:tcPr>
                <w:p w14:paraId="31824398">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地下水监测井</w:t>
                  </w:r>
                </w:p>
              </w:tc>
              <w:tc>
                <w:tcPr>
                  <w:tcW w:w="884" w:type="dxa"/>
                  <w:tcBorders>
                    <w:top w:val="nil"/>
                    <w:left w:val="nil"/>
                    <w:bottom w:val="single" w:color="auto" w:sz="4" w:space="0"/>
                    <w:right w:val="single" w:color="auto" w:sz="4" w:space="0"/>
                  </w:tcBorders>
                  <w:shd w:val="clear" w:color="auto" w:fill="auto"/>
                  <w:vAlign w:val="center"/>
                </w:tcPr>
                <w:p w14:paraId="7B74767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个</w:t>
                  </w:r>
                </w:p>
              </w:tc>
              <w:tc>
                <w:tcPr>
                  <w:tcW w:w="1586" w:type="dxa"/>
                  <w:tcBorders>
                    <w:top w:val="nil"/>
                    <w:left w:val="nil"/>
                    <w:bottom w:val="single" w:color="auto" w:sz="4" w:space="0"/>
                    <w:right w:val="single" w:color="auto" w:sz="4" w:space="0"/>
                  </w:tcBorders>
                  <w:shd w:val="clear" w:color="auto" w:fill="auto"/>
                  <w:vAlign w:val="center"/>
                </w:tcPr>
                <w:p w14:paraId="2D13961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r>
            <w:tr w14:paraId="371D4543">
              <w:tblPrEx>
                <w:tblCellMar>
                  <w:top w:w="0" w:type="dxa"/>
                  <w:left w:w="108" w:type="dxa"/>
                  <w:bottom w:w="0" w:type="dxa"/>
                  <w:right w:w="108" w:type="dxa"/>
                </w:tblCellMar>
              </w:tblPrEx>
              <w:trPr>
                <w:trHeight w:val="31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36733E4E">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66DCE7F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4FE27AD0">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沉降位移监测桩</w:t>
                  </w:r>
                </w:p>
              </w:tc>
              <w:tc>
                <w:tcPr>
                  <w:tcW w:w="884" w:type="dxa"/>
                  <w:tcBorders>
                    <w:top w:val="nil"/>
                    <w:left w:val="nil"/>
                    <w:bottom w:val="single" w:color="auto" w:sz="4" w:space="0"/>
                    <w:right w:val="single" w:color="auto" w:sz="4" w:space="0"/>
                  </w:tcBorders>
                  <w:shd w:val="clear" w:color="auto" w:fill="auto"/>
                  <w:vAlign w:val="center"/>
                </w:tcPr>
                <w:p w14:paraId="769F49E9">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个</w:t>
                  </w:r>
                </w:p>
              </w:tc>
              <w:tc>
                <w:tcPr>
                  <w:tcW w:w="1586" w:type="dxa"/>
                  <w:tcBorders>
                    <w:top w:val="nil"/>
                    <w:left w:val="nil"/>
                    <w:bottom w:val="single" w:color="auto" w:sz="4" w:space="0"/>
                    <w:right w:val="single" w:color="auto" w:sz="4" w:space="0"/>
                  </w:tcBorders>
                  <w:shd w:val="clear" w:color="auto" w:fill="auto"/>
                  <w:vAlign w:val="center"/>
                </w:tcPr>
                <w:p w14:paraId="164A00A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r>
            <w:tr w14:paraId="433306A7">
              <w:tblPrEx>
                <w:tblCellMar>
                  <w:top w:w="0" w:type="dxa"/>
                  <w:left w:w="108" w:type="dxa"/>
                  <w:bottom w:w="0" w:type="dxa"/>
                  <w:right w:w="108" w:type="dxa"/>
                </w:tblCellMar>
              </w:tblPrEx>
              <w:trPr>
                <w:trHeight w:val="31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7F431AD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64EFBF66">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5190B1A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警示标牌</w:t>
                  </w:r>
                </w:p>
              </w:tc>
              <w:tc>
                <w:tcPr>
                  <w:tcW w:w="884" w:type="dxa"/>
                  <w:tcBorders>
                    <w:top w:val="nil"/>
                    <w:left w:val="nil"/>
                    <w:bottom w:val="single" w:color="auto" w:sz="4" w:space="0"/>
                    <w:right w:val="single" w:color="auto" w:sz="4" w:space="0"/>
                  </w:tcBorders>
                  <w:shd w:val="clear" w:color="auto" w:fill="auto"/>
                  <w:vAlign w:val="center"/>
                </w:tcPr>
                <w:p w14:paraId="38F7988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个</w:t>
                  </w:r>
                </w:p>
              </w:tc>
              <w:tc>
                <w:tcPr>
                  <w:tcW w:w="1586" w:type="dxa"/>
                  <w:tcBorders>
                    <w:top w:val="nil"/>
                    <w:left w:val="nil"/>
                    <w:bottom w:val="single" w:color="auto" w:sz="4" w:space="0"/>
                    <w:right w:val="single" w:color="auto" w:sz="4" w:space="0"/>
                  </w:tcBorders>
                  <w:shd w:val="clear" w:color="auto" w:fill="auto"/>
                  <w:vAlign w:val="center"/>
                </w:tcPr>
                <w:p w14:paraId="047B2F52">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r>
            <w:tr w14:paraId="01C0ECF0">
              <w:tblPrEx>
                <w:tblCellMar>
                  <w:top w:w="0" w:type="dxa"/>
                  <w:left w:w="108" w:type="dxa"/>
                  <w:bottom w:w="0" w:type="dxa"/>
                  <w:right w:w="108" w:type="dxa"/>
                </w:tblCellMar>
              </w:tblPrEx>
              <w:trPr>
                <w:trHeight w:val="315"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14:paraId="1F294D5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vMerge w:val="continue"/>
                  <w:tcBorders>
                    <w:top w:val="nil"/>
                    <w:left w:val="single" w:color="auto" w:sz="4" w:space="0"/>
                    <w:bottom w:val="single" w:color="auto" w:sz="4" w:space="0"/>
                    <w:right w:val="single" w:color="auto" w:sz="4" w:space="0"/>
                  </w:tcBorders>
                  <w:vAlign w:val="center"/>
                </w:tcPr>
                <w:p w14:paraId="4065260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41" w:type="dxa"/>
                  <w:tcBorders>
                    <w:top w:val="nil"/>
                    <w:left w:val="nil"/>
                    <w:bottom w:val="single" w:color="auto" w:sz="4" w:space="0"/>
                    <w:right w:val="single" w:color="auto" w:sz="4" w:space="0"/>
                  </w:tcBorders>
                  <w:shd w:val="clear" w:color="auto" w:fill="auto"/>
                  <w:vAlign w:val="center"/>
                </w:tcPr>
                <w:p w14:paraId="1F914BBD">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围护网</w:t>
                  </w:r>
                </w:p>
              </w:tc>
              <w:tc>
                <w:tcPr>
                  <w:tcW w:w="884" w:type="dxa"/>
                  <w:tcBorders>
                    <w:top w:val="nil"/>
                    <w:left w:val="nil"/>
                    <w:bottom w:val="single" w:color="auto" w:sz="4" w:space="0"/>
                    <w:right w:val="single" w:color="auto" w:sz="4" w:space="0"/>
                  </w:tcBorders>
                  <w:shd w:val="clear" w:color="auto" w:fill="auto"/>
                  <w:vAlign w:val="center"/>
                </w:tcPr>
                <w:p w14:paraId="26C6BB0B">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1586" w:type="dxa"/>
                  <w:tcBorders>
                    <w:top w:val="nil"/>
                    <w:left w:val="nil"/>
                    <w:bottom w:val="single" w:color="auto" w:sz="4" w:space="0"/>
                    <w:right w:val="single" w:color="auto" w:sz="4" w:space="0"/>
                  </w:tcBorders>
                  <w:shd w:val="clear" w:color="auto" w:fill="auto"/>
                  <w:vAlign w:val="center"/>
                </w:tcPr>
                <w:p w14:paraId="153B42DF">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1350</w:t>
                  </w:r>
                </w:p>
              </w:tc>
            </w:tr>
            <w:tr w14:paraId="27532587">
              <w:tblPrEx>
                <w:tblCellMar>
                  <w:top w:w="0" w:type="dxa"/>
                  <w:left w:w="108" w:type="dxa"/>
                  <w:bottom w:w="0" w:type="dxa"/>
                  <w:right w:w="108" w:type="dxa"/>
                </w:tblCellMar>
              </w:tblPrEx>
              <w:trPr>
                <w:trHeight w:val="315" w:hRule="atLeast"/>
                <w:jc w:val="center"/>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795D2CD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776" w:type="dxa"/>
                  <w:tcBorders>
                    <w:top w:val="nil"/>
                    <w:left w:val="nil"/>
                    <w:bottom w:val="single" w:color="auto" w:sz="4" w:space="0"/>
                    <w:right w:val="single" w:color="auto" w:sz="4" w:space="0"/>
                  </w:tcBorders>
                  <w:shd w:val="clear" w:color="auto" w:fill="auto"/>
                  <w:vAlign w:val="center"/>
                </w:tcPr>
                <w:p w14:paraId="1D9D9E2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管护工程</w:t>
                  </w:r>
                </w:p>
              </w:tc>
              <w:tc>
                <w:tcPr>
                  <w:tcW w:w="3041" w:type="dxa"/>
                  <w:tcBorders>
                    <w:top w:val="nil"/>
                    <w:left w:val="nil"/>
                    <w:bottom w:val="single" w:color="auto" w:sz="4" w:space="0"/>
                    <w:right w:val="single" w:color="auto" w:sz="4" w:space="0"/>
                  </w:tcBorders>
                  <w:shd w:val="clear" w:color="auto" w:fill="auto"/>
                  <w:vAlign w:val="center"/>
                </w:tcPr>
                <w:p w14:paraId="7566E8C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管护</w:t>
                  </w:r>
                </w:p>
              </w:tc>
              <w:tc>
                <w:tcPr>
                  <w:tcW w:w="884" w:type="dxa"/>
                  <w:tcBorders>
                    <w:top w:val="nil"/>
                    <w:left w:val="nil"/>
                    <w:bottom w:val="single" w:color="auto" w:sz="4" w:space="0"/>
                    <w:right w:val="single" w:color="auto" w:sz="4" w:space="0"/>
                  </w:tcBorders>
                  <w:shd w:val="clear" w:color="auto" w:fill="auto"/>
                  <w:vAlign w:val="center"/>
                </w:tcPr>
                <w:p w14:paraId="2A7B4FD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586" w:type="dxa"/>
                  <w:tcBorders>
                    <w:top w:val="nil"/>
                    <w:left w:val="nil"/>
                    <w:bottom w:val="single" w:color="auto" w:sz="4" w:space="0"/>
                    <w:right w:val="single" w:color="auto" w:sz="4" w:space="0"/>
                  </w:tcBorders>
                  <w:shd w:val="clear" w:color="auto" w:fill="auto"/>
                  <w:vAlign w:val="center"/>
                </w:tcPr>
                <w:p w14:paraId="5D42357A">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6.3132</w:t>
                  </w:r>
                </w:p>
              </w:tc>
            </w:tr>
            <w:tr w14:paraId="55DDD082">
              <w:tblPrEx>
                <w:tblCellMar>
                  <w:top w:w="0" w:type="dxa"/>
                  <w:left w:w="108" w:type="dxa"/>
                  <w:bottom w:w="0" w:type="dxa"/>
                  <w:right w:w="108" w:type="dxa"/>
                </w:tblCellMar>
              </w:tblPrEx>
              <w:trPr>
                <w:trHeight w:val="315" w:hRule="atLeast"/>
                <w:jc w:val="center"/>
              </w:trPr>
              <w:tc>
                <w:tcPr>
                  <w:tcW w:w="772" w:type="dxa"/>
                  <w:tcBorders>
                    <w:top w:val="nil"/>
                    <w:left w:val="single" w:color="auto" w:sz="4" w:space="0"/>
                    <w:bottom w:val="single" w:color="auto" w:sz="4" w:space="0"/>
                    <w:right w:val="single" w:color="auto" w:sz="4" w:space="0"/>
                  </w:tcBorders>
                  <w:shd w:val="clear" w:color="auto" w:fill="auto"/>
                  <w:vAlign w:val="center"/>
                </w:tcPr>
                <w:p w14:paraId="03394C05">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76" w:type="dxa"/>
                  <w:tcBorders>
                    <w:top w:val="nil"/>
                    <w:left w:val="nil"/>
                    <w:bottom w:val="single" w:color="auto" w:sz="4" w:space="0"/>
                    <w:right w:val="single" w:color="auto" w:sz="4" w:space="0"/>
                  </w:tcBorders>
                  <w:shd w:val="clear" w:color="auto" w:fill="auto"/>
                  <w:vAlign w:val="center"/>
                </w:tcPr>
                <w:p w14:paraId="6F3BA704">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小计</w:t>
                  </w:r>
                </w:p>
              </w:tc>
              <w:tc>
                <w:tcPr>
                  <w:tcW w:w="3041" w:type="dxa"/>
                  <w:tcBorders>
                    <w:top w:val="nil"/>
                    <w:left w:val="nil"/>
                    <w:bottom w:val="single" w:color="auto" w:sz="4" w:space="0"/>
                    <w:right w:val="single" w:color="auto" w:sz="4" w:space="0"/>
                  </w:tcBorders>
                  <w:shd w:val="clear" w:color="auto" w:fill="auto"/>
                  <w:vAlign w:val="center"/>
                </w:tcPr>
                <w:p w14:paraId="4F33A8E3">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4" w:type="dxa"/>
                  <w:tcBorders>
                    <w:top w:val="nil"/>
                    <w:left w:val="nil"/>
                    <w:bottom w:val="single" w:color="auto" w:sz="4" w:space="0"/>
                    <w:right w:val="single" w:color="auto" w:sz="4" w:space="0"/>
                  </w:tcBorders>
                  <w:shd w:val="clear" w:color="auto" w:fill="auto"/>
                  <w:vAlign w:val="center"/>
                </w:tcPr>
                <w:p w14:paraId="6074BFD7">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86" w:type="dxa"/>
                  <w:tcBorders>
                    <w:top w:val="nil"/>
                    <w:left w:val="nil"/>
                    <w:bottom w:val="single" w:color="auto" w:sz="4" w:space="0"/>
                    <w:right w:val="single" w:color="auto" w:sz="4" w:space="0"/>
                  </w:tcBorders>
                  <w:shd w:val="clear" w:color="auto" w:fill="auto"/>
                  <w:vAlign w:val="center"/>
                </w:tcPr>
                <w:p w14:paraId="739868CC">
                  <w:pPr>
                    <w:pStyle w:val="107"/>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bookmarkEnd w:id="17"/>
          </w:tbl>
          <w:p w14:paraId="0D9E2398">
            <w:pPr>
              <w:adjustRightInd w:val="0"/>
              <w:ind w:firstLine="480"/>
              <w:jc w:val="left"/>
              <w:rPr>
                <w:rFonts w:hint="eastAsia" w:eastAsia="宋体"/>
                <w:b/>
                <w:bCs/>
                <w:color w:val="000000" w:themeColor="text1"/>
                <w:kern w:val="0"/>
                <w:highlight w:val="none"/>
                <w:lang w:val="en-US" w:eastAsia="zh-CN" w:bidi="ar"/>
                <w14:textFill>
                  <w14:solidFill>
                    <w14:schemeClr w14:val="tx1"/>
                  </w14:solidFill>
                </w14:textFill>
              </w:rPr>
            </w:pPr>
            <w:r>
              <w:rPr>
                <w:rFonts w:hint="eastAsia"/>
                <w:b/>
                <w:bCs/>
                <w:color w:val="000000" w:themeColor="text1"/>
                <w:kern w:val="0"/>
                <w:highlight w:val="none"/>
                <w:lang w:val="en-US" w:eastAsia="zh-CN" w:bidi="ar"/>
                <w14:textFill>
                  <w14:solidFill>
                    <w14:schemeClr w14:val="tx1"/>
                  </w14:solidFill>
                </w14:textFill>
              </w:rPr>
              <w:t>4</w:t>
            </w:r>
            <w:r>
              <w:rPr>
                <w:b/>
                <w:bCs/>
                <w:color w:val="000000" w:themeColor="text1"/>
                <w:kern w:val="0"/>
                <w:highlight w:val="none"/>
                <w:lang w:bidi="ar"/>
                <w14:textFill>
                  <w14:solidFill>
                    <w14:schemeClr w14:val="tx1"/>
                  </w14:solidFill>
                </w14:textFill>
              </w:rPr>
              <w:t>、</w:t>
            </w:r>
            <w:r>
              <w:rPr>
                <w:rFonts w:hint="eastAsia"/>
                <w:b/>
                <w:bCs/>
                <w:color w:val="000000" w:themeColor="text1"/>
                <w:kern w:val="0"/>
                <w:highlight w:val="none"/>
                <w:lang w:val="en-US" w:eastAsia="zh-CN" w:bidi="ar"/>
                <w14:textFill>
                  <w14:solidFill>
                    <w14:schemeClr w14:val="tx1"/>
                  </w14:solidFill>
                </w14:textFill>
              </w:rPr>
              <w:t>修复范围</w:t>
            </w:r>
          </w:p>
          <w:p w14:paraId="7212876F">
            <w:pPr>
              <w:snapToGrid w:val="0"/>
              <w:spacing w:line="360" w:lineRule="auto"/>
              <w:ind w:right="-1"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s="Arial"/>
                <w:color w:val="000000" w:themeColor="text1"/>
                <w:sz w:val="24"/>
                <w:highlight w:val="none"/>
                <w:shd w:val="clear" w:color="auto" w:fill="FFFFFF"/>
                <w14:textFill>
                  <w14:solidFill>
                    <w14:schemeClr w14:val="tx1"/>
                  </w14:solidFill>
                </w14:textFill>
              </w:rPr>
              <w:t>本次</w:t>
            </w:r>
            <w:r>
              <w:rPr>
                <w:rFonts w:hint="eastAsia" w:ascii="宋体" w:hAnsi="宋体"/>
                <w:color w:val="000000" w:themeColor="text1"/>
                <w:kern w:val="0"/>
                <w:sz w:val="24"/>
                <w:highlight w:val="none"/>
                <w14:textFill>
                  <w14:solidFill>
                    <w14:schemeClr w14:val="tx1"/>
                  </w14:solidFill>
                </w14:textFill>
              </w:rPr>
              <w:t>生态修复治理范围为</w:t>
            </w:r>
            <w:r>
              <w:rPr>
                <w:rFonts w:hint="eastAsia" w:ascii="宋体" w:hAnsi="宋体" w:cs="Arial"/>
                <w:color w:val="000000" w:themeColor="text1"/>
                <w:sz w:val="24"/>
                <w:highlight w:val="none"/>
                <w:shd w:val="clear" w:color="auto" w:fill="FFFFFF"/>
                <w:lang w:eastAsia="zh-CN"/>
                <w14:textFill>
                  <w14:solidFill>
                    <w14:schemeClr w14:val="tx1"/>
                  </w14:solidFill>
                </w14:textFill>
              </w:rPr>
              <w:t>寻甸县塘子镇钟灵村委会令友采石场</w:t>
            </w:r>
            <w:r>
              <w:rPr>
                <w:rFonts w:hint="eastAsia" w:ascii="宋体" w:hAnsi="宋体" w:cs="Arial"/>
                <w:color w:val="000000" w:themeColor="text1"/>
                <w:sz w:val="24"/>
                <w:highlight w:val="none"/>
                <w:shd w:val="clear" w:color="auto" w:fill="FFFFFF"/>
                <w14:textFill>
                  <w14:solidFill>
                    <w14:schemeClr w14:val="tx1"/>
                  </w14:solidFill>
                </w14:textFill>
              </w:rPr>
              <w:t>2个露采矿坑，</w:t>
            </w:r>
            <w:r>
              <w:rPr>
                <w:rFonts w:hint="eastAsia" w:ascii="宋体" w:hAnsi="宋体"/>
                <w:color w:val="000000" w:themeColor="text1"/>
                <w:kern w:val="0"/>
                <w:sz w:val="24"/>
                <w:highlight w:val="none"/>
                <w14:textFill>
                  <w14:solidFill>
                    <w14:schemeClr w14:val="tx1"/>
                  </w14:solidFill>
                </w14:textFill>
              </w:rPr>
              <w:t>以实际采矿损毁区域为治理目标，圈定修复面积</w:t>
            </w:r>
            <w:r>
              <w:rPr>
                <w:rFonts w:hint="default" w:ascii="Times New Roman" w:hAnsi="Times New Roman" w:cs="Times New Roman"/>
                <w:color w:val="000000" w:themeColor="text1"/>
                <w:kern w:val="0"/>
                <w:sz w:val="24"/>
                <w:highlight w:val="none"/>
                <w14:textFill>
                  <w14:solidFill>
                    <w14:schemeClr w14:val="tx1"/>
                  </w14:solidFill>
                </w14:textFill>
              </w:rPr>
              <w:t>12.7097hm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w:t>
            </w:r>
          </w:p>
          <w:p w14:paraId="22922DA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宋体" w:hAnsi="宋体"/>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shd w:val="clear" w:color="auto" w:fill="FFFFFF"/>
                <w14:textFill>
                  <w14:solidFill>
                    <w14:schemeClr w14:val="tx1"/>
                  </w14:solidFill>
                </w14:textFill>
              </w:rPr>
              <w:t>表</w:t>
            </w:r>
            <w:r>
              <w:rPr>
                <w:rFonts w:hint="eastAsia" w:cs="Times New Roman"/>
                <w:b/>
                <w:bCs/>
                <w:color w:val="000000" w:themeColor="text1"/>
                <w:sz w:val="24"/>
                <w:highlight w:val="none"/>
                <w:shd w:val="clear" w:color="auto" w:fill="FFFFFF"/>
                <w:lang w:val="en-US" w:eastAsia="zh-CN"/>
                <w14:textFill>
                  <w14:solidFill>
                    <w14:schemeClr w14:val="tx1"/>
                  </w14:solidFill>
                </w14:textFill>
              </w:rPr>
              <w:t>2-7</w:t>
            </w:r>
            <w:r>
              <w:rPr>
                <w:rFonts w:hint="default" w:ascii="Times New Roman" w:hAnsi="Times New Roman" w:cs="Times New Roman"/>
                <w:b/>
                <w:bCs/>
                <w:color w:val="000000" w:themeColor="text1"/>
                <w:sz w:val="24"/>
                <w:highlight w:val="none"/>
                <w:shd w:val="clear" w:color="auto" w:fill="FFFFFF"/>
                <w14:textFill>
                  <w14:solidFill>
                    <w14:schemeClr w14:val="tx1"/>
                  </w14:solidFill>
                </w14:textFill>
              </w:rPr>
              <w:t xml:space="preserve">  </w:t>
            </w:r>
            <w:r>
              <w:rPr>
                <w:rFonts w:hint="eastAsia" w:ascii="宋体" w:hAnsi="宋体" w:cs="Arial"/>
                <w:b/>
                <w:bCs/>
                <w:color w:val="000000" w:themeColor="text1"/>
                <w:sz w:val="24"/>
                <w:highlight w:val="none"/>
                <w:shd w:val="clear" w:color="auto" w:fill="FFFFFF"/>
                <w14:textFill>
                  <w14:solidFill>
                    <w14:schemeClr w14:val="tx1"/>
                  </w14:solidFill>
                </w14:textFill>
              </w:rPr>
              <w:t>寻甸县</w:t>
            </w:r>
            <w:r>
              <w:rPr>
                <w:rFonts w:hint="eastAsia" w:ascii="宋体" w:hAnsi="宋体" w:cs="Arial"/>
                <w:b/>
                <w:bCs/>
                <w:color w:val="000000" w:themeColor="text1"/>
                <w:sz w:val="24"/>
                <w:highlight w:val="none"/>
                <w:shd w:val="clear" w:color="auto" w:fill="FFFFFF"/>
                <w:lang w:val="en-US" w:eastAsia="zh-CN"/>
                <w14:textFill>
                  <w14:solidFill>
                    <w14:schemeClr w14:val="tx1"/>
                  </w14:solidFill>
                </w14:textFill>
              </w:rPr>
              <w:t>令友</w:t>
            </w:r>
            <w:r>
              <w:rPr>
                <w:rFonts w:hint="eastAsia" w:ascii="宋体" w:hAnsi="宋体" w:cs="Arial"/>
                <w:b/>
                <w:bCs/>
                <w:color w:val="000000" w:themeColor="text1"/>
                <w:sz w:val="24"/>
                <w:highlight w:val="none"/>
                <w:shd w:val="clear" w:color="auto" w:fill="FFFFFF"/>
                <w14:textFill>
                  <w14:solidFill>
                    <w14:schemeClr w14:val="tx1"/>
                  </w14:solidFill>
                </w14:textFill>
              </w:rPr>
              <w:t>采石场矿山生态修复范围坐标表</w:t>
            </w:r>
          </w:p>
          <w:tbl>
            <w:tblPr>
              <w:tblStyle w:val="40"/>
              <w:tblW w:w="8303" w:type="dxa"/>
              <w:tblInd w:w="94" w:type="dxa"/>
              <w:tblLayout w:type="fixed"/>
              <w:tblCellMar>
                <w:top w:w="0" w:type="dxa"/>
                <w:left w:w="108" w:type="dxa"/>
                <w:bottom w:w="0" w:type="dxa"/>
                <w:right w:w="108" w:type="dxa"/>
              </w:tblCellMar>
            </w:tblPr>
            <w:tblGrid>
              <w:gridCol w:w="612"/>
              <w:gridCol w:w="1739"/>
              <w:gridCol w:w="1670"/>
              <w:gridCol w:w="888"/>
              <w:gridCol w:w="1697"/>
              <w:gridCol w:w="1697"/>
            </w:tblGrid>
            <w:tr w14:paraId="32CDCDD4">
              <w:tblPrEx>
                <w:tblCellMar>
                  <w:top w:w="0" w:type="dxa"/>
                  <w:left w:w="108" w:type="dxa"/>
                  <w:bottom w:w="0" w:type="dxa"/>
                  <w:right w:w="108" w:type="dxa"/>
                </w:tblCellMar>
              </w:tblPrEx>
              <w:trPr>
                <w:trHeight w:val="375" w:hRule="atLeast"/>
              </w:trPr>
              <w:tc>
                <w:tcPr>
                  <w:tcW w:w="612"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1240EE29">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点号</w:t>
                  </w:r>
                </w:p>
              </w:tc>
              <w:tc>
                <w:tcPr>
                  <w:tcW w:w="3409" w:type="dxa"/>
                  <w:gridSpan w:val="2"/>
                  <w:tcBorders>
                    <w:top w:val="single" w:color="auto" w:sz="8" w:space="0"/>
                    <w:left w:val="nil"/>
                    <w:bottom w:val="single" w:color="auto" w:sz="4" w:space="0"/>
                    <w:right w:val="single" w:color="auto" w:sz="4" w:space="0"/>
                  </w:tcBorders>
                  <w:shd w:val="clear" w:color="auto" w:fill="auto"/>
                  <w:noWrap/>
                  <w:vAlign w:val="center"/>
                </w:tcPr>
                <w:p w14:paraId="2077D676">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2000坐标系</w:t>
                  </w:r>
                </w:p>
              </w:tc>
              <w:tc>
                <w:tcPr>
                  <w:tcW w:w="888" w:type="dxa"/>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4B3B980F">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点号</w:t>
                  </w:r>
                </w:p>
              </w:tc>
              <w:tc>
                <w:tcPr>
                  <w:tcW w:w="3394" w:type="dxa"/>
                  <w:gridSpan w:val="2"/>
                  <w:tcBorders>
                    <w:top w:val="single" w:color="auto" w:sz="8" w:space="0"/>
                    <w:left w:val="nil"/>
                    <w:bottom w:val="single" w:color="auto" w:sz="4" w:space="0"/>
                    <w:right w:val="single" w:color="000000" w:sz="8" w:space="0"/>
                  </w:tcBorders>
                  <w:shd w:val="clear" w:color="auto" w:fill="auto"/>
                  <w:noWrap/>
                  <w:vAlign w:val="center"/>
                </w:tcPr>
                <w:p w14:paraId="13B320B4">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2000坐标系</w:t>
                  </w:r>
                </w:p>
              </w:tc>
            </w:tr>
            <w:tr w14:paraId="523F7466">
              <w:tblPrEx>
                <w:tblCellMar>
                  <w:top w:w="0" w:type="dxa"/>
                  <w:left w:w="108" w:type="dxa"/>
                  <w:bottom w:w="0" w:type="dxa"/>
                  <w:right w:w="108" w:type="dxa"/>
                </w:tblCellMar>
              </w:tblPrEx>
              <w:trPr>
                <w:trHeight w:val="270" w:hRule="atLeast"/>
              </w:trPr>
              <w:tc>
                <w:tcPr>
                  <w:tcW w:w="612" w:type="dxa"/>
                  <w:vMerge w:val="continue"/>
                  <w:tcBorders>
                    <w:top w:val="single" w:color="auto" w:sz="8" w:space="0"/>
                    <w:left w:val="single" w:color="auto" w:sz="8" w:space="0"/>
                    <w:bottom w:val="single" w:color="auto" w:sz="4" w:space="0"/>
                    <w:right w:val="single" w:color="auto" w:sz="4" w:space="0"/>
                  </w:tcBorders>
                  <w:vAlign w:val="center"/>
                </w:tcPr>
                <w:p w14:paraId="6E685975">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739" w:type="dxa"/>
                  <w:tcBorders>
                    <w:top w:val="nil"/>
                    <w:left w:val="nil"/>
                    <w:bottom w:val="single" w:color="auto" w:sz="4" w:space="0"/>
                    <w:right w:val="single" w:color="auto" w:sz="4" w:space="0"/>
                  </w:tcBorders>
                  <w:shd w:val="clear" w:color="auto" w:fill="auto"/>
                  <w:noWrap/>
                  <w:vAlign w:val="center"/>
                </w:tcPr>
                <w:p w14:paraId="3BAE438A">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X</w:t>
                  </w:r>
                </w:p>
              </w:tc>
              <w:tc>
                <w:tcPr>
                  <w:tcW w:w="1670" w:type="dxa"/>
                  <w:tcBorders>
                    <w:top w:val="nil"/>
                    <w:left w:val="nil"/>
                    <w:bottom w:val="single" w:color="auto" w:sz="4" w:space="0"/>
                    <w:right w:val="single" w:color="auto" w:sz="4" w:space="0"/>
                  </w:tcBorders>
                  <w:shd w:val="clear" w:color="auto" w:fill="auto"/>
                  <w:noWrap/>
                  <w:vAlign w:val="center"/>
                </w:tcPr>
                <w:p w14:paraId="5ECCCF49">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Y</w:t>
                  </w:r>
                </w:p>
              </w:tc>
              <w:tc>
                <w:tcPr>
                  <w:tcW w:w="888" w:type="dxa"/>
                  <w:vMerge w:val="continue"/>
                  <w:tcBorders>
                    <w:top w:val="single" w:color="auto" w:sz="8" w:space="0"/>
                    <w:left w:val="single" w:color="auto" w:sz="4" w:space="0"/>
                    <w:bottom w:val="single" w:color="auto" w:sz="4" w:space="0"/>
                    <w:right w:val="single" w:color="auto" w:sz="4" w:space="0"/>
                  </w:tcBorders>
                  <w:vAlign w:val="center"/>
                </w:tcPr>
                <w:p w14:paraId="04BB013C">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697" w:type="dxa"/>
                  <w:tcBorders>
                    <w:top w:val="nil"/>
                    <w:left w:val="nil"/>
                    <w:bottom w:val="single" w:color="auto" w:sz="4" w:space="0"/>
                    <w:right w:val="single" w:color="auto" w:sz="4" w:space="0"/>
                  </w:tcBorders>
                  <w:shd w:val="clear" w:color="auto" w:fill="auto"/>
                  <w:noWrap/>
                  <w:vAlign w:val="center"/>
                </w:tcPr>
                <w:p w14:paraId="01C15D2A">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X</w:t>
                  </w:r>
                </w:p>
              </w:tc>
              <w:tc>
                <w:tcPr>
                  <w:tcW w:w="1697" w:type="dxa"/>
                  <w:tcBorders>
                    <w:top w:val="nil"/>
                    <w:left w:val="nil"/>
                    <w:bottom w:val="single" w:color="auto" w:sz="4" w:space="0"/>
                    <w:right w:val="single" w:color="auto" w:sz="8" w:space="0"/>
                  </w:tcBorders>
                  <w:shd w:val="clear" w:color="auto" w:fill="auto"/>
                  <w:noWrap/>
                  <w:vAlign w:val="center"/>
                </w:tcPr>
                <w:p w14:paraId="450A24E2">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Y</w:t>
                  </w:r>
                </w:p>
              </w:tc>
            </w:tr>
            <w:tr w14:paraId="6162CACA">
              <w:tblPrEx>
                <w:tblCellMar>
                  <w:top w:w="0" w:type="dxa"/>
                  <w:left w:w="108" w:type="dxa"/>
                  <w:bottom w:w="0" w:type="dxa"/>
                  <w:right w:w="108" w:type="dxa"/>
                </w:tblCellMar>
              </w:tblPrEx>
              <w:trPr>
                <w:trHeight w:val="270" w:hRule="atLeast"/>
              </w:trPr>
              <w:tc>
                <w:tcPr>
                  <w:tcW w:w="6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DF9C4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36C84FD8">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2810891.602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CB7BF1">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34630134.45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2DC876">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15</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88003">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2810956.407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3FF719">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34630353.20 </w:t>
                  </w:r>
                </w:p>
              </w:tc>
            </w:tr>
            <w:tr w14:paraId="6FBE9561">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4F6E5219">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336FBB6D">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2810932.569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B246B6">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34630139.21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0D73A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16</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25AD18">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2810919.142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4FA683">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34630352.66 </w:t>
                  </w:r>
                </w:p>
              </w:tc>
            </w:tr>
            <w:tr w14:paraId="25B931E8">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4590A1AA">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5641CED3">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2810997.084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626993">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34630164.32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83519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17</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636DF7">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2810900.363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3AB5AD">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34630344.00 </w:t>
                  </w:r>
                </w:p>
              </w:tc>
            </w:tr>
            <w:tr w14:paraId="3600ABFB">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2CBC780F">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53330F63">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2811023.508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14A38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34630164.17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9B56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18</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BBF1D5">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2810793.143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8A01EB">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34630251.09 </w:t>
                  </w:r>
                </w:p>
              </w:tc>
            </w:tr>
            <w:tr w14:paraId="6CB0D62E">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2209BACA">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6959FA4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2811037.311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EBA8A7">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34630175.08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61810A">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19</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5CD665">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2810748.613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075AD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34630205.85 </w:t>
                  </w:r>
                </w:p>
              </w:tc>
            </w:tr>
            <w:tr w14:paraId="45D8CA5B">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6CE22BF9">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6</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515DB46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2811063.499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BD142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34630192.25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76D3B4">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8C6D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2810695.834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86FD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34630191.07 </w:t>
                  </w:r>
                </w:p>
              </w:tc>
            </w:tr>
            <w:tr w14:paraId="20581AFA">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70F91235">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7</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68B38EA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2811110.232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C7D30D">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34630215.93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F5955B">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21</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3E887">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2810665.469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2614F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34630162.49 </w:t>
                  </w:r>
                </w:p>
              </w:tc>
            </w:tr>
            <w:tr w14:paraId="582F8232">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301E62D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8</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0DBFD80F">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2811122.093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9FA62A">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34630243.94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DCDF8A">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22</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9C8EE6">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2810683.316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D6A4B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34630155.71 </w:t>
                  </w:r>
                </w:p>
              </w:tc>
            </w:tr>
            <w:tr w14:paraId="7137E5F4">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5E5378C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9</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6F2D6F2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2811123.250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D04899">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34630267.63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670986">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23</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D7745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2810699.416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F1D0C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34630152.67 </w:t>
                  </w:r>
                </w:p>
              </w:tc>
            </w:tr>
            <w:tr w14:paraId="61B3E8A9">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0F0376C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10</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55501381">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2811107.289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3120B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34630317.01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D5614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24</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2D82A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2810724.119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EB8588">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34630146.79 </w:t>
                  </w:r>
                </w:p>
              </w:tc>
            </w:tr>
            <w:tr w14:paraId="0CFFBD76">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1B085B0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11</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104A4B06">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2811092.868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49CFB2">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34630327.32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0A5E2B">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25</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063955">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2810752.407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2B95E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34630107.04 </w:t>
                  </w:r>
                </w:p>
              </w:tc>
            </w:tr>
            <w:tr w14:paraId="393CDF08">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18089414">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12</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5CC83A44">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2811050.554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5D8F7A">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34630328.36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D35355">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26</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AF4AA5">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2810826.409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64B0C7">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34630148.01 </w:t>
                  </w:r>
                </w:p>
              </w:tc>
            </w:tr>
            <w:tr w14:paraId="75E5BFA7">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00590353">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13</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36333FF6">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2811026.898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C6387">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34630349.47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78A5D9">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27</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6C8FF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2810871.489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52686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34630138.47 </w:t>
                  </w:r>
                </w:p>
              </w:tc>
            </w:tr>
            <w:tr w14:paraId="395A9431">
              <w:tblPrEx>
                <w:tblCellMar>
                  <w:top w:w="0" w:type="dxa"/>
                  <w:left w:w="108" w:type="dxa"/>
                  <w:bottom w:w="0" w:type="dxa"/>
                  <w:right w:w="108" w:type="dxa"/>
                </w:tblCellMar>
              </w:tblPrEx>
              <w:trPr>
                <w:trHeight w:val="270" w:hRule="atLeast"/>
              </w:trPr>
              <w:tc>
                <w:tcPr>
                  <w:tcW w:w="612" w:type="dxa"/>
                  <w:tcBorders>
                    <w:top w:val="nil"/>
                    <w:left w:val="single" w:color="auto" w:sz="4" w:space="0"/>
                    <w:bottom w:val="single" w:color="auto" w:sz="4" w:space="0"/>
                    <w:right w:val="single" w:color="auto" w:sz="4" w:space="0"/>
                  </w:tcBorders>
                  <w:shd w:val="clear" w:color="auto" w:fill="auto"/>
                  <w:noWrap/>
                  <w:vAlign w:val="center"/>
                </w:tcPr>
                <w:p w14:paraId="2C587BA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14</w:t>
                  </w:r>
                </w:p>
              </w:tc>
              <w:tc>
                <w:tcPr>
                  <w:tcW w:w="1739" w:type="dxa"/>
                  <w:tcBorders>
                    <w:top w:val="single" w:color="auto" w:sz="4" w:space="0"/>
                    <w:left w:val="nil"/>
                    <w:bottom w:val="single" w:color="auto" w:sz="4" w:space="0"/>
                    <w:right w:val="single" w:color="auto" w:sz="4" w:space="0"/>
                  </w:tcBorders>
                  <w:shd w:val="clear" w:color="auto" w:fill="auto"/>
                  <w:noWrap/>
                  <w:vAlign w:val="center"/>
                </w:tcPr>
                <w:p w14:paraId="181C14F8">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2810979.698 </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009DCC">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34630359.11 </w:t>
                  </w:r>
                </w:p>
              </w:tc>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0054E">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28</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9D6A9F">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2810891.602 </w:t>
                  </w:r>
                </w:p>
              </w:tc>
              <w:tc>
                <w:tcPr>
                  <w:tcW w:w="16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2B7620">
                  <w:pPr>
                    <w:pStyle w:val="107"/>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 xml:space="preserve">34630134.45 </w:t>
                  </w:r>
                </w:p>
              </w:tc>
            </w:tr>
            <w:tr w14:paraId="6B4F3F19">
              <w:tblPrEx>
                <w:tblCellMar>
                  <w:top w:w="0" w:type="dxa"/>
                  <w:left w:w="108" w:type="dxa"/>
                  <w:bottom w:w="0" w:type="dxa"/>
                  <w:right w:w="108" w:type="dxa"/>
                </w:tblCellMar>
              </w:tblPrEx>
              <w:trPr>
                <w:trHeight w:val="285" w:hRule="atLeast"/>
              </w:trPr>
              <w:tc>
                <w:tcPr>
                  <w:tcW w:w="8303"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54481730">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修复面积：6.3132hm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2</w:t>
                  </w:r>
                </w:p>
              </w:tc>
            </w:tr>
          </w:tbl>
          <w:p w14:paraId="4D5016EE">
            <w:pPr>
              <w:ind w:firstLine="48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地质灾害整治工作</w:t>
            </w:r>
          </w:p>
          <w:p w14:paraId="6E2F45EC">
            <w:pPr>
              <w:widowControl/>
              <w:adjustRightInd w:val="0"/>
              <w:ind w:firstLine="48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寻甸县塘子镇钟灵村委会令友采石场开采方式为露天开采，采矿过后遗留的露采场地严重破坏了山区的自然地貌、景观和生态环境，还改变了原有的地形地貌，对周围景观造成了极大的影响。目前，寻甸县塘子镇钟灵村委会令友采石场</w:t>
            </w:r>
            <w:r>
              <w:rPr>
                <w:rFonts w:hint="eastAsia" w:ascii="宋体" w:hAnsi="宋体"/>
                <w:color w:val="000000" w:themeColor="text1"/>
                <w:spacing w:val="20"/>
                <w:kern w:val="0"/>
                <w:highlight w:val="none"/>
                <w14:textFill>
                  <w14:solidFill>
                    <w14:schemeClr w14:val="tx1"/>
                  </w14:solidFill>
                </w14:textFill>
              </w:rPr>
              <w:t>现状形成1</w:t>
            </w:r>
            <w:r>
              <w:rPr>
                <w:rFonts w:hint="eastAsia" w:ascii="宋体" w:hAnsi="宋体"/>
                <w:color w:val="000000" w:themeColor="text1"/>
                <w:kern w:val="0"/>
                <w:highlight w:val="none"/>
                <w14:textFill>
                  <w14:solidFill>
                    <w14:schemeClr w14:val="tx1"/>
                  </w14:solidFill>
                </w14:textFill>
              </w:rPr>
              <w:t>个露天采场。</w:t>
            </w:r>
            <w:r>
              <w:rPr>
                <w:rFonts w:hint="eastAsia" w:hAnsi="宋体"/>
                <w:color w:val="000000" w:themeColor="text1"/>
                <w:kern w:val="0"/>
                <w:highlight w:val="none"/>
                <w14:textFill>
                  <w14:solidFill>
                    <w14:schemeClr w14:val="tx1"/>
                  </w14:solidFill>
                </w14:textFill>
              </w:rPr>
              <w:t>采场长约412m，宽约200m，面积6.3132hm</w:t>
            </w:r>
            <w:r>
              <w:rPr>
                <w:rFonts w:hint="eastAsia" w:hAnsi="宋体"/>
                <w:color w:val="000000" w:themeColor="text1"/>
                <w:kern w:val="0"/>
                <w:highlight w:val="none"/>
                <w:vertAlign w:val="superscript"/>
                <w14:textFill>
                  <w14:solidFill>
                    <w14:schemeClr w14:val="tx1"/>
                  </w14:solidFill>
                </w14:textFill>
              </w:rPr>
              <w:t>2</w:t>
            </w:r>
            <w:r>
              <w:rPr>
                <w:rFonts w:hint="eastAsia" w:hAnsi="宋体"/>
                <w:color w:val="000000" w:themeColor="text1"/>
                <w:kern w:val="0"/>
                <w:highlight w:val="none"/>
                <w14:textFill>
                  <w14:solidFill>
                    <w14:schemeClr w14:val="tx1"/>
                  </w14:solidFill>
                </w14:textFill>
              </w:rPr>
              <w:t>，现状呈不规则形态，分布方向近南北向。矿山以往未严格按开发利用方案设计开采，未形成规范台阶，</w:t>
            </w:r>
            <w:r>
              <w:rPr>
                <w:rFonts w:hAnsi="宋体"/>
                <w:color w:val="000000" w:themeColor="text1"/>
                <w:kern w:val="0"/>
                <w:highlight w:val="none"/>
                <w14:textFill>
                  <w14:solidFill>
                    <w14:schemeClr w14:val="tx1"/>
                  </w14:solidFill>
                </w14:textFill>
              </w:rPr>
              <w:t>采场</w:t>
            </w:r>
            <w:r>
              <w:rPr>
                <w:rFonts w:hint="eastAsia" w:hAnsi="宋体" w:cs="仿宋"/>
                <w:color w:val="000000" w:themeColor="text1"/>
                <w:highlight w:val="none"/>
                <w14:textFill>
                  <w14:solidFill>
                    <w14:schemeClr w14:val="tx1"/>
                  </w14:solidFill>
                </w14:textFill>
              </w:rPr>
              <w:t>形成北侧、</w:t>
            </w:r>
            <w:r>
              <w:rPr>
                <w:rFonts w:hint="eastAsia" w:cs="仿宋" w:asciiTheme="minorEastAsia" w:hAnsiTheme="minorEastAsia" w:eastAsiaTheme="minorEastAsia"/>
                <w:color w:val="000000" w:themeColor="text1"/>
                <w:highlight w:val="none"/>
                <w14:textFill>
                  <w14:solidFill>
                    <w14:schemeClr w14:val="tx1"/>
                  </w14:solidFill>
                </w14:textFill>
              </w:rPr>
              <w:t>西侧、东侧三面高陡岩质边坡</w:t>
            </w:r>
            <w:r>
              <w:rPr>
                <w:rFonts w:hint="eastAsia" w:asciiTheme="minorEastAsia" w:hAnsiTheme="minorEastAsia" w:eastAsiaTheme="minorEastAsia"/>
                <w:color w:val="000000" w:themeColor="text1"/>
                <w:kern w:val="0"/>
                <w:highlight w:val="none"/>
                <w14:textFill>
                  <w14:solidFill>
                    <w14:schemeClr w14:val="tx1"/>
                  </w14:solidFill>
                </w14:textFill>
              </w:rPr>
              <w:t>。采场最高点位于露天采场北侧，标高2100m，最低标高位于采坑底部西北侧位置，标高2044.05m，相对高差55.95m。</w:t>
            </w:r>
            <w:r>
              <w:rPr>
                <w:rFonts w:hint="eastAsia" w:cs="宋体" w:asciiTheme="minorEastAsia" w:hAnsiTheme="minorEastAsia" w:eastAsiaTheme="minorEastAsia"/>
                <w:color w:val="000000" w:themeColor="text1"/>
                <w:highlight w:val="none"/>
                <w14:textFill>
                  <w14:solidFill>
                    <w14:schemeClr w14:val="tx1"/>
                  </w14:solidFill>
                </w14:textFill>
              </w:rPr>
              <w:t>采石场矿坑西面边坡，坡顶高程2075.8m，坡脚高程2044.0m，高度约31.0m，坡面倾向79°，总体边坡角65°。采石场矿坑北侧边坡，坡顶高程2108m，坡脚高程2045m，高度约63m，坡面倾向238°，总体边坡角约42°。该段边坡分为上段和下段，下段坡角约为37°，高约15m，上段坡角约为59°，高约</w:t>
            </w:r>
            <w:r>
              <w:rPr>
                <w:rFonts w:hint="eastAsia" w:ascii="宋体" w:hAnsi="宋体" w:eastAsia="宋体" w:cs="宋体"/>
                <w:color w:val="000000" w:themeColor="text1"/>
                <w:highlight w:val="none"/>
                <w14:textFill>
                  <w14:solidFill>
                    <w14:schemeClr w14:val="tx1"/>
                  </w14:solidFill>
                </w14:textFill>
              </w:rPr>
              <w:t>40m。采石场矿坑东侧边坡，坡顶高程2102m，坡脚高程2049m，高度约53m，坡面倾向247°，总体边坡角约23°。</w:t>
            </w:r>
          </w:p>
          <w:p w14:paraId="08B6A74B">
            <w:pPr>
              <w:pStyle w:val="94"/>
              <w:spacing w:before="0"/>
              <w:rPr>
                <w:rFonts w:hint="eastAsia" w:ascii="宋体" w:hAnsi="宋体" w:eastAsia="宋体" w:cs="宋体"/>
                <w:color w:val="000000" w:themeColor="text1"/>
                <w:highlight w:val="none"/>
                <w14:textFill>
                  <w14:solidFill>
                    <w14:schemeClr w14:val="tx1"/>
                  </w14:solidFill>
                </w14:textFill>
              </w:rPr>
            </w:pPr>
            <w:bookmarkStart w:id="19" w:name="_Hlk200467511"/>
            <w:r>
              <w:rPr>
                <w:rFonts w:hint="eastAsia" w:ascii="宋体" w:hAnsi="宋体" w:eastAsia="宋体" w:cs="宋体"/>
                <w:color w:val="000000" w:themeColor="text1"/>
                <w:highlight w:val="none"/>
                <w14:textFill>
                  <w14:solidFill>
                    <w14:schemeClr w14:val="tx1"/>
                  </w14:solidFill>
                </w14:textFill>
              </w:rPr>
              <w:t>为了消除采矿边坡安全隐患，满足后续场区底部防渗层铺设的场地要求，需对</w:t>
            </w:r>
            <w:r>
              <w:rPr>
                <w:rFonts w:hint="eastAsia" w:ascii="宋体" w:hAnsi="宋体" w:eastAsia="宋体" w:cs="宋体"/>
                <w:color w:val="000000" w:themeColor="text1"/>
                <w:kern w:val="0"/>
                <w:highlight w:val="none"/>
                <w14:textFill>
                  <w14:solidFill>
                    <w14:schemeClr w14:val="tx1"/>
                  </w14:solidFill>
                </w14:textFill>
              </w:rPr>
              <w:t>露天采场</w:t>
            </w:r>
            <w:r>
              <w:rPr>
                <w:rFonts w:hint="eastAsia" w:ascii="宋体" w:hAnsi="宋体" w:eastAsia="宋体" w:cs="宋体"/>
                <w:color w:val="000000" w:themeColor="text1"/>
                <w:highlight w:val="none"/>
                <w14:textFill>
                  <w14:solidFill>
                    <w14:schemeClr w14:val="tx1"/>
                  </w14:solidFill>
                </w14:textFill>
              </w:rPr>
              <w:t>场地边坡进行危岩清理、边坡修整，清理过程中须做好边坡监测工作，</w:t>
            </w:r>
            <w:r>
              <w:rPr>
                <w:rFonts w:hint="eastAsia" w:ascii="宋体" w:hAnsi="宋体" w:eastAsia="宋体" w:cs="宋体"/>
                <w:bCs/>
                <w:color w:val="000000" w:themeColor="text1"/>
                <w:highlight w:val="none"/>
                <w14:textFill>
                  <w14:solidFill>
                    <w14:schemeClr w14:val="tx1"/>
                  </w14:solidFill>
                </w14:textFill>
              </w:rPr>
              <w:t>采取合理、可行、有效的保护措施，</w:t>
            </w:r>
            <w:r>
              <w:rPr>
                <w:rFonts w:hint="eastAsia" w:ascii="宋体" w:hAnsi="宋体" w:eastAsia="宋体" w:cs="宋体"/>
                <w:color w:val="000000" w:themeColor="text1"/>
                <w:highlight w:val="none"/>
                <w14:textFill>
                  <w14:solidFill>
                    <w14:schemeClr w14:val="tx1"/>
                  </w14:solidFill>
                </w14:textFill>
              </w:rPr>
              <w:t>防止边坡滑塌对施工人员和机械造成危害。</w:t>
            </w:r>
          </w:p>
          <w:p w14:paraId="01643C4A">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场地清理时清除耕植土后，</w:t>
            </w:r>
            <w:r>
              <w:rPr>
                <w:rFonts w:hint="eastAsia" w:ascii="宋体" w:hAnsi="宋体" w:eastAsia="宋体" w:cs="宋体"/>
                <w:color w:val="000000" w:themeColor="text1"/>
                <w:kern w:val="0"/>
                <w:highlight w:val="none"/>
                <w14:textFill>
                  <w14:solidFill>
                    <w14:schemeClr w14:val="tx1"/>
                  </w14:solidFill>
                </w14:textFill>
              </w:rPr>
              <w:t>令友采石场露天采场采用清理的土石料用于场地底部整平，</w:t>
            </w:r>
            <w:r>
              <w:rPr>
                <w:rFonts w:hint="eastAsia" w:ascii="宋体" w:hAnsi="宋体" w:eastAsia="宋体" w:cs="宋体"/>
                <w:bCs/>
                <w:color w:val="000000" w:themeColor="text1"/>
                <w:highlight w:val="none"/>
                <w14:textFill>
                  <w14:solidFill>
                    <w14:schemeClr w14:val="tx1"/>
                  </w14:solidFill>
                </w14:textFill>
              </w:rPr>
              <w:t>场地清理整平后边坡能够稳定满足防渗层铺设，且整平后方便后期底部防渗层锚固沟的修建，</w:t>
            </w:r>
            <w:r>
              <w:rPr>
                <w:rFonts w:hint="eastAsia" w:ascii="宋体" w:hAnsi="宋体" w:eastAsia="宋体" w:cs="宋体"/>
                <w:color w:val="000000" w:themeColor="text1"/>
                <w:kern w:val="0"/>
                <w:highlight w:val="none"/>
                <w14:textFill>
                  <w14:solidFill>
                    <w14:schemeClr w14:val="tx1"/>
                  </w14:solidFill>
                </w14:textFill>
              </w:rPr>
              <w:t>令友采石场</w:t>
            </w:r>
            <w:r>
              <w:rPr>
                <w:rFonts w:hint="eastAsia" w:ascii="宋体" w:hAnsi="宋体" w:eastAsia="宋体" w:cs="宋体"/>
                <w:bCs/>
                <w:color w:val="000000" w:themeColor="text1"/>
                <w:highlight w:val="none"/>
                <w14:textFill>
                  <w14:solidFill>
                    <w14:schemeClr w14:val="tx1"/>
                  </w14:solidFill>
                </w14:textFill>
              </w:rPr>
              <w:t>露天采场场地清理整平预估可产生约81382m</w:t>
            </w:r>
            <w:r>
              <w:rPr>
                <w:rFonts w:hint="eastAsia" w:ascii="宋体" w:hAnsi="宋体" w:eastAsia="宋体" w:cs="宋体"/>
                <w:bCs/>
                <w:color w:val="000000" w:themeColor="text1"/>
                <w:highlight w:val="none"/>
                <w:vertAlign w:val="superscript"/>
                <w14:textFill>
                  <w14:solidFill>
                    <w14:schemeClr w14:val="tx1"/>
                  </w14:solidFill>
                </w14:textFill>
              </w:rPr>
              <w:t>3</w:t>
            </w:r>
            <w:r>
              <w:rPr>
                <w:rFonts w:hint="eastAsia" w:ascii="宋体" w:hAnsi="宋体" w:eastAsia="宋体" w:cs="宋体"/>
                <w:bCs/>
                <w:color w:val="000000" w:themeColor="text1"/>
                <w:highlight w:val="none"/>
                <w14:textFill>
                  <w14:solidFill>
                    <w14:schemeClr w14:val="tx1"/>
                  </w14:solidFill>
                </w14:textFill>
              </w:rPr>
              <w:t>土石方，土石比例</w:t>
            </w:r>
            <w:r>
              <w:rPr>
                <w:rFonts w:hint="default" w:ascii="Times New Roman" w:hAnsi="Times New Roman" w:eastAsia="宋体" w:cs="Times New Roman"/>
                <w:bCs/>
                <w:color w:val="000000" w:themeColor="text1"/>
                <w:highlight w:val="none"/>
                <w14:textFill>
                  <w14:solidFill>
                    <w14:schemeClr w14:val="tx1"/>
                  </w14:solidFill>
                </w14:textFill>
              </w:rPr>
              <w:t>约7:3；场地危岩清理主要是针对边坡浮石进行清理，面积约24074㎡，预估可产生约12037m</w:t>
            </w:r>
            <w:r>
              <w:rPr>
                <w:rFonts w:hint="default" w:ascii="Times New Roman" w:hAnsi="Times New Roman" w:eastAsia="宋体" w:cs="Times New Roman"/>
                <w:bCs/>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highlight w:val="none"/>
                <w14:textFill>
                  <w14:solidFill>
                    <w14:schemeClr w14:val="tx1"/>
                  </w14:solidFill>
                </w14:textFill>
              </w:rPr>
              <w:t>石方。</w:t>
            </w:r>
          </w:p>
          <w:p w14:paraId="6E6A16FC">
            <w:pPr>
              <w:pStyle w:val="94"/>
              <w:spacing w:before="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场地清理产生的土石料用于</w:t>
            </w:r>
            <w:r>
              <w:rPr>
                <w:rFonts w:hint="default" w:ascii="Times New Roman" w:hAnsi="Times New Roman" w:eastAsia="宋体" w:cs="Times New Roman"/>
                <w:color w:val="000000" w:themeColor="text1"/>
                <w:kern w:val="0"/>
                <w:highlight w:val="none"/>
                <w14:textFill>
                  <w14:solidFill>
                    <w14:schemeClr w14:val="tx1"/>
                  </w14:solidFill>
                </w14:textFill>
              </w:rPr>
              <w:t>场地底部整平</w:t>
            </w:r>
            <w:r>
              <w:rPr>
                <w:rFonts w:hint="default" w:ascii="Times New Roman" w:hAnsi="Times New Roman" w:eastAsia="宋体" w:cs="Times New Roman"/>
                <w:bCs/>
                <w:color w:val="000000" w:themeColor="text1"/>
                <w:highlight w:val="none"/>
                <w14:textFill>
                  <w14:solidFill>
                    <w14:schemeClr w14:val="tx1"/>
                  </w14:solidFill>
                </w14:textFill>
              </w:rPr>
              <w:t>，场地底部整平成不缓于2%的顺坡，场地底坡整平后需进行压实。本工程产生的土石方均用于本工程生态修复使用，不产生外运土石方。</w:t>
            </w:r>
            <w:bookmarkEnd w:id="19"/>
          </w:p>
          <w:p w14:paraId="1176268A">
            <w:pPr>
              <w:ind w:firstLine="480"/>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highlight w:val="none"/>
                <w:lang w:eastAsia="zh-CN"/>
                <w14:textFill>
                  <w14:solidFill>
                    <w14:schemeClr w14:val="tx1"/>
                  </w14:solidFill>
                </w14:textFill>
              </w:rPr>
              <w:t>覆土植被</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重建</w:t>
            </w:r>
            <w:r>
              <w:rPr>
                <w:rFonts w:hint="default" w:ascii="Times New Roman" w:hAnsi="Times New Roman" w:eastAsia="宋体" w:cs="Times New Roman"/>
                <w:b/>
                <w:bCs/>
                <w:color w:val="000000" w:themeColor="text1"/>
                <w:highlight w:val="none"/>
                <w:lang w:eastAsia="zh-CN"/>
                <w14:textFill>
                  <w14:solidFill>
                    <w14:schemeClr w14:val="tx1"/>
                  </w14:solidFill>
                </w14:textFill>
              </w:rPr>
              <w:t>工程</w:t>
            </w:r>
          </w:p>
          <w:p w14:paraId="114537F3">
            <w:pPr>
              <w:snapToGrid w:val="0"/>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1）工程设计原则</w:t>
            </w:r>
          </w:p>
          <w:p w14:paraId="6E739EF4">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（1）依据国家法律法规，生态修复治理要充分利用可生态修复的每一寸土地、严格按复垦标准进行工程设计，最大限度的弥补因项目建设造成的土地损毁。</w:t>
            </w:r>
          </w:p>
          <w:p w14:paraId="7676097C">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（2）生态修复治理尊重当地自然规律，适应当地气象、土壤条件，促进生态修复土地生态重建。</w:t>
            </w:r>
          </w:p>
          <w:p w14:paraId="253B0C03">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（3）栽植树种的选择以当地乡土树种优先的原则，生态修复治理后土地的生态景观要与周边环境相容，需引入适宜品种。</w:t>
            </w:r>
          </w:p>
          <w:p w14:paraId="7F05D897">
            <w:pPr>
              <w:snapToGrid w:val="0"/>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2）工程设计体系</w:t>
            </w:r>
          </w:p>
          <w:p w14:paraId="61B1C831">
            <w:pPr>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确定的生态修复工程设计，以《云南省土地开发整理工程建设标准（试行）》、《矿山地质环境保护与恢复治理方案编制规范》为依据，对生态修复区损毁的土地进行工程设计，主要内容包括土壤重构工程、生物化学工程、植被恢复工程、监测管护工程等。</w:t>
            </w:r>
          </w:p>
          <w:p w14:paraId="11ED48E6">
            <w:pPr>
              <w:pStyle w:val="95"/>
              <w:spacing w:before="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立地条件</w:t>
            </w:r>
          </w:p>
          <w:p w14:paraId="607B21F4">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次生态修复拦挡坝外坝坡及周边平缓区修复为乔木林地，回填区域堆填斜坡恢复为灌木林地。乔木林地采用乔灌草结合的方式进行植被重建，灌木林地采用灌草结合的方式进行植被重建，生态修复为耕地的区域，进行覆土培肥，交由矿权人耕种。</w:t>
            </w:r>
          </w:p>
          <w:p w14:paraId="1643E40A">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通过修复区地形地貌、土壤、植被的调查，研究分析了影响林木生长发育的各项因子，依据主导因子编制了立地类型。将修复区划分为阳坡立地类型。</w:t>
            </w:r>
          </w:p>
          <w:p w14:paraId="7074F0BA">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造林技术相关规程，坡度应分别以平坡（0-5°）、缓坡（6-15°）、斜坡（16-25°）、陡坡（26-35°）、急坡（36-45°）、险坡（46°以上）划分小班，并按小班考虑海拔、坡向、土壤类型、土层厚度等立地因子，分别种植乔木、灌木，混合撒播多种优质草籽，宜林则林，宜草则草，以达到全区全面绿化修复的效果。项目位于寻甸县</w:t>
            </w:r>
            <w:bookmarkStart w:id="20" w:name="_Hlk192692950"/>
            <w:r>
              <w:rPr>
                <w:rFonts w:hint="default" w:ascii="Times New Roman" w:hAnsi="Times New Roman" w:eastAsia="宋体" w:cs="Times New Roman"/>
                <w:color w:val="000000" w:themeColor="text1"/>
                <w:highlight w:val="none"/>
                <w14:textFill>
                  <w14:solidFill>
                    <w14:schemeClr w14:val="tx1"/>
                  </w14:solidFill>
                </w14:textFill>
              </w:rPr>
              <w:t>塘子镇</w:t>
            </w:r>
            <w:bookmarkEnd w:id="20"/>
            <w:r>
              <w:rPr>
                <w:rFonts w:hint="default" w:ascii="Times New Roman" w:hAnsi="Times New Roman" w:eastAsia="宋体" w:cs="Times New Roman"/>
                <w:color w:val="000000" w:themeColor="text1"/>
                <w:kern w:val="0"/>
                <w:highlight w:val="none"/>
                <w14:textFill>
                  <w14:solidFill>
                    <w14:schemeClr w14:val="tx1"/>
                  </w14:solidFill>
                </w14:textFill>
              </w:rPr>
              <w:t>钟灵村委会</w:t>
            </w:r>
            <w:r>
              <w:rPr>
                <w:rFonts w:hint="default" w:ascii="Times New Roman" w:hAnsi="Times New Roman" w:eastAsia="宋体" w:cs="Times New Roman"/>
                <w:color w:val="000000" w:themeColor="text1"/>
                <w:highlight w:val="none"/>
                <w14:textFill>
                  <w14:solidFill>
                    <w14:schemeClr w14:val="tx1"/>
                  </w14:solidFill>
                </w14:textFill>
              </w:rPr>
              <w:t>，本次设计修复面积63132.39m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（94.7亩）。可分为1林班2小班。</w:t>
            </w:r>
          </w:p>
          <w:p w14:paraId="00B955DD">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修复区回填完成后，1小班为拦挡坝及周边斜坡区属于阳坡，坡度20°-30°，土壤为红壤土，土壤厚度60cm，土壤PH值为6.55-7.22，石砾含量1%。修复完成时地表无植被。2小班为回填区域堆填斜坡区域，坡度18°-22°，土壤为红壤土，土壤厚度为40cm阻隔支撑土层+60cm表土，土壤PH值为6.55-7.22，石砾含量1%。修复完成时地表无植被。</w:t>
            </w:r>
          </w:p>
          <w:p w14:paraId="438FB4EE">
            <w:pPr>
              <w:pStyle w:val="95"/>
              <w:spacing w:before="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植被选择</w:t>
            </w:r>
          </w:p>
          <w:p w14:paraId="7E1BAD99">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14:textFill>
                  <w14:solidFill>
                    <w14:schemeClr w14:val="tx1"/>
                  </w14:solidFill>
                </w14:textFill>
              </w:rPr>
              <w:t>①</w:t>
            </w:r>
            <w:r>
              <w:rPr>
                <w:rFonts w:hint="default" w:ascii="Times New Roman" w:hAnsi="Times New Roman" w:eastAsia="宋体" w:cs="Times New Roman"/>
                <w:color w:val="000000" w:themeColor="text1"/>
                <w:sz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14:textFill>
                  <w14:solidFill>
                    <w14:schemeClr w14:val="tx1"/>
                  </w14:solidFill>
                </w14:textFill>
              </w:rPr>
              <w:t>绿化植物选择</w:t>
            </w:r>
          </w:p>
          <w:p w14:paraId="4F88B8F8">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根据《云南主要造林树种》，本次生态修复，乔木选用圆柏、旱冬瓜，灌木选用车桑子、火棘，草种选用狗牙根、白三叶、黑麦草混播。</w:t>
            </w:r>
          </w:p>
          <w:p w14:paraId="672868E1">
            <w:pPr>
              <w:pStyle w:val="94"/>
              <w:spacing w:before="0"/>
              <w:ind w:firstLine="482"/>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）造林技术方案</w:t>
            </w:r>
          </w:p>
          <w:p w14:paraId="0ABB0A29">
            <w:pPr>
              <w:snapToGri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生态修复为乔木林地区域：采用乔灌草结合方式进行植树造林，乔木选用圆柏、旱冬瓜（种植比例1:1），初植密度树种按2500株/hm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，株行距2m×2m，穴状种植，植穴规格0.5m*0.5m*0.5m；灌木选择火棘、车桑子（种植比例1:1），种植密度2500株/hm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、株行距2m×1m，穴状种植，植穴规格0.3m*0.3m*0.3m；草本选用狗牙根、三叶草、黑麦草（撒播比例1:1:1）全面撒播，初植密度草籽按65kg/hm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计。</w:t>
            </w:r>
          </w:p>
          <w:p w14:paraId="25A36274">
            <w:pPr>
              <w:snapToGri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生态修复为其他草地区域（回填区顶部采矿陡坎区）：地貌恢复后顶部陡坎区复垦为其他草地，采用藤本植物对坡面进行绿化，藤本植物选用葛藤、爬山虎，初值密度1001株/km。</w:t>
            </w:r>
          </w:p>
          <w:p w14:paraId="21FDBEC7">
            <w:pPr>
              <w:snapToGri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工程量：</w:t>
            </w:r>
          </w:p>
          <w:p w14:paraId="584D2334">
            <w:pPr>
              <w:snapToGri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堆填斜坡区：种植灌木13516株（火棘6758株、车桑子6758株），撒播草籽2.7031hm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p>
          <w:p w14:paraId="49D65907">
            <w:pPr>
              <w:snapToGri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拦挡坝周边平缓区：种植乔木652株（旱冬瓜326株、圆柏326株），种植灌木1304株（火棘652株、车桑子652株），撒播草籽0.2607hm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p>
          <w:p w14:paraId="2830CA23">
            <w:pPr>
              <w:snapToGri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顶部采矿陡坡区：种植爬藤206株（爬山虎103株、葛藤103株）。</w:t>
            </w:r>
          </w:p>
          <w:p w14:paraId="64AA2B8C">
            <w:pPr>
              <w:pStyle w:val="94"/>
              <w:spacing w:before="0"/>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highlight w:val="none"/>
                <w14:textFill>
                  <w14:solidFill>
                    <w14:schemeClr w14:val="tx1"/>
                  </w14:solidFill>
                </w14:textFill>
              </w:rPr>
              <w:t>林地清理和整地</w:t>
            </w:r>
          </w:p>
          <w:p w14:paraId="270EE3F3">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种植点采用穴状整地，覆土用人工整平、压实。人工造林乔木（圆柏、旱冬瓜）种植坑穴为50×50×50cm，灌木（火棘、车桑子）种植坑穴为30×30×30cm，草籽为直接撒播，整地时间一般应在造林前一个月。</w:t>
            </w:r>
          </w:p>
          <w:p w14:paraId="451F8278">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①种植穴规格：乔木树穴规格均为长×宽×深（50×50×50cm）；灌木树穴规格均为长×宽×深（30×30×30cm）；</w:t>
            </w:r>
          </w:p>
          <w:p w14:paraId="2D731EB7">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②栽植时间：在各区土方工程完成后进行。</w:t>
            </w:r>
          </w:p>
          <w:p w14:paraId="53E43726">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③造林密度：</w:t>
            </w:r>
          </w:p>
          <w:p w14:paraId="34416D31">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乔木：167株/亩，株间距2m×2m。</w:t>
            </w:r>
          </w:p>
          <w:p w14:paraId="2AD1794F">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灌木：333株/亩，株间距2m×1m。</w:t>
            </w:r>
          </w:p>
          <w:p w14:paraId="3553ED36">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草种：65kg/hm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p>
          <w:p w14:paraId="42EFCD1B">
            <w:pPr>
              <w:pStyle w:val="94"/>
              <w:spacing w:before="0"/>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highlight w:val="none"/>
                <w14:textFill>
                  <w14:solidFill>
                    <w14:schemeClr w14:val="tx1"/>
                  </w14:solidFill>
                </w14:textFill>
              </w:rPr>
              <w:t>苗木要求</w:t>
            </w:r>
          </w:p>
          <w:p w14:paraId="5B760198">
            <w:pPr>
              <w:pStyle w:val="94"/>
              <w:spacing w:befor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（1）苗木规格</w:t>
            </w:r>
          </w:p>
          <w:p w14:paraId="792054F8">
            <w:pPr>
              <w:pStyle w:val="94"/>
              <w:spacing w:before="0"/>
              <w:ind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苗种是造林的物质基础，良种壮苗是提高造林成活率的重要条件。本次修复工作使用的圆柏、旱冬瓜、火棘、车桑子要求苗木应尽量采用Ⅰ级中、大苗，要求根系完整、发达、生长健壮、无病虫害、无机械损伤的优质壮苗。同时避免长距离调苗。草籽需到专业部门购进。禁止使用带有森林病虫害检疫对象的种子、苗木。</w:t>
            </w:r>
          </w:p>
          <w:p w14:paraId="4C363035">
            <w:pPr>
              <w:adjustRightInd w:val="0"/>
              <w:snapToGrid w:val="0"/>
              <w:ind w:firstLine="482"/>
              <w:rPr>
                <w:rFonts w:hint="default" w:ascii="Times New Roman" w:hAnsi="Times New Roman" w:eastAsia="宋体" w:cs="Times New Roman"/>
                <w:b/>
                <w:bCs/>
                <w:color w:val="000000" w:themeColor="text1"/>
                <w:kern w:val="0"/>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highlight w:val="none"/>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highlight w:val="none"/>
                <w:lang w:bidi="ar"/>
                <w14:textFill>
                  <w14:solidFill>
                    <w14:schemeClr w14:val="tx1"/>
                  </w14:solidFill>
                </w14:textFill>
              </w:rPr>
              <w:t>环保工程</w:t>
            </w:r>
          </w:p>
          <w:p w14:paraId="55E42E5B">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1</w:t>
            </w:r>
            <w:r>
              <w:rPr>
                <w:rFonts w:hint="default" w:ascii="Times New Roman" w:hAnsi="Times New Roman" w:eastAsia="宋体" w:cs="Times New Roman"/>
                <w:color w:val="000000" w:themeColor="text1"/>
                <w:kern w:val="0"/>
                <w:highlight w:val="none"/>
                <w:lang w:bidi="ar"/>
                <w14:textFill>
                  <w14:solidFill>
                    <w14:schemeClr w14:val="tx1"/>
                  </w14:solidFill>
                </w14:textFill>
              </w:rPr>
              <w:t>）废气</w:t>
            </w:r>
          </w:p>
          <w:p w14:paraId="2DD32F61">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项目配备一辆洒水车，对修复区施工面进行洒水降尘，运输车辆须以篷布遮盖，密闭运输，并注意控制车速。</w:t>
            </w:r>
          </w:p>
          <w:p w14:paraId="19CD594F">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2）废水</w:t>
            </w:r>
          </w:p>
          <w:p w14:paraId="75E7E098">
            <w:pPr>
              <w:adjustRightInd w:val="0"/>
              <w:snapToGrid w:val="0"/>
              <w:ind w:firstLine="480"/>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①设置1个容积为3m³的临时沉淀池，并配套车辆高压冲洗装置，位于项目区进出口处，对运输车辆进行冲洗，冲洗废水经沉淀池沉淀后回用于场地洒水降</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尘。</w:t>
            </w:r>
          </w:p>
          <w:p w14:paraId="5BA03090">
            <w:pPr>
              <w:adjustRightInd w:val="0"/>
              <w:snapToGrid w:val="0"/>
              <w:ind w:firstLine="480"/>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②在矿坑修复区新建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15.488</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m³（2.2×2.2×3.2m）的渗滤液收集井，1个</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800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m³的渗滤液收集池用来收集渗滤液</w:t>
            </w:r>
            <w:r>
              <w:rPr>
                <w:rFonts w:hint="default" w:ascii="Times New Roman" w:hAnsi="Times New Roman" w:eastAsia="宋体" w:cs="Times New Roman"/>
                <w:color w:val="000000" w:themeColor="text1"/>
                <w:kern w:val="0"/>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由于高差，渗滤液在渗滤液收集井暂存后经管道提升至</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渗滤液收集池</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中；施工期渗滤液回用于修复区绿化及洒水抑尘，管护期使用罐车拉回</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云南常青树化工有限公司</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进行处理。</w:t>
            </w:r>
            <w:r>
              <w:rPr>
                <w:rFonts w:hint="default" w:ascii="Times New Roman" w:hAnsi="Times New Roman" w:eastAsia="宋体" w:cs="Times New Roman"/>
                <w:b w:val="0"/>
                <w:bCs/>
                <w:color w:val="000000" w:themeColor="text1"/>
                <w:kern w:val="0"/>
                <w:sz w:val="24"/>
                <w:szCs w:val="24"/>
                <w:highlight w:val="none"/>
                <w:lang w:bidi="ar"/>
                <w14:textFill>
                  <w14:solidFill>
                    <w14:schemeClr w14:val="tx1"/>
                  </w14:solidFill>
                </w14:textFill>
              </w:rPr>
              <w:t>地下水收集导排水定期开展监测，</w:t>
            </w:r>
            <w:r>
              <w:rPr>
                <w:rFonts w:hint="default" w:ascii="Times New Roman" w:hAnsi="Times New Roman" w:eastAsia="宋体" w:cs="Times New Roman"/>
                <w:b w:val="0"/>
                <w:bCs/>
                <w:color w:val="000000" w:themeColor="text1"/>
                <w:kern w:val="0"/>
                <w:sz w:val="24"/>
                <w:szCs w:val="24"/>
                <w:highlight w:val="none"/>
                <w:lang w:val="en-US" w:eastAsia="zh-CN" w:bidi="ar"/>
                <w14:textFill>
                  <w14:solidFill>
                    <w14:schemeClr w14:val="tx1"/>
                  </w14:solidFill>
                </w14:textFill>
              </w:rPr>
              <w:t>执行</w:t>
            </w:r>
            <w:r>
              <w:rPr>
                <w:rFonts w:hint="default" w:ascii="Times New Roman" w:hAnsi="Times New Roman" w:eastAsia="宋体" w:cs="Times New Roman"/>
                <w:b w:val="0"/>
                <w:bCs/>
                <w:color w:val="000000" w:themeColor="text1"/>
                <w:kern w:val="0"/>
                <w:sz w:val="24"/>
                <w:szCs w:val="24"/>
                <w:highlight w:val="none"/>
                <w:lang w:bidi="ar"/>
                <w14:textFill>
                  <w14:solidFill>
                    <w14:schemeClr w14:val="tx1"/>
                  </w14:solidFill>
                </w14:textFill>
              </w:rPr>
              <w:t>《农田灌溉水质标准》（GB5084—2021）中表1、表2旱地作物限值，达标的可回用于修复区绿化浇灌；不达标的拉运回云南常青树化工有限公司、中化云龙有限公司回用，禁止外排</w:t>
            </w:r>
            <w:r>
              <w:rPr>
                <w:rFonts w:hint="default" w:ascii="Times New Roman" w:hAnsi="Times New Roman" w:eastAsia="宋体" w:cs="Times New Roman"/>
                <w:b w:val="0"/>
                <w:bCs/>
                <w:color w:val="000000" w:themeColor="text1"/>
                <w:kern w:val="0"/>
                <w:sz w:val="24"/>
                <w:szCs w:val="24"/>
                <w:highlight w:val="none"/>
                <w:lang w:eastAsia="zh-CN" w:bidi="ar"/>
                <w14:textFill>
                  <w14:solidFill>
                    <w14:schemeClr w14:val="tx1"/>
                  </w14:solidFill>
                </w14:textFill>
              </w:rPr>
              <w:t>。</w:t>
            </w:r>
          </w:p>
          <w:p w14:paraId="2B73DC34">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3）噪声</w:t>
            </w:r>
          </w:p>
          <w:p w14:paraId="16D39335">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选用低噪设备、合理布局、合理施工、加强设备维护。</w:t>
            </w:r>
          </w:p>
          <w:p w14:paraId="4DC30356">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4）固体废物</w:t>
            </w:r>
          </w:p>
          <w:p w14:paraId="4D63E517">
            <w:pPr>
              <w:adjustRightInd w:val="0"/>
              <w:snapToGrid w:val="0"/>
              <w:ind w:firstLine="480"/>
              <w:rPr>
                <w:rFonts w:hint="default" w:ascii="Times New Roman" w:hAnsi="Times New Roman" w:eastAsia="宋体" w:cs="Times New Roman"/>
                <w:color w:val="000000" w:themeColor="text1"/>
                <w:kern w:val="0"/>
                <w:highlight w:val="none"/>
                <w:lang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①生活垃圾：施工期生活垃圾集中收集后清运至就近村庄生活垃圾收集点堆存，由环卫部门清运处置。</w:t>
            </w:r>
          </w:p>
          <w:p w14:paraId="08DB03E7">
            <w:pPr>
              <w:adjustRightInd w:val="0"/>
              <w:snapToGrid w:val="0"/>
              <w:ind w:firstLine="480"/>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②旱厕粪便：旱厕粪便</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定期清掏肥田。</w:t>
            </w:r>
          </w:p>
          <w:p w14:paraId="39E4778B">
            <w:pPr>
              <w:adjustRightInd w:val="0"/>
              <w:snapToGrid w:val="0"/>
              <w:ind w:firstLine="480"/>
              <w:rPr>
                <w:rFonts w:hint="default" w:ascii="Times New Roman" w:hAnsi="Times New Roman" w:eastAsia="宋体" w:cs="Times New Roman"/>
                <w:color w:val="000000" w:themeColor="text1"/>
                <w:kern w:val="0"/>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③场地清理土石方及拆除构筑物固体废物：施工期场地清理及边坡整治产生的土石方用于场地平整回填</w:t>
            </w:r>
            <w:r>
              <w:rPr>
                <w:rFonts w:hint="default" w:ascii="Times New Roman" w:hAnsi="Times New Roman" w:eastAsia="宋体" w:cs="Times New Roman"/>
                <w:color w:val="000000" w:themeColor="text1"/>
                <w:kern w:val="0"/>
                <w:highlight w:val="none"/>
                <w:lang w:eastAsia="zh-CN" w:bidi="ar"/>
                <w14:textFill>
                  <w14:solidFill>
                    <w14:schemeClr w14:val="tx1"/>
                  </w14:solidFill>
                </w14:textFill>
              </w:rPr>
              <w:t>。</w:t>
            </w:r>
          </w:p>
          <w:p w14:paraId="0CCAE60B">
            <w:pPr>
              <w:adjustRightInd w:val="0"/>
              <w:snapToGrid w:val="0"/>
              <w:ind w:firstLine="482"/>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highlight w:val="none"/>
                <w14:textFill>
                  <w14:solidFill>
                    <w14:schemeClr w14:val="tx1"/>
                  </w14:solidFill>
                </w14:textFill>
              </w:rPr>
              <w:t>项目区防渗及地下水监测工程</w:t>
            </w:r>
          </w:p>
          <w:p w14:paraId="52D7CD8F">
            <w:pPr>
              <w:snapToGrid w:val="0"/>
              <w:spacing w:line="360" w:lineRule="auto"/>
              <w:ind w:right="-1"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根据区内项目分布及生态修复实施情况，确定项目重点监测堆填体边坡稳定情况监测。根据矿山主要工程设施、存在的主要地质环境问题及治理工程的分布情况，共设置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highlight w:val="none"/>
                <w14:textFill>
                  <w14:solidFill>
                    <w14:schemeClr w14:val="tx1"/>
                  </w14:solidFill>
                </w14:textFill>
              </w:rPr>
              <w:t>个堆填体边坡变形监测点，</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kern w:val="0"/>
                <w:sz w:val="24"/>
                <w:highlight w:val="none"/>
                <w14:textFill>
                  <w14:solidFill>
                    <w14:schemeClr w14:val="tx1"/>
                  </w14:solidFill>
                </w14:textFill>
              </w:rPr>
              <w:t>个位移监测基准点。</w:t>
            </w:r>
          </w:p>
          <w:p w14:paraId="0D63C164">
            <w:pPr>
              <w:snapToGrid w:val="0"/>
              <w:ind w:right="-1" w:firstLine="480"/>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边坡稳定性监测点：寻甸县塘子镇令友采石场布置于堆填体边坡标高2081m和坝顶标高2072m共8个，监测堆填体边坡稳定性情况。位移监测基准点布置于场地周边稳固处，作为位移变形监测的基准点。</w:t>
            </w:r>
          </w:p>
          <w:p w14:paraId="3571AD34">
            <w:pPr>
              <w:adjustRightInd w:val="0"/>
              <w:snapToGrid w:val="0"/>
              <w:ind w:firstLine="482"/>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kern w:val="0"/>
                <w:highlight w:val="none"/>
                <w14:textFill>
                  <w14:solidFill>
                    <w14:schemeClr w14:val="tx1"/>
                  </w14:solidFill>
                </w14:textFill>
              </w:rPr>
              <w:t>地下水监控工程</w:t>
            </w:r>
          </w:p>
          <w:p w14:paraId="5BBE791C">
            <w:pPr>
              <w:snapToGrid w:val="0"/>
              <w:spacing w:line="360" w:lineRule="auto"/>
              <w:ind w:right="-1"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建立回填区地下水环境监控体系，包括建立地下水污染监控制度和环境管理体系，以便及时发现问题，及时采取预防措施。根据《改性磷石膏用于矿山废弃地生态修复回填技术规范》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（DB53T/1269-2024）</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kern w:val="0"/>
                <w:sz w:val="24"/>
                <w:highlight w:val="none"/>
                <w14:textFill>
                  <w14:solidFill>
                    <w14:schemeClr w14:val="tx1"/>
                  </w14:solidFill>
                </w14:textFill>
              </w:rPr>
              <w:t>要求，结合项目实际水文地质调查情况，项目设置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highlight w:val="none"/>
                <w14:textFill>
                  <w14:solidFill>
                    <w14:schemeClr w14:val="tx1"/>
                  </w14:solidFill>
                </w14:textFill>
              </w:rPr>
              <w:t>个</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跟踪监控井</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1口地下水收集井</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0CA40B86">
            <w:pPr>
              <w:snapToGrid w:val="0"/>
              <w:spacing w:line="360" w:lineRule="auto"/>
              <w:ind w:right="-1"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1、定期对渗滤液进行监测，记录水质情况，直到连续2年不超出地下水本底水平。</w:t>
            </w:r>
          </w:p>
          <w:p w14:paraId="1365B069">
            <w:pPr>
              <w:snapToGrid w:val="0"/>
              <w:spacing w:line="360" w:lineRule="auto"/>
              <w:ind w:right="-1"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w:t>
            </w:r>
            <w:r>
              <w:rPr>
                <w:rFonts w:hint="default" w:ascii="Times New Roman" w:hAnsi="Times New Roman" w:eastAsia="宋体" w:cs="Times New Roman"/>
                <w:color w:val="000000" w:themeColor="text1"/>
                <w:kern w:val="0"/>
                <w:highlight w:val="none"/>
                <w14:textFill>
                  <w14:solidFill>
                    <w14:schemeClr w14:val="tx1"/>
                  </w14:solidFill>
                </w14:textFill>
              </w:rPr>
              <w:t>项目共设置</w:t>
            </w: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14:textFill>
                  <w14:solidFill>
                    <w14:schemeClr w14:val="tx1"/>
                  </w14:solidFill>
                </w14:textFill>
              </w:rPr>
              <w:t>个地下水水质监测井，分别位于矿坑上游、两侧和下游位置，</w:t>
            </w:r>
            <w:r>
              <w:rPr>
                <w:rFonts w:hint="default" w:ascii="Times New Roman" w:hAnsi="Times New Roman" w:eastAsia="宋体" w:cs="Times New Roman"/>
                <w:color w:val="000000" w:themeColor="text1"/>
                <w:highlight w:val="none"/>
                <w:lang w:val="en-US" w:eastAsia="zh-CN"/>
                <w14:textFill>
                  <w14:solidFill>
                    <w14:schemeClr w14:val="tx1"/>
                  </w14:solidFill>
                </w14:textFill>
              </w:rPr>
              <w:t>以及八角洞村，</w:t>
            </w:r>
            <w:r>
              <w:rPr>
                <w:rFonts w:hint="default" w:ascii="Times New Roman" w:hAnsi="Times New Roman" w:eastAsia="宋体" w:cs="Times New Roman"/>
                <w:color w:val="000000" w:themeColor="text1"/>
                <w:highlight w:val="none"/>
                <w14:textFill>
                  <w14:solidFill>
                    <w14:schemeClr w14:val="tx1"/>
                  </w14:solidFill>
                </w14:textFill>
              </w:rPr>
              <w:t>其中上游布设1个水质监测井，</w:t>
            </w:r>
            <w:r>
              <w:rPr>
                <w:rFonts w:hint="default" w:ascii="Times New Roman" w:hAnsi="Times New Roman" w:eastAsia="宋体" w:cs="Times New Roman"/>
                <w:color w:val="000000" w:themeColor="text1"/>
                <w:highlight w:val="none"/>
                <w:lang w:val="en-US" w:eastAsia="zh-CN"/>
                <w14:textFill>
                  <w14:solidFill>
                    <w14:schemeClr w14:val="tx1"/>
                  </w14:solidFill>
                </w14:textFill>
              </w:rPr>
              <w:t>矿坑周边共</w:t>
            </w:r>
            <w:r>
              <w:rPr>
                <w:rFonts w:hint="default" w:ascii="Times New Roman" w:hAnsi="Times New Roman" w:eastAsia="宋体" w:cs="Times New Roman"/>
                <w:color w:val="000000" w:themeColor="text1"/>
                <w:highlight w:val="none"/>
                <w14:textFill>
                  <w14:solidFill>
                    <w14:schemeClr w14:val="tx1"/>
                  </w14:solidFill>
                </w14:textFill>
              </w:rPr>
              <w:t>布设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个水质监测井，代表矿坑测游污染扩散井，下游布设</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个水质监测井</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八角洞村设置1口水质监控井</w:t>
            </w:r>
            <w:r>
              <w:rPr>
                <w:rFonts w:hint="default" w:ascii="Times New Roman" w:hAnsi="Times New Roman" w:eastAsia="宋体" w:cs="Times New Roman"/>
                <w:color w:val="000000" w:themeColor="text1"/>
                <w:kern w:val="0"/>
                <w:highlight w:val="none"/>
                <w14:textFill>
                  <w14:solidFill>
                    <w14:schemeClr w14:val="tx1"/>
                  </w14:solidFill>
                </w14:textFill>
              </w:rPr>
              <w:t>。生态修复覆土绿化完成后，监测频次至少每半年1次，直到地下水水质连续2年</w:t>
            </w:r>
            <w:bookmarkStart w:id="21" w:name="_Hlk201047161"/>
            <w:r>
              <w:rPr>
                <w:rFonts w:hint="default" w:ascii="Times New Roman" w:hAnsi="Times New Roman" w:eastAsia="宋体" w:cs="Times New Roman"/>
                <w:color w:val="000000" w:themeColor="text1"/>
                <w:kern w:val="0"/>
                <w:highlight w:val="none"/>
                <w14:textFill>
                  <w14:solidFill>
                    <w14:schemeClr w14:val="tx1"/>
                  </w14:solidFill>
                </w14:textFill>
              </w:rPr>
              <w:t>不超出地下水本底水平。</w:t>
            </w:r>
            <w:bookmarkEnd w:id="21"/>
          </w:p>
          <w:p w14:paraId="5D798BEF">
            <w:pPr>
              <w:snapToGrid w:val="0"/>
              <w:spacing w:line="360" w:lineRule="auto"/>
              <w:ind w:right="-1" w:firstLine="480" w:firstLineChars="200"/>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在采石场设置1口地下水收集井，通过检测结果判断是否发生</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因防渗衬层破损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导致渗漏问题</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发生的情况</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水收集导排水定期水开展监测，按《农田灌溉水质标准》（GB5084—2021）中表1、表2旱地作物限值，达标的可回用于修复区绿化浇灌；不达标的拉运回云南常青树化工有限公司、中化云龙有限公司回用，禁止外排</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p>
          <w:p w14:paraId="59545C06">
            <w:pPr>
              <w:snapToGrid w:val="0"/>
              <w:spacing w:line="360" w:lineRule="auto"/>
              <w:ind w:right="-1" w:firstLine="480" w:firstLineChars="200"/>
              <w:rPr>
                <w:rFonts w:ascii="宋体" w:hAnsi="宋体"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color w:val="000000" w:themeColor="text1"/>
                <w:kern w:val="0"/>
                <w:sz w:val="24"/>
                <w:szCs w:val="24"/>
                <w:highlight w:val="none"/>
                <w14:textFill>
                  <w14:solidFill>
                    <w14:schemeClr w14:val="tx1"/>
                  </w14:solidFill>
                </w14:textFill>
              </w:rPr>
              <w:t>通过地下水监控井和生态修复回填场防渗膜底部地下水导排管对地下水和防渗效果进行监控，防止地下水污染，监测资料存档，便于长时间观测生态修复区下游水质变化情况，一旦发现监控井中水质出现异常，及时上报主管部门。</w:t>
            </w:r>
          </w:p>
          <w:p w14:paraId="3D2A0967">
            <w:pPr>
              <w:keepNext w:val="0"/>
              <w:keepLines w:val="0"/>
              <w:pageBreakBefore w:val="0"/>
              <w:widowControl w:val="0"/>
              <w:kinsoku/>
              <w:wordWrap/>
              <w:overflowPunct/>
              <w:topLinePunct w:val="0"/>
              <w:autoSpaceDE/>
              <w:autoSpaceDN/>
              <w:bidi w:val="0"/>
              <w:adjustRightInd/>
              <w:snapToGrid w:val="0"/>
              <w:spacing w:line="240" w:lineRule="auto"/>
              <w:ind w:right="0" w:firstLine="482" w:firstLineChars="200"/>
              <w:jc w:val="center"/>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表</w:t>
            </w:r>
            <w:r>
              <w:rPr>
                <w:rFonts w:hint="eastAsia" w:cs="Times New Roman"/>
                <w:b/>
                <w:bCs/>
                <w:color w:val="000000" w:themeColor="text1"/>
                <w:kern w:val="0"/>
                <w:sz w:val="24"/>
                <w:highlight w:val="none"/>
                <w:lang w:val="en-US" w:eastAsia="zh-CN"/>
                <w14:textFill>
                  <w14:solidFill>
                    <w14:schemeClr w14:val="tx1"/>
                  </w14:solidFill>
                </w14:textFill>
              </w:rPr>
              <w:t>2-9</w:t>
            </w:r>
            <w:r>
              <w:rPr>
                <w:rFonts w:hint="default" w:ascii="Times New Roman" w:hAnsi="Times New Roman" w:cs="Times New Roman"/>
                <w:b/>
                <w:bCs/>
                <w:color w:val="000000" w:themeColor="text1"/>
                <w:kern w:val="0"/>
                <w:sz w:val="24"/>
                <w:highlight w:val="none"/>
                <w14:textFill>
                  <w14:solidFill>
                    <w14:schemeClr w14:val="tx1"/>
                  </w14:solidFill>
                </w14:textFill>
              </w:rPr>
              <w:t xml:space="preserve">  地下水跟踪监测井建设要求</w:t>
            </w:r>
          </w:p>
          <w:tbl>
            <w:tblPr>
              <w:tblStyle w:val="40"/>
              <w:tblW w:w="50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7"/>
              <w:gridCol w:w="2970"/>
            </w:tblGrid>
            <w:tr w14:paraId="2BE7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049" w:type="dxa"/>
                  <w:shd w:val="clear" w:color="auto" w:fill="auto"/>
                  <w:vAlign w:val="center"/>
                </w:tcPr>
                <w:p w14:paraId="09CAEC2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宋体" w:hAnsi="宋体"/>
                      <w:b/>
                      <w:bCs/>
                      <w:color w:val="000000" w:themeColor="text1"/>
                      <w:kern w:val="0"/>
                      <w:sz w:val="21"/>
                      <w:szCs w:val="21"/>
                      <w:highlight w:val="none"/>
                      <w14:textFill>
                        <w14:solidFill>
                          <w14:schemeClr w14:val="tx1"/>
                        </w14:solidFill>
                      </w14:textFill>
                    </w:rPr>
                  </w:pPr>
                  <w:r>
                    <w:rPr>
                      <w:rFonts w:ascii="宋体" w:hAnsi="宋体"/>
                      <w:b/>
                      <w:bCs/>
                      <w:color w:val="000000" w:themeColor="text1"/>
                      <w:kern w:val="0"/>
                      <w:sz w:val="21"/>
                      <w:szCs w:val="21"/>
                      <w:highlight w:val="none"/>
                      <w14:textFill>
                        <w14:solidFill>
                          <w14:schemeClr w14:val="tx1"/>
                        </w14:solidFill>
                      </w14:textFill>
                    </w:rPr>
                    <w:t>建井要求</w:t>
                  </w:r>
                </w:p>
              </w:tc>
              <w:tc>
                <w:tcPr>
                  <w:tcW w:w="3281" w:type="dxa"/>
                  <w:shd w:val="clear" w:color="auto" w:fill="auto"/>
                  <w:vAlign w:val="center"/>
                </w:tcPr>
                <w:p w14:paraId="62DAB2C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宋体" w:hAnsi="宋体"/>
                      <w:b/>
                      <w:bCs/>
                      <w:color w:val="000000" w:themeColor="text1"/>
                      <w:kern w:val="0"/>
                      <w:sz w:val="21"/>
                      <w:szCs w:val="21"/>
                      <w:highlight w:val="none"/>
                      <w14:textFill>
                        <w14:solidFill>
                          <w14:schemeClr w14:val="tx1"/>
                        </w14:solidFill>
                      </w14:textFill>
                    </w:rPr>
                  </w:pPr>
                  <w:r>
                    <w:rPr>
                      <w:rFonts w:ascii="宋体" w:hAnsi="宋体"/>
                      <w:b/>
                      <w:bCs/>
                      <w:color w:val="000000" w:themeColor="text1"/>
                      <w:kern w:val="0"/>
                      <w:sz w:val="21"/>
                      <w:szCs w:val="21"/>
                      <w:highlight w:val="none"/>
                      <w14:textFill>
                        <w14:solidFill>
                          <w14:schemeClr w14:val="tx1"/>
                        </w14:solidFill>
                      </w14:textFill>
                    </w:rPr>
                    <w:t>监测井设置参考</w:t>
                  </w:r>
                </w:p>
              </w:tc>
            </w:tr>
            <w:tr w14:paraId="32EC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6049" w:type="dxa"/>
                  <w:shd w:val="clear" w:color="auto" w:fill="auto"/>
                  <w:vAlign w:val="center"/>
                </w:tcPr>
                <w:p w14:paraId="0219506D">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①监测井井管使用PVC管材（纯PVC无其他添加成分，厚度为4～6mm）。</w:t>
                  </w:r>
                </w:p>
                <w:p w14:paraId="7E664E6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②监测井管应采用螺纹接口，不得使用任何粘接剂。滤水管段应使用120目钢丝网包缠，采用封口条固定。</w:t>
                  </w:r>
                </w:p>
                <w:p w14:paraId="71B2FBA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③井口保护套管应为不锈钢材质。</w:t>
                  </w:r>
                </w:p>
                <w:p w14:paraId="144F16A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④监测井过滤材料采用分级（均匀系数在1.5～2.0之间）石英砂作为过滤层滤料。过滤材料使用前应进行冲洗，在钻井场地存储时应确保不与污染物接触并防止外部杂质混入。</w:t>
                  </w:r>
                </w:p>
                <w:p w14:paraId="7118EEA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ascii="宋体" w:hAnsi="宋体"/>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⑤过滤层上下部环状间隙应用止水材料进行封隔，为膨润土和水泥。</w:t>
                  </w:r>
                </w:p>
              </w:tc>
              <w:tc>
                <w:tcPr>
                  <w:tcW w:w="3281" w:type="dxa"/>
                  <w:shd w:val="clear" w:color="auto" w:fill="auto"/>
                  <w:vAlign w:val="center"/>
                </w:tcPr>
                <w:p w14:paraId="5C7D705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ascii="宋体" w:hAnsi="宋体"/>
                      <w:color w:val="000000" w:themeColor="text1"/>
                      <w:kern w:val="0"/>
                      <w:sz w:val="21"/>
                      <w:szCs w:val="21"/>
                      <w:highlight w:val="none"/>
                      <w14:textFill>
                        <w14:solidFill>
                          <w14:schemeClr w14:val="tx1"/>
                        </w14:solidFill>
                      </w14:textFill>
                    </w:rPr>
                  </w:pPr>
                  <w:r>
                    <w:rPr>
                      <w:rFonts w:ascii="宋体" w:hAnsi="宋体"/>
                      <w:color w:val="000000" w:themeColor="text1"/>
                      <w:kern w:val="0"/>
                      <w:sz w:val="21"/>
                      <w:szCs w:val="21"/>
                      <w:highlight w:val="none"/>
                      <w14:textFill>
                        <w14:solidFill>
                          <w14:schemeClr w14:val="tx1"/>
                        </w14:solidFill>
                      </w14:textFill>
                    </w:rPr>
                    <w:drawing>
                      <wp:inline distT="0" distB="0" distL="114300" distR="114300">
                        <wp:extent cx="1543050" cy="2085975"/>
                        <wp:effectExtent l="0" t="0" r="0"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5"/>
                                <a:stretch>
                                  <a:fillRect/>
                                </a:stretch>
                              </pic:blipFill>
                              <pic:spPr>
                                <a:xfrm>
                                  <a:off x="0" y="0"/>
                                  <a:ext cx="1543050" cy="2085975"/>
                                </a:xfrm>
                                <a:prstGeom prst="rect">
                                  <a:avLst/>
                                </a:prstGeom>
                                <a:noFill/>
                                <a:ln>
                                  <a:noFill/>
                                </a:ln>
                              </pic:spPr>
                            </pic:pic>
                          </a:graphicData>
                        </a:graphic>
                      </wp:inline>
                    </w:drawing>
                  </w:r>
                </w:p>
              </w:tc>
            </w:tr>
          </w:tbl>
          <w:p w14:paraId="76FD4BFC">
            <w:pPr>
              <w:adjustRightInd w:val="0"/>
              <w:snapToGrid w:val="0"/>
              <w:ind w:left="0" w:leftChars="0" w:firstLine="0" w:firstLineChars="0"/>
              <w:jc w:val="both"/>
              <w:rPr>
                <w:b/>
                <w:bCs/>
                <w:color w:val="000000" w:themeColor="text1"/>
                <w:kern w:val="0"/>
                <w:highlight w:val="none"/>
                <w:lang w:bidi="ar"/>
                <w14:textFill>
                  <w14:solidFill>
                    <w14:schemeClr w14:val="tx1"/>
                  </w14:solidFill>
                </w14:textFill>
              </w:rPr>
            </w:pPr>
            <w:r>
              <w:rPr>
                <w:rFonts w:hint="eastAsia"/>
                <w:b/>
                <w:bCs/>
                <w:color w:val="000000" w:themeColor="text1"/>
                <w:kern w:val="0"/>
                <w:highlight w:val="none"/>
                <w:lang w:val="en-US" w:eastAsia="zh-CN" w:bidi="ar"/>
                <w14:textFill>
                  <w14:solidFill>
                    <w14:schemeClr w14:val="tx1"/>
                  </w14:solidFill>
                </w14:textFill>
              </w:rPr>
              <w:t>10、</w:t>
            </w:r>
            <w:r>
              <w:rPr>
                <w:b/>
                <w:bCs/>
                <w:color w:val="000000" w:themeColor="text1"/>
                <w:kern w:val="0"/>
                <w:highlight w:val="none"/>
                <w:lang w:bidi="ar"/>
                <w14:textFill>
                  <w14:solidFill>
                    <w14:schemeClr w14:val="tx1"/>
                  </w14:solidFill>
                </w14:textFill>
              </w:rPr>
              <w:t>回填材料相关情况</w:t>
            </w:r>
          </w:p>
          <w:p w14:paraId="4AC9D682">
            <w:pPr>
              <w:ind w:firstLine="48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1</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回填料来源</w:t>
            </w:r>
          </w:p>
          <w:p w14:paraId="562A2BA7">
            <w:pPr>
              <w:ind w:firstLine="48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根据项目实施方案，矿坑</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磷石膏</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回填量为</w:t>
            </w:r>
            <w:r>
              <w:rPr>
                <w:rFonts w:hint="eastAsia" w:cs="Times New Roman"/>
                <w:color w:val="000000" w:themeColor="text1"/>
                <w:kern w:val="0"/>
                <w:sz w:val="24"/>
                <w:szCs w:val="24"/>
                <w:highlight w:val="none"/>
                <w:lang w:val="en-US" w:eastAsia="zh-CN"/>
                <w14:textFill>
                  <w14:solidFill>
                    <w14:schemeClr w14:val="tx1"/>
                  </w14:solidFill>
                </w14:textFill>
              </w:rPr>
              <w:t>150</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万吨，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在接纳云南常青树化工有限公司磷石膏渣场库存量约100万吨左右改性后达标的磷石膏后，库容有剩余。为了缓解本县域内磷石膏综合利用率不足的压力、充分利用该矿坑资源、力争修复效果更加完善，剩余库容可以接纳县域内</w:t>
            </w:r>
            <w:r>
              <w:rPr>
                <w:rFonts w:hint="eastAsia" w:ascii="Times New Roman" w:hAnsi="Times New Roman" w:eastAsia="宋体"/>
                <w:color w:val="000000" w:themeColor="text1"/>
                <w:sz w:val="24"/>
                <w:szCs w:val="24"/>
                <w:highlight w:val="none"/>
                <w:lang w:eastAsia="zh-CN"/>
                <w14:textFill>
                  <w14:solidFill>
                    <w14:schemeClr w14:val="tx1"/>
                  </w14:solidFill>
                </w14:textFill>
              </w:rPr>
              <w:t>中化云龙有限公司</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经改性后生产合格的磷石膏作为修复材料进行填埋。改性后的磷石膏必须满足《一般工业固体废物贮存和填埋污染控制标准》（GB18599-2020）规定的第I类一般工业固体废物要求和《改性磷石膏用于矿山废弃地生态修复回填技术规范》（DB53/T1269-2024）</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要求方可入厂进行生态修复。</w:t>
            </w:r>
          </w:p>
          <w:p w14:paraId="4F513505">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经现场调查，</w:t>
            </w:r>
            <w:r>
              <w:rPr>
                <w:rFonts w:hint="eastAsia" w:ascii="Times New Roman" w:hAnsi="Times New Roman" w:eastAsia="宋体"/>
                <w:color w:val="000000" w:themeColor="text1"/>
                <w:sz w:val="24"/>
                <w:szCs w:val="24"/>
                <w:highlight w:val="none"/>
                <w:lang w:eastAsia="zh-CN"/>
                <w14:textFill>
                  <w14:solidFill>
                    <w14:schemeClr w14:val="tx1"/>
                  </w14:solidFill>
                </w14:textFill>
              </w:rPr>
              <w:t>中化云龙有限公司</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现有</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90万吨/年粉状改性磷石膏项目生产线生产合格材料改性磷石膏。中化云龙有限公司“90万吨/年粉状改性磷石膏项目”于2023年6月编制了环境影响报告表，2023年7月取得昆明市生态环境局寻甸分局关于对《中化云龙有限公司90万吨/年粉状改性磷石膏项目环境影响报告表》的批复。该项目已于2024年2月完成竣工环保验收。建设单位</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已于</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2019年6月</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取得了</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排污许可证，现建设单位排污许可证仍在有效期内（证书编号：91530129763882136J001Q，有效期限：自2023年11月23日至2028年11月22日止）。</w:t>
            </w:r>
          </w:p>
          <w:p w14:paraId="206CEF75">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中化云龙有限公司90万吨/年粉状改性磷石膏项目</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的</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生产能力为90万吨每年，本项目回填改性磷石膏量</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缺口仅</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为</w:t>
            </w:r>
            <w:r>
              <w:rPr>
                <w:rFonts w:hint="eastAsia" w:cs="Times New Roman"/>
                <w:color w:val="000000" w:themeColor="text1"/>
                <w:kern w:val="0"/>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万吨，所以中化云龙有限公司生产的改性磷石膏材料供给能满足本项目需求量。根据《中化云龙有限公司90万吨/年粉状改性磷石膏项目环境影响报告表》可知项目使用的改性磷石膏材料是</w:t>
            </w:r>
            <w:r>
              <w:rPr>
                <w:rFonts w:hint="default" w:ascii="Times New Roman" w:hAnsi="Times New Roman" w:cs="Times New Roman"/>
                <w:bCs/>
                <w:color w:val="000000" w:themeColor="text1"/>
                <w:sz w:val="24"/>
                <w:highlight w:val="none"/>
                <w14:textFill>
                  <w14:solidFill>
                    <w14:schemeClr w14:val="tx1"/>
                  </w14:solidFill>
                </w14:textFill>
              </w:rPr>
              <w:t>第Ⅰ类一般工业固体废物</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根据中化云龙有限公司提供的多次改性磷石膏材料检测报告，可知项目使用的改性磷石膏材料是符合</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《改性磷石膏用于矿山废弃地生态修复回填技术规范》（DB53/T1269-2024）</w:t>
            </w:r>
            <w:r>
              <w:rPr>
                <w:rFonts w:hint="eastAsia" w:cs="Times New Roman"/>
                <w:b w:val="0"/>
                <w:bCs w:val="0"/>
                <w:color w:val="000000" w:themeColor="text1"/>
                <w:kern w:val="0"/>
                <w:sz w:val="24"/>
                <w:szCs w:val="24"/>
                <w:highlight w:val="none"/>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中要求</w:t>
            </w:r>
            <w:r>
              <w:rPr>
                <w:rFonts w:hint="eastAsia"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w:t>
            </w:r>
          </w:p>
          <w:p w14:paraId="2523280E">
            <w:pPr>
              <w:pStyle w:val="23"/>
              <w:numPr>
                <w:ilvl w:val="0"/>
                <w:numId w:val="6"/>
              </w:numP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回填料进场要求</w:t>
            </w:r>
          </w:p>
          <w:p w14:paraId="1A077670">
            <w:pPr>
              <w:adjustRightInd w:val="0"/>
              <w:ind w:firstLine="480"/>
              <w:rPr>
                <w:color w:val="000000" w:themeColor="text1"/>
                <w:kern w:val="0"/>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《改性磷石膏用于矿山废弃地生态修复回填技术规范》（DB53/T1269-2024）</w:t>
            </w:r>
            <w:r>
              <w:rPr>
                <w:rFonts w:hint="eastAsia" w:ascii="Times New Roman" w:cs="Times New Roman"/>
                <w:b w:val="0"/>
                <w:bCs w:val="0"/>
                <w:color w:val="000000" w:themeColor="text1"/>
                <w:kern w:val="0"/>
                <w:sz w:val="24"/>
                <w:szCs w:val="24"/>
                <w:highlight w:val="none"/>
                <w:vertAlign w:val="baseline"/>
                <w:lang w:val="en-US" w:eastAsia="zh-CN" w:bidi="ar"/>
                <w14:textFill>
                  <w14:solidFill>
                    <w14:schemeClr w14:val="tx1"/>
                  </w14:solidFill>
                </w14:textFill>
              </w:rPr>
              <w:t>要求，磷石膏改性前其放射性核素限量应满足《建筑材料放射性核素限量》（GB6566-2010），改性后的磷石膏</w:t>
            </w:r>
            <w:r>
              <w:rPr>
                <w:color w:val="000000" w:themeColor="text1"/>
                <w:kern w:val="0"/>
                <w:highlight w:val="none"/>
                <w:lang w:bidi="ar"/>
                <w14:textFill>
                  <w14:solidFill>
                    <w14:schemeClr w14:val="tx1"/>
                  </w14:solidFill>
                </w14:textFill>
              </w:rPr>
              <w:t>按照HJ557规定方法制备改性磷石膏浸出液</w:t>
            </w:r>
            <w:r>
              <w:rPr>
                <w:color w:val="000000" w:themeColor="text1"/>
                <w:kern w:val="0"/>
                <w:szCs w:val="21"/>
                <w:highlight w:val="none"/>
                <w14:textFill>
                  <w14:solidFill>
                    <w14:schemeClr w14:val="tx1"/>
                  </w14:solidFill>
                </w14:textFill>
              </w:rPr>
              <w:t>检测浓度结果</w:t>
            </w:r>
            <w:r>
              <w:rPr>
                <w:rFonts w:hint="eastAsia"/>
                <w:color w:val="000000" w:themeColor="text1"/>
                <w:kern w:val="0"/>
                <w:szCs w:val="21"/>
                <w:highlight w:val="none"/>
                <w14:textFill>
                  <w14:solidFill>
                    <w14:schemeClr w14:val="tx1"/>
                  </w14:solidFill>
                </w14:textFill>
              </w:rPr>
              <w:t>不得</w:t>
            </w:r>
            <w:r>
              <w:rPr>
                <w:color w:val="000000" w:themeColor="text1"/>
                <w:kern w:val="0"/>
                <w:szCs w:val="21"/>
                <w:highlight w:val="none"/>
                <w14:textFill>
                  <w14:solidFill>
                    <w14:schemeClr w14:val="tx1"/>
                  </w14:solidFill>
                </w14:textFill>
              </w:rPr>
              <w:t>超过《污水综合排放标准》（GB8978-1996）一级标准，有机质含量</w:t>
            </w:r>
            <w:r>
              <w:rPr>
                <w:rFonts w:hint="eastAsia"/>
                <w:color w:val="000000" w:themeColor="text1"/>
                <w:kern w:val="0"/>
                <w:szCs w:val="21"/>
                <w:highlight w:val="none"/>
                <w14:textFill>
                  <w14:solidFill>
                    <w14:schemeClr w14:val="tx1"/>
                  </w14:solidFill>
                </w14:textFill>
              </w:rPr>
              <w:t>应满足</w:t>
            </w:r>
            <w:r>
              <w:rPr>
                <w:color w:val="000000" w:themeColor="text1"/>
                <w:kern w:val="0"/>
                <w:szCs w:val="21"/>
                <w:highlight w:val="none"/>
                <w14:textFill>
                  <w14:solidFill>
                    <w14:schemeClr w14:val="tx1"/>
                  </w14:solidFill>
                </w14:textFill>
              </w:rPr>
              <w:t>《改性磷石膏综合利用  矿山生态修复环境风险评估规范》（DB5301/T98-2023）中“4.2 用于露天矿山生态修复的改性磷石膏应满足GB 18599中第Ⅰ类一般工业固体废物的要求，且有机物含量超过5%的改性磷石膏不应用于矿山生态修复。”相关要求，改性磷石膏回填材料</w:t>
            </w:r>
            <w:r>
              <w:rPr>
                <w:rFonts w:hint="eastAsia"/>
                <w:color w:val="000000" w:themeColor="text1"/>
                <w:kern w:val="0"/>
                <w:szCs w:val="21"/>
                <w:highlight w:val="none"/>
                <w14:textFill>
                  <w14:solidFill>
                    <w14:schemeClr w14:val="tx1"/>
                  </w14:solidFill>
                </w14:textFill>
              </w:rPr>
              <w:t>需</w:t>
            </w:r>
            <w:r>
              <w:rPr>
                <w:color w:val="000000" w:themeColor="text1"/>
                <w:kern w:val="0"/>
                <w:szCs w:val="21"/>
                <w:highlight w:val="none"/>
                <w14:textFill>
                  <w14:solidFill>
                    <w14:schemeClr w14:val="tx1"/>
                  </w14:solidFill>
                </w14:textFill>
              </w:rPr>
              <w:t>满足</w:t>
            </w:r>
            <w:r>
              <w:rPr>
                <w:color w:val="000000" w:themeColor="text1"/>
                <w:kern w:val="0"/>
                <w:highlight w:val="none"/>
                <w:lang w:bidi="ar"/>
                <w14:textFill>
                  <w14:solidFill>
                    <w14:schemeClr w14:val="tx1"/>
                  </w14:solidFill>
                </w14:textFill>
              </w:rPr>
              <w:t>《改性磷石膏用于矿山废弃地生态修复回填技术规范》（DB53/T1269-2024）</w:t>
            </w:r>
            <w:r>
              <w:rPr>
                <w:rFonts w:hint="eastAsia"/>
                <w:color w:val="000000" w:themeColor="text1"/>
                <w:kern w:val="0"/>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 1415-2025）</w:t>
            </w:r>
            <w:r>
              <w:rPr>
                <w:color w:val="000000" w:themeColor="text1"/>
                <w:kern w:val="0"/>
                <w:highlight w:val="none"/>
                <w:lang w:bidi="ar"/>
                <w14:textFill>
                  <w14:solidFill>
                    <w14:schemeClr w14:val="tx1"/>
                  </w14:solidFill>
                </w14:textFill>
              </w:rPr>
              <w:t>对改性磷石膏要求</w:t>
            </w:r>
            <w:r>
              <w:rPr>
                <w:color w:val="000000" w:themeColor="text1"/>
                <w:kern w:val="0"/>
                <w:szCs w:val="21"/>
                <w:highlight w:val="none"/>
                <w14:textFill>
                  <w14:solidFill>
                    <w14:schemeClr w14:val="tx1"/>
                  </w14:solidFill>
                </w14:textFill>
              </w:rPr>
              <w:t>。</w:t>
            </w:r>
          </w:p>
          <w:p w14:paraId="272A8910">
            <w:pPr>
              <w:pStyle w:val="24"/>
              <w:numPr>
                <w:ilvl w:val="0"/>
                <w:numId w:val="6"/>
              </w:numP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相关检测情况</w:t>
            </w:r>
          </w:p>
          <w:p w14:paraId="4A0C5F14">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①</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云南常青树化工有限公司磷石膏检测情况</w:t>
            </w:r>
          </w:p>
          <w:p w14:paraId="7B825BD7">
            <w:pPr>
              <w:snapToGrid w:val="0"/>
              <w:spacing w:line="360" w:lineRule="auto"/>
              <w:ind w:firstLine="482"/>
              <w:rPr>
                <w:rFonts w:hint="default" w:ascii="宋体" w:hAnsi="宋体" w:eastAsia="宋体"/>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云南常青树化工有限公司于2025年</w:t>
            </w:r>
            <w:r>
              <w:rPr>
                <w:rFonts w:hint="eastAsia" w:cs="Times New Roman"/>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-6月委托云南华都生态环境监测有限公司对</w:t>
            </w:r>
            <w:r>
              <w:rPr>
                <w:rFonts w:hint="eastAsia"/>
                <w:color w:val="000000" w:themeColor="text1"/>
                <w:sz w:val="24"/>
                <w:highlight w:val="none"/>
                <w:lang w:val="en-US" w:eastAsia="zh-CN"/>
                <w14:textFill>
                  <w14:solidFill>
                    <w14:schemeClr w14:val="tx1"/>
                  </w14:solidFill>
                </w14:textFill>
              </w:rPr>
              <w:t>厂区</w:t>
            </w:r>
            <w:r>
              <w:rPr>
                <w:color w:val="000000" w:themeColor="text1"/>
                <w:sz w:val="24"/>
                <w:highlight w:val="none"/>
                <w14:textFill>
                  <w14:solidFill>
                    <w14:schemeClr w14:val="tx1"/>
                  </w14:solidFill>
                </w14:textFill>
              </w:rPr>
              <w:t>磷石膏干法改性系统</w:t>
            </w:r>
            <w:r>
              <w:rPr>
                <w:rFonts w:hint="eastAsia"/>
                <w:color w:val="000000" w:themeColor="text1"/>
                <w:sz w:val="24"/>
                <w:highlight w:val="none"/>
                <w:lang w:val="en-US" w:eastAsia="zh-CN"/>
                <w14:textFill>
                  <w14:solidFill>
                    <w14:schemeClr w14:val="tx1"/>
                  </w14:solidFill>
                </w14:textFill>
              </w:rPr>
              <w:t>生产的</w:t>
            </w:r>
            <w:r>
              <w:rPr>
                <w:color w:val="000000" w:themeColor="text1"/>
                <w:sz w:val="24"/>
                <w:highlight w:val="none"/>
                <w14:textFill>
                  <w14:solidFill>
                    <w14:schemeClr w14:val="tx1"/>
                  </w14:solidFill>
                </w14:textFill>
              </w:rPr>
              <w:t>改性磷石膏</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以及原料磷石膏进行了检测</w:t>
            </w:r>
            <w:r>
              <w:rPr>
                <w:rFonts w:hint="eastAsia" w:ascii="宋体" w:hAnsi="宋体"/>
                <w:color w:val="000000" w:themeColor="text1"/>
                <w:kern w:val="0"/>
                <w:sz w:val="24"/>
                <w:highlight w:val="none"/>
                <w14:textFill>
                  <w14:solidFill>
                    <w14:schemeClr w14:val="tx1"/>
                  </w14:solidFill>
                </w14:textFill>
              </w:rPr>
              <w:t>。</w:t>
            </w:r>
            <w:r>
              <w:rPr>
                <w:rFonts w:hint="eastAsia" w:ascii="宋体" w:hAnsi="宋体"/>
                <w:color w:val="000000" w:themeColor="text1"/>
                <w:kern w:val="0"/>
                <w:sz w:val="24"/>
                <w:highlight w:val="none"/>
                <w:lang w:val="en-US" w:eastAsia="zh-CN"/>
                <w14:textFill>
                  <w14:solidFill>
                    <w14:schemeClr w14:val="tx1"/>
                  </w14:solidFill>
                </w14:textFill>
              </w:rPr>
              <w:t>检测结果见下表。</w:t>
            </w:r>
          </w:p>
          <w:p w14:paraId="50FF0CBF">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1）原料磷石膏检测情况</w:t>
            </w:r>
          </w:p>
          <w:p w14:paraId="58F43180">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w:t>
            </w:r>
            <w:r>
              <w:rPr>
                <w:rFonts w:hint="eastAsia" w:cs="Times New Roman"/>
                <w:b/>
                <w:bCs/>
                <w:color w:val="000000" w:themeColor="text1"/>
                <w:kern w:val="0"/>
                <w:sz w:val="24"/>
                <w:szCs w:val="24"/>
                <w:highlight w:val="none"/>
                <w:lang w:val="en-US" w:eastAsia="zh-CN"/>
                <w14:textFill>
                  <w14:solidFill>
                    <w14:schemeClr w14:val="tx1"/>
                  </w14:solidFill>
                </w14:textFill>
              </w:rPr>
              <w:t>10</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磷石膏（改性磷石膏生产原料）  检测结果  单位：mg/L</w:t>
            </w:r>
          </w:p>
          <w:p w14:paraId="5712FD60">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15E6641C">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b/>
                <w:bCs/>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项目使用的改性磷石膏的生产原料磷石膏</w:t>
            </w:r>
            <w:r>
              <w:rPr>
                <w:rFonts w:hint="default" w:ascii="Times New Roman" w:hAnsi="Times New Roman" w:cs="Times New Roman"/>
                <w:color w:val="000000" w:themeColor="text1"/>
                <w:highlight w:val="none"/>
                <w14:textFill>
                  <w14:solidFill>
                    <w14:schemeClr w14:val="tx1"/>
                  </w14:solidFill>
                </w14:textFill>
              </w:rPr>
              <w:t>按照HJ/T 299制备的浸出液中，磷石膏的腐蚀性并未超过《危险废物鉴别标准 腐蚀性鉴别》（GB 5085.1-2007）中的限值，各检测指标未超过《危险废物鉴别标准 浸出毒性鉴别》（GB 5085.3-2007）中的限值，因此从浸出毒性判断</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改性磷石膏的原料</w:t>
            </w:r>
            <w:r>
              <w:rPr>
                <w:rFonts w:hint="default" w:ascii="Times New Roman" w:hAnsi="Times New Roman" w:cs="Times New Roman"/>
                <w:color w:val="000000" w:themeColor="text1"/>
                <w:highlight w:val="none"/>
                <w14:textFill>
                  <w14:solidFill>
                    <w14:schemeClr w14:val="tx1"/>
                  </w14:solidFill>
                </w14:textFill>
              </w:rPr>
              <w:t>磷石膏</w:t>
            </w:r>
            <w:r>
              <w:rPr>
                <w:rFonts w:hint="eastAsia" w:ascii="Times New Roman" w:hAnsi="Times New Roman" w:cs="Times New Roman"/>
                <w:color w:val="000000" w:themeColor="text1"/>
                <w:highlight w:val="none"/>
                <w:lang w:val="en-US" w:eastAsia="zh-CN"/>
                <w14:textFill>
                  <w14:solidFill>
                    <w14:schemeClr w14:val="tx1"/>
                  </w14:solidFill>
                </w14:textFill>
              </w:rPr>
              <w:t>不属于</w:t>
            </w:r>
            <w:r>
              <w:rPr>
                <w:rFonts w:hint="default" w:ascii="Times New Roman" w:hAnsi="Times New Roman" w:cs="Times New Roman"/>
                <w:color w:val="000000" w:themeColor="text1"/>
                <w:highlight w:val="none"/>
                <w14:textFill>
                  <w14:solidFill>
                    <w14:schemeClr w14:val="tx1"/>
                  </w14:solidFill>
                </w14:textFill>
              </w:rPr>
              <w:t>危险废物。</w:t>
            </w:r>
          </w:p>
          <w:p w14:paraId="5C0EAAA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表2-11  常青树改性磷石膏检测结果一览表</w:t>
            </w:r>
          </w:p>
          <w:p w14:paraId="6A56C1D9">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35F2929B">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根据上表可知，本项目收集的改性磷石膏</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按照HJ557规定方法制备改性磷石膏浸出液</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检测浓度结果均未超过《污水综合排放标准》（GB8978-1996）一级标准，</w:t>
            </w:r>
            <w:r>
              <w:rPr>
                <w:rFonts w:hint="eastAsia" w:cs="Times New Roman"/>
                <w:color w:val="000000" w:themeColor="text1"/>
                <w:kern w:val="0"/>
                <w:szCs w:val="21"/>
                <w:highlight w:val="none"/>
                <w:lang w:val="en-US" w:eastAsia="zh-CN"/>
                <w14:textFill>
                  <w14:solidFill>
                    <w14:schemeClr w14:val="tx1"/>
                  </w14:solidFill>
                </w14:textFill>
              </w:rPr>
              <w:t>但遗漏烷基汞、有机物、</w:t>
            </w:r>
            <w:r>
              <w:rPr>
                <w:rFonts w:hint="eastAsia"/>
                <w:color w:val="000000" w:themeColor="text1"/>
                <w:highlight w:val="none"/>
                <w:lang w:val="en-US" w:eastAsia="zh-CN"/>
                <w14:textFill>
                  <w14:solidFill>
                    <w14:schemeClr w14:val="tx1"/>
                  </w14:solidFill>
                </w14:textFill>
              </w:rPr>
              <w:t>外照射指数</w:t>
            </w:r>
            <w:r>
              <w:rPr>
                <w:rFonts w:hint="eastAsia" w:cs="Times New Roman"/>
                <w:color w:val="000000" w:themeColor="text1"/>
                <w:kern w:val="0"/>
                <w:szCs w:val="21"/>
                <w:highlight w:val="none"/>
                <w:lang w:val="en-US" w:eastAsia="zh-CN"/>
                <w14:textFill>
                  <w14:solidFill>
                    <w14:schemeClr w14:val="tx1"/>
                  </w14:solidFill>
                </w14:textFill>
              </w:rPr>
              <w:t>指标的检测。</w:t>
            </w:r>
            <w:r>
              <w:rPr>
                <w:rFonts w:hint="eastAsia" w:cs="Times New Roman"/>
                <w:color w:val="000000" w:themeColor="text1"/>
                <w:kern w:val="0"/>
                <w:sz w:val="24"/>
                <w:szCs w:val="24"/>
                <w:highlight w:val="none"/>
                <w:lang w:val="en-US" w:eastAsia="zh-CN"/>
                <w14:textFill>
                  <w14:solidFill>
                    <w14:schemeClr w14:val="tx1"/>
                  </w14:solidFill>
                </w14:textFill>
              </w:rPr>
              <w:t>磷石膏在进场前应按照</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《改性磷石膏用于矿山废弃地生态修复回填技术规范》（DB53/T1269-2024）</w:t>
            </w:r>
            <w:r>
              <w:rPr>
                <w:rFonts w:hint="eastAsia" w:cs="Times New Roman"/>
                <w:b w:val="0"/>
                <w:bCs w:val="0"/>
                <w:color w:val="000000" w:themeColor="text1"/>
                <w:kern w:val="0"/>
                <w:sz w:val="24"/>
                <w:szCs w:val="24"/>
                <w:highlight w:val="none"/>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等规范的要求对所有检测因子</w:t>
            </w:r>
            <w:r>
              <w:rPr>
                <w:rFonts w:hint="eastAsia"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eastAsia" w:cs="Times New Roman"/>
                <w:b w:val="0"/>
                <w:bCs w:val="0"/>
                <w:color w:val="000000" w:themeColor="text1"/>
                <w:kern w:val="0"/>
                <w:sz w:val="24"/>
                <w:szCs w:val="24"/>
                <w:highlight w:val="none"/>
                <w:vertAlign w:val="baseline"/>
                <w:lang w:val="en-US" w:eastAsia="zh-CN" w:bidi="ar"/>
                <w14:textFill>
                  <w14:solidFill>
                    <w14:schemeClr w14:val="tx1"/>
                  </w14:solidFill>
                </w14:textFill>
              </w:rPr>
              <w:t>达标后方可入场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4A2A012C">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b/>
                <w:bCs/>
                <w:color w:val="000000" w:themeColor="text1"/>
                <w:kern w:val="0"/>
                <w:highlight w:val="none"/>
                <w:lang w:val="en-US" w:eastAsia="zh-CN" w:bidi="ar"/>
                <w14:textFill>
                  <w14:solidFill>
                    <w14:schemeClr w14:val="tx1"/>
                  </w14:solidFill>
                </w14:textFill>
              </w:rPr>
              <w:t>中化云龙有限公司</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磷石膏检测情况</w:t>
            </w:r>
          </w:p>
          <w:p w14:paraId="7876EEF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1）原料</w:t>
            </w: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磷石膏检测情况</w:t>
            </w:r>
          </w:p>
          <w:p w14:paraId="10C5EC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项目采用</w:t>
            </w: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中化云龙有限公司“90万吨/年粉状改性磷石膏项目”生产的改性磷石膏进行回填，改性磷石膏的生产原料为</w:t>
            </w:r>
            <w:r>
              <w:rPr>
                <w:rFonts w:hint="default" w:ascii="Times New Roman" w:hAnsi="Times New Roman" w:cs="Times New Roman"/>
                <w:color w:val="000000" w:themeColor="text1"/>
                <w:sz w:val="24"/>
                <w:highlight w:val="none"/>
                <w14:textFill>
                  <w14:solidFill>
                    <w14:schemeClr w14:val="tx1"/>
                  </w14:solidFill>
                </w14:textFill>
              </w:rPr>
              <w:t>中化云龙有限公司湿法磷酸生产线</w:t>
            </w:r>
            <w:r>
              <w:rPr>
                <w:rFonts w:hint="default" w:ascii="Times New Roman" w:hAnsi="Times New Roman" w:cs="Times New Roman"/>
                <w:color w:val="000000" w:themeColor="text1"/>
                <w:sz w:val="24"/>
                <w:highlight w:val="none"/>
                <w:lang w:val="en-US" w:eastAsia="zh-CN"/>
                <w14:textFill>
                  <w14:solidFill>
                    <w14:schemeClr w14:val="tx1"/>
                  </w14:solidFill>
                </w14:textFill>
              </w:rPr>
              <w:t>副产品磷石膏，为了解项目生态修复材料生产原料相关情况，项目引用中化云龙有限公司</w:t>
            </w:r>
            <w:r>
              <w:rPr>
                <w:rFonts w:hint="default" w:ascii="Times New Roman" w:hAnsi="Times New Roman" w:cs="Times New Roman"/>
                <w:color w:val="000000" w:themeColor="text1"/>
                <w:sz w:val="24"/>
                <w:highlight w:val="none"/>
                <w14:textFill>
                  <w14:solidFill>
                    <w14:schemeClr w14:val="tx1"/>
                  </w14:solidFill>
                </w14:textFill>
              </w:rPr>
              <w:t>于</w:t>
            </w:r>
            <w:r>
              <w:rPr>
                <w:rFonts w:hint="default" w:ascii="Times New Roman" w:hAnsi="Times New Roman" w:cs="Times New Roman"/>
                <w:color w:val="000000" w:themeColor="text1"/>
                <w:sz w:val="24"/>
                <w:highlight w:val="none"/>
                <w:shd w:val="clear"/>
                <w14:textFill>
                  <w14:solidFill>
                    <w14:schemeClr w14:val="tx1"/>
                  </w14:solidFill>
                </w14:textFill>
              </w:rPr>
              <w:t>2022年</w:t>
            </w:r>
            <w:r>
              <w:rPr>
                <w:rFonts w:hint="default" w:ascii="Times New Roman" w:hAnsi="Times New Roman" w:cs="Times New Roman"/>
                <w:color w:val="000000" w:themeColor="text1"/>
                <w:sz w:val="24"/>
                <w:highlight w:val="none"/>
                <w:shd w:val="clear"/>
                <w:lang w:val="en-US" w:eastAsia="zh-CN"/>
                <w14:textFill>
                  <w14:solidFill>
                    <w14:schemeClr w14:val="tx1"/>
                  </w14:solidFill>
                </w14:textFill>
              </w:rPr>
              <w:t>4</w:t>
            </w:r>
            <w:r>
              <w:rPr>
                <w:rFonts w:hint="default" w:ascii="Times New Roman" w:hAnsi="Times New Roman" w:cs="Times New Roman"/>
                <w:color w:val="000000" w:themeColor="text1"/>
                <w:sz w:val="24"/>
                <w:highlight w:val="none"/>
                <w:shd w:val="clear"/>
                <w14:textFill>
                  <w14:solidFill>
                    <w14:schemeClr w14:val="tx1"/>
                  </w14:solidFill>
                </w14:textFill>
              </w:rPr>
              <w:t>月</w:t>
            </w:r>
            <w:r>
              <w:rPr>
                <w:rFonts w:hint="default" w:ascii="Times New Roman" w:hAnsi="Times New Roman" w:cs="Times New Roman"/>
                <w:color w:val="000000" w:themeColor="text1"/>
                <w:sz w:val="24"/>
                <w:highlight w:val="none"/>
                <w:shd w:val="clear"/>
                <w:lang w:val="en-US" w:eastAsia="zh-CN"/>
                <w14:textFill>
                  <w14:solidFill>
                    <w14:schemeClr w14:val="tx1"/>
                  </w14:solidFill>
                </w14:textFill>
              </w:rPr>
              <w:t>19</w:t>
            </w:r>
            <w:r>
              <w:rPr>
                <w:rFonts w:hint="default" w:ascii="Times New Roman" w:hAnsi="Times New Roman" w:cs="Times New Roman"/>
                <w:color w:val="000000" w:themeColor="text1"/>
                <w:sz w:val="24"/>
                <w:highlight w:val="none"/>
                <w:shd w:val="clear"/>
                <w14:textFill>
                  <w14:solidFill>
                    <w14:schemeClr w14:val="tx1"/>
                  </w14:solidFill>
                </w14:textFill>
              </w:rPr>
              <w:t>日委托云南鑫田环境分析测试有限公司将</w:t>
            </w:r>
            <w:r>
              <w:rPr>
                <w:rFonts w:hint="default" w:ascii="Times New Roman" w:hAnsi="Times New Roman" w:cs="Times New Roman"/>
                <w:color w:val="000000" w:themeColor="text1"/>
                <w:sz w:val="24"/>
                <w:highlight w:val="none"/>
                <w:shd w:val="clear"/>
                <w:lang w:val="en-US" w:eastAsia="zh-CN"/>
                <w14:textFill>
                  <w14:solidFill>
                    <w14:schemeClr w14:val="tx1"/>
                  </w14:solidFill>
                </w14:textFill>
              </w:rPr>
              <w:t>磷石膏进行浸出毒性鉴别、腐蚀性鉴别检测的检测报告。具体检测结果见下表。检测报告见附件</w:t>
            </w:r>
            <w:r>
              <w:rPr>
                <w:rFonts w:hint="eastAsia" w:cs="Times New Roman"/>
                <w:color w:val="000000" w:themeColor="text1"/>
                <w:sz w:val="24"/>
                <w:highlight w:val="none"/>
                <w:shd w:val="clear"/>
                <w:lang w:val="en-US" w:eastAsia="zh-CN"/>
                <w14:textFill>
                  <w14:solidFill>
                    <w14:schemeClr w14:val="tx1"/>
                  </w14:solidFill>
                </w14:textFill>
              </w:rPr>
              <w:t>16</w:t>
            </w:r>
            <w:r>
              <w:rPr>
                <w:rFonts w:hint="default" w:ascii="Times New Roman" w:hAnsi="Times New Roman" w:cs="Times New Roman"/>
                <w:color w:val="000000" w:themeColor="text1"/>
                <w:sz w:val="24"/>
                <w:highlight w:val="none"/>
                <w:shd w:val="clear"/>
                <w:lang w:val="en-US" w:eastAsia="zh-CN"/>
                <w14:textFill>
                  <w14:solidFill>
                    <w14:schemeClr w14:val="tx1"/>
                  </w14:solidFill>
                </w14:textFill>
              </w:rPr>
              <w:t>。</w:t>
            </w:r>
          </w:p>
          <w:p w14:paraId="5904BE04">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表2-</w:t>
            </w:r>
            <w:r>
              <w:rPr>
                <w:rFonts w:hint="eastAsia" w:cs="Times New Roman"/>
                <w:b/>
                <w:bCs/>
                <w:color w:val="000000" w:themeColor="text1"/>
                <w:kern w:val="0"/>
                <w:sz w:val="21"/>
                <w:szCs w:val="18"/>
                <w:highlight w:val="none"/>
                <w:lang w:val="en-US" w:eastAsia="zh-CN"/>
                <w14:textFill>
                  <w14:solidFill>
                    <w14:schemeClr w14:val="tx1"/>
                  </w14:solidFill>
                </w14:textFill>
              </w:rPr>
              <w:t>12</w:t>
            </w:r>
            <w:r>
              <w:rPr>
                <w:rFonts w:hint="eastAsia"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磷石膏（改性磷石膏生产原料）  检测结果  单位：mg/L</w:t>
            </w:r>
          </w:p>
          <w:p w14:paraId="3EA92C2C">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15F16B4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项目使用的改性磷石膏的生产原料磷石膏</w:t>
            </w:r>
            <w:r>
              <w:rPr>
                <w:rFonts w:hint="default" w:ascii="Times New Roman" w:hAnsi="Times New Roman" w:cs="Times New Roman"/>
                <w:color w:val="000000" w:themeColor="text1"/>
                <w:highlight w:val="none"/>
                <w14:textFill>
                  <w14:solidFill>
                    <w14:schemeClr w14:val="tx1"/>
                  </w14:solidFill>
                </w14:textFill>
              </w:rPr>
              <w:t>按照HJ/T 299制备的浸出液中，磷石膏的腐蚀性并未超过《危险废物鉴别标准 腐蚀性鉴别》（GB 5085.1-2007）中的限值，各检测指标未超过《危险废物鉴别标准 浸出毒性鉴别》（GB 5085.3-2007）中的限值，因此从浸出毒性判断</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改性磷石膏的原料</w:t>
            </w:r>
            <w:r>
              <w:rPr>
                <w:rFonts w:hint="default" w:ascii="Times New Roman" w:hAnsi="Times New Roman" w:cs="Times New Roman"/>
                <w:color w:val="000000" w:themeColor="text1"/>
                <w:highlight w:val="none"/>
                <w14:textFill>
                  <w14:solidFill>
                    <w14:schemeClr w14:val="tx1"/>
                  </w14:solidFill>
                </w14:textFill>
              </w:rPr>
              <w:t>磷石膏</w:t>
            </w:r>
            <w:r>
              <w:rPr>
                <w:rFonts w:hint="eastAsia" w:ascii="Times New Roman" w:hAnsi="Times New Roman" w:cs="Times New Roman"/>
                <w:color w:val="000000" w:themeColor="text1"/>
                <w:highlight w:val="none"/>
                <w:lang w:val="en-US" w:eastAsia="zh-CN"/>
                <w14:textFill>
                  <w14:solidFill>
                    <w14:schemeClr w14:val="tx1"/>
                  </w14:solidFill>
                </w14:textFill>
              </w:rPr>
              <w:t>不属于</w:t>
            </w:r>
            <w:r>
              <w:rPr>
                <w:rFonts w:hint="default" w:ascii="Times New Roman" w:hAnsi="Times New Roman" w:cs="Times New Roman"/>
                <w:color w:val="000000" w:themeColor="text1"/>
                <w:highlight w:val="none"/>
                <w14:textFill>
                  <w14:solidFill>
                    <w14:schemeClr w14:val="tx1"/>
                  </w14:solidFill>
                </w14:textFill>
              </w:rPr>
              <w:t>危险废物。</w:t>
            </w:r>
          </w:p>
          <w:p w14:paraId="5C710C3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2）改性磷石膏检测情况</w:t>
            </w:r>
          </w:p>
          <w:p w14:paraId="12E2BE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根据云南省地方标准《改性磷石膏用于矿山废弃地生态修复回填技术规范》（DB53/T1269-2024）</w:t>
            </w:r>
            <w:r>
              <w:rPr>
                <w:rFonts w:hint="eastAsia" w:cs="Times New Roman"/>
                <w:b w:val="0"/>
                <w:bCs w:val="0"/>
                <w:color w:val="000000" w:themeColor="text1"/>
                <w:kern w:val="0"/>
                <w:sz w:val="24"/>
                <w:szCs w:val="24"/>
                <w:highlight w:val="none"/>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相关要求，改性磷石膏按照HJ557规定方法制备改性磷石膏浸出液中任何一种特征污染物浓度均不应超过GB 8978最高允许排放浓度（第二类污染物最高允许排放浓度按照一级标准执行）。可确定项目主要指标污染物为pH、磷酸盐（以P计）、氟化物、总汞、总镉、总铬、六价铬、总砷、总铅、总镍、总锌、总铍、总银、烷基汞。</w:t>
            </w:r>
          </w:p>
          <w:p w14:paraId="4D4BAA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本次评价收集了中化云龙有限公司针对改性磷石膏基生态修复材料做的相关检测数据，检测报告见附件</w:t>
            </w:r>
            <w:r>
              <w:rPr>
                <w:rFonts w:hint="eastAsia" w:cs="Times New Roman"/>
                <w:color w:val="000000" w:themeColor="text1"/>
                <w:kern w:val="0"/>
                <w:sz w:val="24"/>
                <w:szCs w:val="24"/>
                <w:highlight w:val="none"/>
                <w:vertAlign w:val="baseline"/>
                <w:lang w:val="en-US" w:eastAsia="zh-CN" w:bidi="ar"/>
                <w14:textFill>
                  <w14:solidFill>
                    <w14:schemeClr w14:val="tx1"/>
                  </w14:solidFill>
                </w14:textFill>
              </w:rPr>
              <w:t>16</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，收集了中化云龙有限公司针对磷石膏做的属性鉴别报告，检测结果如下。</w:t>
            </w:r>
          </w:p>
          <w:p w14:paraId="74255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表2-</w:t>
            </w:r>
            <w:r>
              <w:rPr>
                <w:rFonts w:hint="eastAsia"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1</w:t>
            </w:r>
            <w:r>
              <w:rPr>
                <w:rFonts w:hint="eastAsia" w:cs="Times New Roman"/>
                <w:b/>
                <w:bCs/>
                <w:color w:val="000000" w:themeColor="text1"/>
                <w:kern w:val="0"/>
                <w:sz w:val="21"/>
                <w:szCs w:val="18"/>
                <w:highlight w:val="none"/>
                <w:lang w:val="en-US" w:eastAsia="zh-CN"/>
                <w14:textFill>
                  <w14:solidFill>
                    <w14:schemeClr w14:val="tx1"/>
                  </w14:solidFill>
                </w14:textFill>
              </w:rPr>
              <w:t xml:space="preserve">2 </w:t>
            </w:r>
            <w:r>
              <w:rPr>
                <w:rFonts w:hint="eastAsia"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18"/>
                <w:highlight w:val="none"/>
                <w:lang w:val="en-US" w:eastAsia="zh-CN"/>
                <w14:textFill>
                  <w14:solidFill>
                    <w14:schemeClr w14:val="tx1"/>
                  </w14:solidFill>
                </w14:textFill>
              </w:rPr>
              <w:t>改性磷石膏（生态修复材料）  检测结果  单位：mg/L</w:t>
            </w:r>
          </w:p>
          <w:p w14:paraId="4B87F803">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429F370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根据上表可知，本项目收集的改性磷石膏</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按照HJ557规定方法制备改性磷石膏浸出液</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检测浓度结果均未超过《污水综合排放标准》（GB8978-1996）一级标准，有机质含量未超过《改性磷石膏综合利用  矿山生态修复环境风险评估规范》（DB5301/T98-2023）中“4.2 用于露天矿山生态修复的改性磷石膏应满足GB 18599中第Ⅰ类一般工业固体废物的要求，且有机物含量超过5%的改性磷石膏不应用于矿山生态修复。”相关要求，故判定本项目使用的改性磷石膏回填材料能满足</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《改性磷石膏用于矿山废弃地生态修复回填技术规范》（DB53/T1269-2024）</w:t>
            </w:r>
            <w:r>
              <w:rPr>
                <w:rFonts w:hint="eastAsia" w:cs="Times New Roman"/>
                <w:b w:val="0"/>
                <w:bCs w:val="0"/>
                <w:color w:val="000000" w:themeColor="text1"/>
                <w:kern w:val="0"/>
                <w:sz w:val="24"/>
                <w:szCs w:val="24"/>
                <w:highlight w:val="none"/>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对改性磷石膏要求，项目使用的改性磷石膏为达标材料</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w:t>
            </w:r>
          </w:p>
          <w:p w14:paraId="06AC759C">
            <w:pPr>
              <w:adjustRightInd w:val="0"/>
              <w:ind w:firstLine="480"/>
              <w:rPr>
                <w:color w:val="000000" w:themeColor="text1"/>
                <w:kern w:val="0"/>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w:t>
            </w:r>
            <w:r>
              <w:rPr>
                <w:color w:val="000000" w:themeColor="text1"/>
                <w:kern w:val="0"/>
                <w:szCs w:val="21"/>
                <w:highlight w:val="none"/>
                <w14:textFill>
                  <w14:solidFill>
                    <w14:schemeClr w14:val="tx1"/>
                  </w14:solidFill>
                </w14:textFill>
              </w:rPr>
              <w:t>本项目</w:t>
            </w:r>
            <w:r>
              <w:rPr>
                <w:rFonts w:hint="eastAsia"/>
                <w:color w:val="000000" w:themeColor="text1"/>
                <w:kern w:val="0"/>
                <w:szCs w:val="21"/>
                <w:highlight w:val="none"/>
                <w:lang w:val="en-US" w:eastAsia="zh-CN"/>
                <w14:textFill>
                  <w14:solidFill>
                    <w14:schemeClr w14:val="tx1"/>
                  </w14:solidFill>
                </w14:textFill>
              </w:rPr>
              <w:t>接纳的</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云南常青树化工有限公司</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vertAlign w:val="baseline"/>
                <w:lang w:val="en-US" w:eastAsia="zh-CN" w:bidi="ar"/>
                <w14:textFill>
                  <w14:solidFill>
                    <w14:schemeClr w14:val="tx1"/>
                  </w14:solidFill>
                </w14:textFill>
              </w:rPr>
              <w:t>中化云龙有限公司</w:t>
            </w:r>
            <w:r>
              <w:rPr>
                <w:rFonts w:hint="eastAsia" w:eastAsia="宋体"/>
                <w:color w:val="000000" w:themeColor="text1"/>
                <w:kern w:val="0"/>
                <w:szCs w:val="21"/>
                <w:highlight w:val="none"/>
                <w:lang w:val="en-US" w:eastAsia="zh-CN"/>
                <w14:textFill>
                  <w14:solidFill>
                    <w14:schemeClr w14:val="tx1"/>
                  </w14:solidFill>
                </w14:textFill>
              </w:rPr>
              <w:t>生产的</w:t>
            </w:r>
            <w:r>
              <w:rPr>
                <w:color w:val="000000" w:themeColor="text1"/>
                <w:kern w:val="0"/>
                <w:szCs w:val="21"/>
                <w:highlight w:val="none"/>
                <w14:textFill>
                  <w14:solidFill>
                    <w14:schemeClr w14:val="tx1"/>
                  </w14:solidFill>
                </w14:textFill>
              </w:rPr>
              <w:t>改性磷石膏</w:t>
            </w:r>
            <w:r>
              <w:rPr>
                <w:color w:val="000000" w:themeColor="text1"/>
                <w:kern w:val="0"/>
                <w:highlight w:val="none"/>
                <w:lang w:bidi="ar"/>
                <w14:textFill>
                  <w14:solidFill>
                    <w14:schemeClr w14:val="tx1"/>
                  </w14:solidFill>
                </w14:textFill>
              </w:rPr>
              <w:t>按照HJ557规定方法制备改性磷石膏浸出液</w:t>
            </w:r>
            <w:r>
              <w:rPr>
                <w:color w:val="000000" w:themeColor="text1"/>
                <w:kern w:val="0"/>
                <w:szCs w:val="21"/>
                <w:highlight w:val="none"/>
                <w14:textFill>
                  <w14:solidFill>
                    <w14:schemeClr w14:val="tx1"/>
                  </w14:solidFill>
                </w14:textFill>
              </w:rPr>
              <w:t>检测浓度结果</w:t>
            </w:r>
            <w:r>
              <w:rPr>
                <w:rFonts w:hint="eastAsia"/>
                <w:color w:val="000000" w:themeColor="text1"/>
                <w:kern w:val="0"/>
                <w:szCs w:val="21"/>
                <w:highlight w:val="none"/>
                <w14:textFill>
                  <w14:solidFill>
                    <w14:schemeClr w14:val="tx1"/>
                  </w14:solidFill>
                </w14:textFill>
              </w:rPr>
              <w:t>不得</w:t>
            </w:r>
            <w:r>
              <w:rPr>
                <w:color w:val="000000" w:themeColor="text1"/>
                <w:kern w:val="0"/>
                <w:szCs w:val="21"/>
                <w:highlight w:val="none"/>
                <w14:textFill>
                  <w14:solidFill>
                    <w14:schemeClr w14:val="tx1"/>
                  </w14:solidFill>
                </w14:textFill>
              </w:rPr>
              <w:t>超过《污水综合排放标准》（GB8978-1996）一级标准，有机质含量</w:t>
            </w:r>
            <w:r>
              <w:rPr>
                <w:rFonts w:hint="eastAsia"/>
                <w:color w:val="000000" w:themeColor="text1"/>
                <w:kern w:val="0"/>
                <w:szCs w:val="21"/>
                <w:highlight w:val="none"/>
                <w14:textFill>
                  <w14:solidFill>
                    <w14:schemeClr w14:val="tx1"/>
                  </w14:solidFill>
                </w14:textFill>
              </w:rPr>
              <w:t>应满足</w:t>
            </w:r>
            <w:r>
              <w:rPr>
                <w:color w:val="000000" w:themeColor="text1"/>
                <w:kern w:val="0"/>
                <w:szCs w:val="21"/>
                <w:highlight w:val="none"/>
                <w14:textFill>
                  <w14:solidFill>
                    <w14:schemeClr w14:val="tx1"/>
                  </w14:solidFill>
                </w14:textFill>
              </w:rPr>
              <w:t>《改性磷石膏综合利用  矿山生态修复环境风险评估规范》（DB5301/T98-2023）中“4.2 用于露天矿山生态修复的改性磷石膏应满足GB 18599中第Ⅰ类一般工业固体废物的要求，且有机物含量超过5%的改性磷石膏不应用于矿山生态修复。”相关要求，改性磷石膏回填材料</w:t>
            </w:r>
            <w:r>
              <w:rPr>
                <w:rFonts w:hint="eastAsia"/>
                <w:color w:val="000000" w:themeColor="text1"/>
                <w:kern w:val="0"/>
                <w:szCs w:val="21"/>
                <w:highlight w:val="none"/>
                <w14:textFill>
                  <w14:solidFill>
                    <w14:schemeClr w14:val="tx1"/>
                  </w14:solidFill>
                </w14:textFill>
              </w:rPr>
              <w:t>需</w:t>
            </w:r>
            <w:r>
              <w:rPr>
                <w:color w:val="000000" w:themeColor="text1"/>
                <w:kern w:val="0"/>
                <w:szCs w:val="21"/>
                <w:highlight w:val="none"/>
                <w14:textFill>
                  <w14:solidFill>
                    <w14:schemeClr w14:val="tx1"/>
                  </w14:solidFill>
                </w14:textFill>
              </w:rPr>
              <w:t>满足</w:t>
            </w:r>
            <w:r>
              <w:rPr>
                <w:color w:val="000000" w:themeColor="text1"/>
                <w:kern w:val="0"/>
                <w:highlight w:val="none"/>
                <w:lang w:bidi="ar"/>
                <w14:textFill>
                  <w14:solidFill>
                    <w14:schemeClr w14:val="tx1"/>
                  </w14:solidFill>
                </w14:textFill>
              </w:rPr>
              <w:t>《改性磷石膏用于矿山废弃地生态修复回填技术规范》</w:t>
            </w:r>
            <w:r>
              <w:rPr>
                <w:rFonts w:hint="eastAsia"/>
                <w:color w:val="000000" w:themeColor="text1"/>
                <w:kern w:val="0"/>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color w:val="000000" w:themeColor="text1"/>
                <w:kern w:val="0"/>
                <w:highlight w:val="none"/>
                <w:lang w:bidi="ar"/>
                <w14:textFill>
                  <w14:solidFill>
                    <w14:schemeClr w14:val="tx1"/>
                  </w14:solidFill>
                </w14:textFill>
              </w:rPr>
              <w:t>（DB53/T1269-2024）对改性磷石膏要求</w:t>
            </w:r>
            <w:r>
              <w:rPr>
                <w:color w:val="000000" w:themeColor="text1"/>
                <w:kern w:val="0"/>
                <w:szCs w:val="21"/>
                <w:highlight w:val="none"/>
                <w14:textFill>
                  <w14:solidFill>
                    <w14:schemeClr w14:val="tx1"/>
                  </w14:solidFill>
                </w14:textFill>
              </w:rPr>
              <w:t>。</w:t>
            </w:r>
          </w:p>
          <w:p w14:paraId="112A5B8A">
            <w:pPr>
              <w:adjustRightInd w:val="0"/>
              <w:ind w:firstLine="480" w:firstLineChars="0"/>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（2）耕植土要求</w:t>
            </w:r>
          </w:p>
          <w:p w14:paraId="27193C2F">
            <w:pPr>
              <w:adjustRightInd w:val="0"/>
              <w:ind w:firstLine="480" w:firstLineChars="0"/>
              <w:rPr>
                <w:color w:val="000000" w:themeColor="text1"/>
                <w:kern w:val="0"/>
                <w:szCs w:val="21"/>
                <w:highlight w:val="none"/>
                <w14:textFill>
                  <w14:solidFill>
                    <w14:schemeClr w14:val="tx1"/>
                  </w14:solidFill>
                </w14:textFill>
              </w:rPr>
            </w:pPr>
            <w:r>
              <w:rPr>
                <w:color w:val="000000" w:themeColor="text1"/>
                <w:kern w:val="0"/>
                <w:highlight w:val="none"/>
                <w:lang w:bidi="ar"/>
                <w14:textFill>
                  <w14:solidFill>
                    <w14:schemeClr w14:val="tx1"/>
                  </w14:solidFill>
                </w14:textFill>
              </w:rPr>
              <w:t>根据云南省地方标准《改性磷石膏用于矿山废弃地生态修复回填技术规范》（DB53/T1269-2024），土地复垦后开发利用的，应符合GB15618和GB36600相应规划用途的土壤环境质量要求。本项目修复区域</w:t>
            </w:r>
            <w:r>
              <w:rPr>
                <w:color w:val="000000" w:themeColor="text1"/>
                <w:kern w:val="0"/>
                <w:szCs w:val="21"/>
                <w:highlight w:val="none"/>
                <w14:textFill>
                  <w14:solidFill>
                    <w14:schemeClr w14:val="tx1"/>
                  </w14:solidFill>
                </w14:textFill>
              </w:rPr>
              <w:t>恢复为林地区域的耕植土须满足《土壤环境质量农用地土壤污染风险管控标准（试行）》（GB15618-2018）。该项目采用的耕植土全部外购。</w:t>
            </w:r>
          </w:p>
          <w:p w14:paraId="0D5A7686">
            <w:pPr>
              <w:adjustRightInd w:val="0"/>
              <w:ind w:left="0" w:leftChars="0" w:firstLine="0" w:firstLineChars="0"/>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5</w:t>
            </w:r>
            <w:r>
              <w:rPr>
                <w:b/>
                <w:bCs/>
                <w:color w:val="000000" w:themeColor="text1"/>
                <w:kern w:val="0"/>
                <w:szCs w:val="21"/>
                <w:highlight w:val="none"/>
                <w14:textFill>
                  <w14:solidFill>
                    <w14:schemeClr w14:val="tx1"/>
                  </w14:solidFill>
                </w14:textFill>
              </w:rPr>
              <w:t>、施工期原辅料</w:t>
            </w:r>
          </w:p>
          <w:p w14:paraId="62819C6A">
            <w:pPr>
              <w:adjustRightInd w:val="0"/>
              <w:ind w:firstLine="480" w:firstLineChars="0"/>
              <w:rPr>
                <w:b/>
                <w:bCs/>
                <w:color w:val="000000" w:themeColor="text1"/>
                <w:kern w:val="0"/>
                <w:sz w:val="21"/>
                <w:szCs w:val="18"/>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（1）原辅料用量</w:t>
            </w:r>
          </w:p>
          <w:p w14:paraId="215A6F05">
            <w:pPr>
              <w:adjustRightInd w:val="0"/>
              <w:snapToGrid w:val="0"/>
              <w:spacing w:line="240" w:lineRule="auto"/>
              <w:ind w:firstLine="0" w:firstLineChars="0"/>
              <w:jc w:val="center"/>
              <w:rPr>
                <w:b/>
                <w:bCs/>
                <w:color w:val="000000" w:themeColor="text1"/>
                <w:kern w:val="0"/>
                <w:sz w:val="24"/>
                <w:szCs w:val="24"/>
                <w:highlight w:val="none"/>
                <w14:textFill>
                  <w14:solidFill>
                    <w14:schemeClr w14:val="tx1"/>
                  </w14:solidFill>
                </w14:textFill>
              </w:rPr>
            </w:pPr>
            <w:r>
              <w:rPr>
                <w:b/>
                <w:bCs/>
                <w:color w:val="000000" w:themeColor="text1"/>
                <w:kern w:val="0"/>
                <w:sz w:val="24"/>
                <w:szCs w:val="24"/>
                <w:highlight w:val="none"/>
                <w14:textFill>
                  <w14:solidFill>
                    <w14:schemeClr w14:val="tx1"/>
                  </w14:solidFill>
                </w14:textFill>
              </w:rPr>
              <w:t>表2-</w:t>
            </w:r>
            <w:r>
              <w:rPr>
                <w:rFonts w:hint="eastAsia"/>
                <w:b/>
                <w:bCs/>
                <w:color w:val="000000" w:themeColor="text1"/>
                <w:kern w:val="0"/>
                <w:sz w:val="24"/>
                <w:szCs w:val="24"/>
                <w:highlight w:val="none"/>
                <w:lang w:val="en-US" w:eastAsia="zh-CN"/>
                <w14:textFill>
                  <w14:solidFill>
                    <w14:schemeClr w14:val="tx1"/>
                  </w14:solidFill>
                </w14:textFill>
              </w:rPr>
              <w:t xml:space="preserve">13  </w:t>
            </w:r>
            <w:r>
              <w:rPr>
                <w:b/>
                <w:bCs/>
                <w:color w:val="000000" w:themeColor="text1"/>
                <w:kern w:val="0"/>
                <w:sz w:val="24"/>
                <w:szCs w:val="24"/>
                <w:highlight w:val="none"/>
                <w14:textFill>
                  <w14:solidFill>
                    <w14:schemeClr w14:val="tx1"/>
                  </w14:solidFill>
                </w14:textFill>
              </w:rPr>
              <w:t>项目主要原辅料用量</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3881"/>
              <w:gridCol w:w="3051"/>
            </w:tblGrid>
            <w:tr w14:paraId="18AA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Pr>
                <w:p w14:paraId="2561C47F">
                  <w:pPr>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名称</w:t>
                  </w:r>
                </w:p>
              </w:tc>
              <w:tc>
                <w:tcPr>
                  <w:tcW w:w="2311" w:type="pct"/>
                </w:tcPr>
                <w:p w14:paraId="32BC0006">
                  <w:pPr>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用量</w:t>
                  </w:r>
                </w:p>
              </w:tc>
              <w:tc>
                <w:tcPr>
                  <w:tcW w:w="1817" w:type="pct"/>
                </w:tcPr>
                <w:p w14:paraId="7159AF62">
                  <w:pPr>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来源</w:t>
                  </w:r>
                </w:p>
              </w:tc>
            </w:tr>
            <w:tr w14:paraId="362E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restart"/>
                  <w:vAlign w:val="center"/>
                </w:tcPr>
                <w:p w14:paraId="53BB2E12">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改性磷石膏</w:t>
                  </w:r>
                </w:p>
              </w:tc>
              <w:tc>
                <w:tcPr>
                  <w:tcW w:w="2311" w:type="pct"/>
                  <w:vAlign w:val="center"/>
                </w:tcPr>
                <w:p w14:paraId="4EE356AF">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100万吨</w:t>
                  </w:r>
                </w:p>
              </w:tc>
              <w:tc>
                <w:tcPr>
                  <w:tcW w:w="1817" w:type="pct"/>
                  <w:vAlign w:val="center"/>
                </w:tcPr>
                <w:p w14:paraId="028151DE">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云南常青树化工有限公司</w:t>
                  </w:r>
                </w:p>
              </w:tc>
            </w:tr>
            <w:tr w14:paraId="0BBD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 w:type="pct"/>
                  <w:vMerge w:val="continue"/>
                  <w:vAlign w:val="center"/>
                </w:tcPr>
                <w:p w14:paraId="20985671">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p>
              </w:tc>
              <w:tc>
                <w:tcPr>
                  <w:tcW w:w="2311" w:type="pct"/>
                  <w:vAlign w:val="center"/>
                </w:tcPr>
                <w:p w14:paraId="7D81E8FB">
                  <w:pPr>
                    <w:adjustRightInd w:val="0"/>
                    <w:snapToGrid w:val="0"/>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50</w:t>
                  </w:r>
                  <w:r>
                    <w:rPr>
                      <w:color w:val="000000" w:themeColor="text1"/>
                      <w:kern w:val="0"/>
                      <w:sz w:val="21"/>
                      <w:szCs w:val="21"/>
                      <w:highlight w:val="none"/>
                      <w14:textFill>
                        <w14:solidFill>
                          <w14:schemeClr w14:val="tx1"/>
                        </w14:solidFill>
                      </w14:textFill>
                    </w:rPr>
                    <w:t>万吨</w:t>
                  </w:r>
                </w:p>
              </w:tc>
              <w:tc>
                <w:tcPr>
                  <w:tcW w:w="1817" w:type="pct"/>
                  <w:vAlign w:val="center"/>
                </w:tcPr>
                <w:p w14:paraId="0229DB46">
                  <w:pPr>
                    <w:adjustRightInd w:val="0"/>
                    <w:snapToGrid w:val="0"/>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寻甸县其他磷石膏生产</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企业（</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中化云龙有限公司</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7C0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14:paraId="2C353673">
                  <w:pPr>
                    <w:adjustRightInd w:val="0"/>
                    <w:snapToGrid w:val="0"/>
                    <w:spacing w:line="240" w:lineRule="auto"/>
                    <w:ind w:firstLine="0" w:firstLineChars="0"/>
                    <w:jc w:val="center"/>
                    <w:rPr>
                      <w:rFonts w:ascii="Times New Roman" w:hAnsi="Times New Roman" w:eastAsia="宋体" w:cs="Times New Roman"/>
                      <w:color w:val="000000" w:themeColor="text1"/>
                      <w:kern w:val="0"/>
                      <w:sz w:val="21"/>
                      <w:szCs w:val="21"/>
                      <w:highlight w:val="none"/>
                      <w14:textFill>
                        <w14:solidFill>
                          <w14:schemeClr w14:val="tx1"/>
                        </w14:solidFill>
                      </w14:textFill>
                    </w:rPr>
                  </w:pPr>
                  <w:r>
                    <w:rPr>
                      <w:rFonts w:ascii="Times New Roman" w:hAnsi="Times New Roman" w:eastAsia="宋体" w:cs="Times New Roman"/>
                      <w:color w:val="000000" w:themeColor="text1"/>
                      <w:kern w:val="0"/>
                      <w:sz w:val="21"/>
                      <w:szCs w:val="21"/>
                      <w:highlight w:val="none"/>
                      <w14:textFill>
                        <w14:solidFill>
                          <w14:schemeClr w14:val="tx1"/>
                        </w14:solidFill>
                      </w14:textFill>
                    </w:rPr>
                    <w:t>耕植土</w:t>
                  </w:r>
                </w:p>
              </w:tc>
              <w:tc>
                <w:tcPr>
                  <w:tcW w:w="2311" w:type="pct"/>
                  <w:vAlign w:val="center"/>
                </w:tcPr>
                <w:p w14:paraId="10769AE5">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70819.3</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817" w:type="pct"/>
                  <w:vAlign w:val="center"/>
                </w:tcPr>
                <w:p w14:paraId="3120F0C0">
                  <w:pPr>
                    <w:adjustRightInd w:val="0"/>
                    <w:snapToGrid w:val="0"/>
                    <w:spacing w:line="240" w:lineRule="auto"/>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外购</w:t>
                  </w:r>
                </w:p>
              </w:tc>
            </w:tr>
            <w:tr w14:paraId="17F9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14:paraId="47F909D4">
                  <w:pPr>
                    <w:adjustRightInd w:val="0"/>
                    <w:snapToGrid w:val="0"/>
                    <w:spacing w:line="240" w:lineRule="auto"/>
                    <w:ind w:firstLine="0" w:firstLineChars="0"/>
                    <w:jc w:val="center"/>
                    <w:rPr>
                      <w:rFonts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防渗黏土</w:t>
                  </w:r>
                </w:p>
              </w:tc>
              <w:tc>
                <w:tcPr>
                  <w:tcW w:w="2311" w:type="pct"/>
                  <w:vAlign w:val="center"/>
                </w:tcPr>
                <w:p w14:paraId="0D4F9EEF">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24215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817" w:type="pct"/>
                  <w:vAlign w:val="center"/>
                </w:tcPr>
                <w:p w14:paraId="3799940E">
                  <w:pPr>
                    <w:adjustRightInd w:val="0"/>
                    <w:snapToGrid w:val="0"/>
                    <w:spacing w:line="240" w:lineRule="auto"/>
                    <w:ind w:firstLine="0" w:firstLineChars="0"/>
                    <w:jc w:val="center"/>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外购</w:t>
                  </w:r>
                </w:p>
              </w:tc>
            </w:tr>
          </w:tbl>
          <w:p w14:paraId="2FE5C2BE">
            <w:pPr>
              <w:adjustRightInd w:val="0"/>
              <w:ind w:firstLine="480" w:firstLineChars="0"/>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（2）种苗用量</w:t>
            </w:r>
          </w:p>
          <w:p w14:paraId="1C6CD183">
            <w:pPr>
              <w:adjustRightInd w:val="0"/>
              <w:snapToGrid w:val="0"/>
              <w:spacing w:line="240" w:lineRule="auto"/>
              <w:ind w:firstLine="0" w:firstLineChars="0"/>
              <w:jc w:val="center"/>
              <w:rPr>
                <w:b/>
                <w:bCs/>
                <w:color w:val="000000" w:themeColor="text1"/>
                <w:kern w:val="0"/>
                <w:sz w:val="24"/>
                <w:szCs w:val="24"/>
                <w:highlight w:val="none"/>
                <w14:textFill>
                  <w14:solidFill>
                    <w14:schemeClr w14:val="tx1"/>
                  </w14:solidFill>
                </w14:textFill>
              </w:rPr>
            </w:pPr>
            <w:r>
              <w:rPr>
                <w:b/>
                <w:bCs/>
                <w:color w:val="000000" w:themeColor="text1"/>
                <w:kern w:val="0"/>
                <w:sz w:val="24"/>
                <w:szCs w:val="24"/>
                <w:highlight w:val="none"/>
                <w14:textFill>
                  <w14:solidFill>
                    <w14:schemeClr w14:val="tx1"/>
                  </w14:solidFill>
                </w14:textFill>
              </w:rPr>
              <w:t>表2-</w:t>
            </w:r>
            <w:r>
              <w:rPr>
                <w:rFonts w:hint="eastAsia"/>
                <w:b/>
                <w:bCs/>
                <w:color w:val="000000" w:themeColor="text1"/>
                <w:kern w:val="0"/>
                <w:sz w:val="24"/>
                <w:szCs w:val="24"/>
                <w:highlight w:val="none"/>
                <w:lang w:val="en-US" w:eastAsia="zh-CN"/>
                <w14:textFill>
                  <w14:solidFill>
                    <w14:schemeClr w14:val="tx1"/>
                  </w14:solidFill>
                </w14:textFill>
              </w:rPr>
              <w:t xml:space="preserve">14  </w:t>
            </w:r>
            <w:r>
              <w:rPr>
                <w:b/>
                <w:bCs/>
                <w:color w:val="000000" w:themeColor="text1"/>
                <w:kern w:val="0"/>
                <w:sz w:val="24"/>
                <w:szCs w:val="24"/>
                <w:highlight w:val="none"/>
                <w14:textFill>
                  <w14:solidFill>
                    <w14:schemeClr w14:val="tx1"/>
                  </w14:solidFill>
                </w14:textFill>
              </w:rPr>
              <w:t>施工期种苗用量</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5863"/>
              <w:gridCol w:w="895"/>
            </w:tblGrid>
            <w:tr w14:paraId="78A8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tcPr>
                <w:p w14:paraId="15AE43F1">
                  <w:pPr>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名称</w:t>
                  </w:r>
                </w:p>
              </w:tc>
              <w:tc>
                <w:tcPr>
                  <w:tcW w:w="3491" w:type="pct"/>
                </w:tcPr>
                <w:p w14:paraId="5971349D">
                  <w:pPr>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用量</w:t>
                  </w:r>
                </w:p>
              </w:tc>
              <w:tc>
                <w:tcPr>
                  <w:tcW w:w="533" w:type="pct"/>
                </w:tcPr>
                <w:p w14:paraId="66FC507C">
                  <w:pPr>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来源</w:t>
                  </w:r>
                </w:p>
              </w:tc>
            </w:tr>
            <w:tr w14:paraId="7DA9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vAlign w:val="center"/>
                </w:tcPr>
                <w:p w14:paraId="78821DCC">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灌草种植</w:t>
                  </w:r>
                </w:p>
              </w:tc>
              <w:tc>
                <w:tcPr>
                  <w:tcW w:w="3491" w:type="pct"/>
                  <w:vAlign w:val="center"/>
                </w:tcPr>
                <w:p w14:paraId="4704D8CC">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圆柏、旱冬瓜652株；火棘、车桑子14820株；爬山虎、葛藤206株；播撒草籽169.7kg</w:t>
                  </w:r>
                </w:p>
              </w:tc>
              <w:tc>
                <w:tcPr>
                  <w:tcW w:w="533" w:type="pct"/>
                </w:tcPr>
                <w:p w14:paraId="43610FD8">
                  <w:pPr>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外购</w:t>
                  </w:r>
                </w:p>
              </w:tc>
            </w:tr>
          </w:tbl>
          <w:p w14:paraId="730A710B">
            <w:pPr>
              <w:adjustRightInd w:val="0"/>
              <w:ind w:left="0" w:leftChars="0" w:firstLine="0" w:firstLineChars="0"/>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6</w:t>
            </w:r>
            <w:r>
              <w:rPr>
                <w:b/>
                <w:bCs/>
                <w:color w:val="000000" w:themeColor="text1"/>
                <w:kern w:val="0"/>
                <w:szCs w:val="21"/>
                <w:highlight w:val="none"/>
                <w14:textFill>
                  <w14:solidFill>
                    <w14:schemeClr w14:val="tx1"/>
                  </w14:solidFill>
                </w14:textFill>
              </w:rPr>
              <w:t>、主要设备</w:t>
            </w:r>
          </w:p>
          <w:p w14:paraId="61448A6A">
            <w:pPr>
              <w:adjustRightInd w:val="0"/>
              <w:snapToGrid w:val="0"/>
              <w:spacing w:line="240" w:lineRule="auto"/>
              <w:ind w:firstLine="0" w:firstLineChars="0"/>
              <w:jc w:val="center"/>
              <w:rPr>
                <w:b/>
                <w:bCs/>
                <w:color w:val="000000" w:themeColor="text1"/>
                <w:kern w:val="0"/>
                <w:sz w:val="24"/>
                <w:szCs w:val="24"/>
                <w:highlight w:val="none"/>
                <w14:textFill>
                  <w14:solidFill>
                    <w14:schemeClr w14:val="tx1"/>
                  </w14:solidFill>
                </w14:textFill>
              </w:rPr>
            </w:pPr>
            <w:r>
              <w:rPr>
                <w:b/>
                <w:bCs/>
                <w:color w:val="000000" w:themeColor="text1"/>
                <w:kern w:val="0"/>
                <w:sz w:val="24"/>
                <w:szCs w:val="24"/>
                <w:highlight w:val="none"/>
                <w14:textFill>
                  <w14:solidFill>
                    <w14:schemeClr w14:val="tx1"/>
                  </w14:solidFill>
                </w14:textFill>
              </w:rPr>
              <w:t>表2-</w:t>
            </w:r>
            <w:r>
              <w:rPr>
                <w:rFonts w:hint="eastAsia"/>
                <w:b/>
                <w:bCs/>
                <w:color w:val="000000" w:themeColor="text1"/>
                <w:kern w:val="0"/>
                <w:sz w:val="24"/>
                <w:szCs w:val="24"/>
                <w:highlight w:val="none"/>
                <w:lang w:val="en-US" w:eastAsia="zh-CN"/>
                <w14:textFill>
                  <w14:solidFill>
                    <w14:schemeClr w14:val="tx1"/>
                  </w14:solidFill>
                </w14:textFill>
              </w:rPr>
              <w:t xml:space="preserve">15  </w:t>
            </w:r>
            <w:r>
              <w:rPr>
                <w:b/>
                <w:bCs/>
                <w:color w:val="000000" w:themeColor="text1"/>
                <w:kern w:val="0"/>
                <w:sz w:val="24"/>
                <w:szCs w:val="24"/>
                <w:highlight w:val="none"/>
                <w14:textFill>
                  <w14:solidFill>
                    <w14:schemeClr w14:val="tx1"/>
                  </w14:solidFill>
                </w14:textFill>
              </w:rPr>
              <w:t>主要施工设备一览表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799"/>
              <w:gridCol w:w="2800"/>
            </w:tblGrid>
            <w:tr w14:paraId="066A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D7EEA56">
                  <w:pPr>
                    <w:bidi/>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设备名称</w:t>
                  </w:r>
                </w:p>
              </w:tc>
              <w:tc>
                <w:tcPr>
                  <w:tcW w:w="1666" w:type="pct"/>
                </w:tcPr>
                <w:p w14:paraId="28F0B950">
                  <w:pPr>
                    <w:bidi/>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规格</w:t>
                  </w:r>
                </w:p>
              </w:tc>
              <w:tc>
                <w:tcPr>
                  <w:tcW w:w="1666" w:type="pct"/>
                </w:tcPr>
                <w:p w14:paraId="36020443">
                  <w:pPr>
                    <w:bidi/>
                    <w:adjustRightInd w:val="0"/>
                    <w:snapToGrid w:val="0"/>
                    <w:spacing w:line="240" w:lineRule="auto"/>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数量</w:t>
                  </w:r>
                </w:p>
              </w:tc>
            </w:tr>
            <w:tr w14:paraId="4341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4843F66">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挖掘机</w:t>
                  </w:r>
                </w:p>
              </w:tc>
              <w:tc>
                <w:tcPr>
                  <w:tcW w:w="1666" w:type="pct"/>
                </w:tcPr>
                <w:p w14:paraId="5080FA6E">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1m³</w:t>
                  </w:r>
                </w:p>
              </w:tc>
              <w:tc>
                <w:tcPr>
                  <w:tcW w:w="1666" w:type="pct"/>
                </w:tcPr>
                <w:p w14:paraId="7F1427A6">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2辆</w:t>
                  </w:r>
                </w:p>
              </w:tc>
            </w:tr>
            <w:tr w14:paraId="59C8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470520C">
                  <w:pPr>
                    <w:bidi/>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推土机</w:t>
                  </w:r>
                </w:p>
              </w:tc>
              <w:tc>
                <w:tcPr>
                  <w:tcW w:w="1666" w:type="pct"/>
                </w:tcPr>
                <w:p w14:paraId="74088A32">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履带式</w:t>
                  </w:r>
                </w:p>
              </w:tc>
              <w:tc>
                <w:tcPr>
                  <w:tcW w:w="1666" w:type="pct"/>
                </w:tcPr>
                <w:p w14:paraId="06AA9954">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3辆</w:t>
                  </w:r>
                </w:p>
              </w:tc>
            </w:tr>
            <w:tr w14:paraId="260F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87BDAD5">
                  <w:pPr>
                    <w:bidi/>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重型运输车辆</w:t>
                  </w:r>
                </w:p>
              </w:tc>
              <w:tc>
                <w:tcPr>
                  <w:tcW w:w="1666" w:type="pct"/>
                </w:tcPr>
                <w:p w14:paraId="1286C445">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15t</w:t>
                  </w:r>
                </w:p>
              </w:tc>
              <w:tc>
                <w:tcPr>
                  <w:tcW w:w="1666" w:type="pct"/>
                </w:tcPr>
                <w:p w14:paraId="572448F5">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5辆</w:t>
                  </w:r>
                </w:p>
              </w:tc>
            </w:tr>
            <w:tr w14:paraId="44D8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466C5D0">
                  <w:pPr>
                    <w:bidi/>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洒水车</w:t>
                  </w:r>
                </w:p>
              </w:tc>
              <w:tc>
                <w:tcPr>
                  <w:tcW w:w="1666" w:type="pct"/>
                </w:tcPr>
                <w:p w14:paraId="35BF9880">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20m³</w:t>
                  </w:r>
                </w:p>
              </w:tc>
              <w:tc>
                <w:tcPr>
                  <w:tcW w:w="1666" w:type="pct"/>
                </w:tcPr>
                <w:p w14:paraId="124A3B79">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1辆</w:t>
                  </w:r>
                </w:p>
              </w:tc>
            </w:tr>
            <w:tr w14:paraId="4384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7A9694A">
                  <w:pPr>
                    <w:bidi/>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压路机</w:t>
                  </w:r>
                </w:p>
              </w:tc>
              <w:tc>
                <w:tcPr>
                  <w:tcW w:w="1666" w:type="pct"/>
                </w:tcPr>
                <w:p w14:paraId="7939181E">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30t</w:t>
                  </w:r>
                </w:p>
              </w:tc>
              <w:tc>
                <w:tcPr>
                  <w:tcW w:w="1666" w:type="pct"/>
                </w:tcPr>
                <w:p w14:paraId="1E5F27BE">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1辆</w:t>
                  </w:r>
                </w:p>
              </w:tc>
            </w:tr>
            <w:tr w14:paraId="0903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A4DF671">
                  <w:pPr>
                    <w:bidi/>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装载机</w:t>
                  </w:r>
                </w:p>
              </w:tc>
              <w:tc>
                <w:tcPr>
                  <w:tcW w:w="1666" w:type="pct"/>
                </w:tcPr>
                <w:p w14:paraId="2BF43953">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3m³</w:t>
                  </w:r>
                </w:p>
              </w:tc>
              <w:tc>
                <w:tcPr>
                  <w:tcW w:w="1666" w:type="pct"/>
                </w:tcPr>
                <w:p w14:paraId="5347EAAF">
                  <w:pPr>
                    <w:bidi/>
                    <w:adjustRightInd w:val="0"/>
                    <w:snapToGrid w:val="0"/>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1辆</w:t>
                  </w:r>
                </w:p>
              </w:tc>
            </w:tr>
          </w:tbl>
          <w:p w14:paraId="59952FEF">
            <w:pPr>
              <w:adjustRightInd w:val="0"/>
              <w:ind w:left="0" w:leftChars="0" w:firstLine="0" w:firstLineChars="0"/>
              <w:jc w:val="both"/>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7</w:t>
            </w:r>
            <w:r>
              <w:rPr>
                <w:b/>
                <w:bCs/>
                <w:color w:val="000000" w:themeColor="text1"/>
                <w:kern w:val="0"/>
                <w:szCs w:val="21"/>
                <w:highlight w:val="none"/>
                <w14:textFill>
                  <w14:solidFill>
                    <w14:schemeClr w14:val="tx1"/>
                  </w14:solidFill>
                </w14:textFill>
              </w:rPr>
              <w:t>、劳动定员</w:t>
            </w:r>
          </w:p>
          <w:p w14:paraId="4B5CBF9C">
            <w:pPr>
              <w:adjustRightInd w:val="0"/>
              <w:ind w:firstLine="480" w:firstLineChars="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该项目施工高峰期劳动定员30人，负责回填修复区回填及植被种植，不在施工场地内食宿。每天一班，每班8小时，年工作365天，项目建设时间为</w:t>
            </w:r>
            <w:r>
              <w:rPr>
                <w:color w:val="000000" w:themeColor="text1"/>
                <w:kern w:val="0"/>
                <w:highlight w:val="none"/>
                <w:lang w:bidi="ar"/>
                <w14:textFill>
                  <w14:solidFill>
                    <w14:schemeClr w14:val="tx1"/>
                  </w14:solidFill>
                </w14:textFill>
              </w:rPr>
              <w:t>202</w:t>
            </w:r>
            <w:r>
              <w:rPr>
                <w:rFonts w:hint="eastAsia"/>
                <w:color w:val="000000" w:themeColor="text1"/>
                <w:kern w:val="0"/>
                <w:highlight w:val="none"/>
                <w:lang w:val="en-US" w:eastAsia="zh-CN" w:bidi="ar"/>
                <w14:textFill>
                  <w14:solidFill>
                    <w14:schemeClr w14:val="tx1"/>
                  </w14:solidFill>
                </w14:textFill>
              </w:rPr>
              <w:t>6</w:t>
            </w:r>
            <w:r>
              <w:rPr>
                <w:color w:val="000000" w:themeColor="text1"/>
                <w:kern w:val="0"/>
                <w:highlight w:val="none"/>
                <w:lang w:bidi="ar"/>
                <w14:textFill>
                  <w14:solidFill>
                    <w14:schemeClr w14:val="tx1"/>
                  </w14:solidFill>
                </w14:textFill>
              </w:rPr>
              <w:t>年</w:t>
            </w:r>
            <w:r>
              <w:rPr>
                <w:rFonts w:hint="eastAsia"/>
                <w:color w:val="000000" w:themeColor="text1"/>
                <w:kern w:val="0"/>
                <w:highlight w:val="none"/>
                <w:lang w:val="en-US" w:eastAsia="zh-CN" w:bidi="ar"/>
                <w14:textFill>
                  <w14:solidFill>
                    <w14:schemeClr w14:val="tx1"/>
                  </w14:solidFill>
                </w14:textFill>
              </w:rPr>
              <w:t>1</w:t>
            </w:r>
            <w:r>
              <w:rPr>
                <w:color w:val="000000" w:themeColor="text1"/>
                <w:kern w:val="0"/>
                <w:highlight w:val="none"/>
                <w:lang w:bidi="ar"/>
                <w14:textFill>
                  <w14:solidFill>
                    <w14:schemeClr w14:val="tx1"/>
                  </w14:solidFill>
                </w14:textFill>
              </w:rPr>
              <w:t>月至20</w:t>
            </w:r>
            <w:r>
              <w:rPr>
                <w:rFonts w:hint="eastAsia"/>
                <w:color w:val="000000" w:themeColor="text1"/>
                <w:kern w:val="0"/>
                <w:highlight w:val="none"/>
                <w:lang w:val="en-US" w:eastAsia="zh-CN" w:bidi="ar"/>
                <w14:textFill>
                  <w14:solidFill>
                    <w14:schemeClr w14:val="tx1"/>
                  </w14:solidFill>
                </w14:textFill>
              </w:rPr>
              <w:t>30</w:t>
            </w:r>
            <w:r>
              <w:rPr>
                <w:color w:val="000000" w:themeColor="text1"/>
                <w:kern w:val="0"/>
                <w:highlight w:val="none"/>
                <w:lang w:bidi="ar"/>
                <w14:textFill>
                  <w14:solidFill>
                    <w14:schemeClr w14:val="tx1"/>
                  </w14:solidFill>
                </w14:textFill>
              </w:rPr>
              <w:t>年</w:t>
            </w:r>
            <w:r>
              <w:rPr>
                <w:rFonts w:hint="eastAsia"/>
                <w:color w:val="000000" w:themeColor="text1"/>
                <w:kern w:val="0"/>
                <w:highlight w:val="none"/>
                <w:lang w:val="en-US" w:eastAsia="zh-CN" w:bidi="ar"/>
                <w14:textFill>
                  <w14:solidFill>
                    <w14:schemeClr w14:val="tx1"/>
                  </w14:solidFill>
                </w14:textFill>
              </w:rPr>
              <w:t>1</w:t>
            </w:r>
            <w:r>
              <w:rPr>
                <w:color w:val="000000" w:themeColor="text1"/>
                <w:kern w:val="0"/>
                <w:highlight w:val="none"/>
                <w:lang w:bidi="ar"/>
                <w14:textFill>
                  <w14:solidFill>
                    <w14:schemeClr w14:val="tx1"/>
                  </w14:solidFill>
                </w14:textFill>
              </w:rPr>
              <w:t>月</w:t>
            </w:r>
            <w:r>
              <w:rPr>
                <w:rFonts w:hint="eastAsia"/>
                <w:color w:val="000000" w:themeColor="text1"/>
                <w:kern w:val="0"/>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第一阶段施工期（202</w:t>
            </w:r>
            <w:r>
              <w:rPr>
                <w:rFonts w:hint="eastAsia"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月至2027年</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月），第二阶段管护期（20</w:t>
            </w:r>
            <w:r>
              <w:rPr>
                <w:rFonts w:hint="eastAsia" w:cs="Times New Roman"/>
                <w:color w:val="000000" w:themeColor="text1"/>
                <w:sz w:val="24"/>
                <w:highlight w:val="none"/>
                <w:lang w:val="en-US" w:eastAsia="zh-CN"/>
                <w14:textFill>
                  <w14:solidFill>
                    <w14:schemeClr w14:val="tx1"/>
                  </w14:solidFill>
                </w14:textFill>
              </w:rPr>
              <w:t>27</w:t>
            </w:r>
            <w:r>
              <w:rPr>
                <w:rFonts w:hint="default" w:ascii="Times New Roman" w:hAnsi="Times New Roman" w:cs="Times New Roman"/>
                <w:color w:val="000000" w:themeColor="text1"/>
                <w:sz w:val="24"/>
                <w:highlight w:val="none"/>
                <w14:textFill>
                  <w14:solidFill>
                    <w14:schemeClr w14:val="tx1"/>
                  </w14:solidFill>
                </w14:textFill>
              </w:rPr>
              <w:t>年1月至2030年</w:t>
            </w: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月）</w:t>
            </w:r>
            <w:r>
              <w:rPr>
                <w:color w:val="000000" w:themeColor="text1"/>
                <w:kern w:val="0"/>
                <w:szCs w:val="21"/>
                <w:highlight w:val="none"/>
                <w14:textFill>
                  <w14:solidFill>
                    <w14:schemeClr w14:val="tx1"/>
                  </w14:solidFill>
                </w14:textFill>
              </w:rPr>
              <w:t>。</w:t>
            </w:r>
          </w:p>
        </w:tc>
      </w:tr>
      <w:tr w14:paraId="1DF06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0A8BA83">
            <w:pPr>
              <w:adjustRightInd w:val="0"/>
              <w:snapToGrid w:val="0"/>
              <w:spacing w:line="240" w:lineRule="auto"/>
              <w:ind w:firstLine="0" w:firstLineChars="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总平面及现场布置</w:t>
            </w:r>
          </w:p>
        </w:tc>
        <w:tc>
          <w:tcPr>
            <w:tcW w:w="8623" w:type="dxa"/>
            <w:vAlign w:val="center"/>
          </w:tcPr>
          <w:p w14:paraId="6407E531">
            <w:pPr>
              <w:adjustRightInd w:val="0"/>
              <w:snapToGrid w:val="0"/>
              <w:ind w:firstLine="480"/>
              <w:rPr>
                <w:color w:val="000000" w:themeColor="text1"/>
                <w:highlight w:val="none"/>
                <w14:textFill>
                  <w14:solidFill>
                    <w14:schemeClr w14:val="tx1"/>
                  </w14:solidFill>
                </w14:textFill>
              </w:rPr>
            </w:pPr>
            <w:r>
              <w:rPr>
                <w:color w:val="000000" w:themeColor="text1"/>
                <w:kern w:val="0"/>
                <w:szCs w:val="21"/>
                <w:highlight w:val="none"/>
                <w14:textFill>
                  <w14:solidFill>
                    <w14:schemeClr w14:val="tx1"/>
                  </w14:solidFill>
                </w14:textFill>
              </w:rPr>
              <w:t>本次生态修复项目修复面积</w:t>
            </w:r>
            <w:r>
              <w:rPr>
                <w:rFonts w:hint="eastAsia"/>
                <w:color w:val="000000" w:themeColor="text1"/>
                <w:kern w:val="0"/>
                <w:szCs w:val="21"/>
                <w:highlight w:val="none"/>
                <w:lang w:val="en-US" w:eastAsia="zh-CN"/>
                <w14:textFill>
                  <w14:solidFill>
                    <w14:schemeClr w14:val="tx1"/>
                  </w14:solidFill>
                </w14:textFill>
              </w:rPr>
              <w:t>63132</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2</w:t>
            </w:r>
            <w:r>
              <w:rPr>
                <w:color w:val="000000" w:themeColor="text1"/>
                <w:kern w:val="0"/>
                <w:szCs w:val="21"/>
                <w:highlight w:val="none"/>
                <w14:textFill>
                  <w14:solidFill>
                    <w14:schemeClr w14:val="tx1"/>
                  </w14:solidFill>
                </w14:textFill>
              </w:rPr>
              <w:t>。矿坑生态修复工程平面布置见附图3。</w:t>
            </w:r>
          </w:p>
        </w:tc>
      </w:tr>
      <w:tr w14:paraId="19381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B6F3A6C">
            <w:pPr>
              <w:adjustRightInd w:val="0"/>
              <w:snapToGrid w:val="0"/>
              <w:spacing w:line="240" w:lineRule="auto"/>
              <w:ind w:firstLine="0" w:firstLineChars="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施工方案</w:t>
            </w:r>
          </w:p>
        </w:tc>
        <w:tc>
          <w:tcPr>
            <w:tcW w:w="8623" w:type="dxa"/>
            <w:vAlign w:val="center"/>
          </w:tcPr>
          <w:p w14:paraId="6520FE13">
            <w:pPr>
              <w:adjustRightInd w:val="0"/>
              <w:snapToGrid w:val="0"/>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根据项目总体布局，生态修复区回填区工程施工工序为：场地清理→截排水沟施工→拦挡设施修建→底部防渗工程→回填生态修复材料→顶部防渗层→植被恢复。</w:t>
            </w:r>
          </w:p>
          <w:p w14:paraId="3DC00BA0">
            <w:pPr>
              <w:adjustRightInd w:val="0"/>
              <w:snapToGrid w:val="0"/>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生态修复区非回填区施工工序为覆耕植土→植被恢复施工。</w:t>
            </w:r>
          </w:p>
          <w:p w14:paraId="0B8AC21C">
            <w:pPr>
              <w:pStyle w:val="72"/>
              <w:adjustRightInd w:val="0"/>
              <w:ind w:firstLine="498"/>
              <w:jc w:val="both"/>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1、施工组织设计</w:t>
            </w:r>
          </w:p>
          <w:p w14:paraId="65455C80">
            <w:pPr>
              <w:widowControl/>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（1）施工交通</w:t>
            </w:r>
          </w:p>
          <w:p w14:paraId="30FA7A69">
            <w:pPr>
              <w:widowControl/>
              <w:ind w:firstLine="480"/>
              <w:rPr>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主要交通道路为以往用于矿业运输的运输通道，外部连接各村庄的农村道路，路宽3.0—4.0m治理区向外连接附近农村水泥路，交通便利。</w:t>
            </w:r>
          </w:p>
          <w:p w14:paraId="1436D4CE">
            <w:pPr>
              <w:widowControl/>
              <w:ind w:firstLine="480"/>
              <w:rPr>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项目改性磷石膏材料运输由寻甸县科技和工业信息化局委托第三方运输队伍进行运输，改性</w:t>
            </w:r>
            <w:r>
              <w:rPr>
                <w:color w:val="000000" w:themeColor="text1"/>
                <w:spacing w:val="10"/>
                <w:highlight w:val="none"/>
                <w14:textFill>
                  <w14:solidFill>
                    <w14:schemeClr w14:val="tx1"/>
                  </w14:solidFill>
                </w14:textFill>
              </w:rPr>
              <w:t>磷石膏材料运输采用汽车运输，外部运输道路与修复区运输道路平顺连接。矿坑修复区</w:t>
            </w:r>
            <w:r>
              <w:rPr>
                <w:rFonts w:hint="eastAsia"/>
                <w:color w:val="000000" w:themeColor="text1"/>
                <w:spacing w:val="10"/>
                <w:highlight w:val="none"/>
                <w:lang w:val="en-US" w:eastAsia="zh-CN"/>
                <w14:textFill>
                  <w14:solidFill>
                    <w14:schemeClr w14:val="tx1"/>
                  </w14:solidFill>
                </w14:textFill>
              </w:rPr>
              <w:t>西侧</w:t>
            </w:r>
            <w:r>
              <w:rPr>
                <w:color w:val="000000" w:themeColor="text1"/>
                <w:spacing w:val="10"/>
                <w:highlight w:val="none"/>
                <w14:textFill>
                  <w14:solidFill>
                    <w14:schemeClr w14:val="tx1"/>
                  </w14:solidFill>
                </w14:textFill>
              </w:rPr>
              <w:t>的简易公路与</w:t>
            </w:r>
            <w:r>
              <w:rPr>
                <w:rFonts w:hint="eastAsia"/>
                <w:color w:val="000000" w:themeColor="text1"/>
                <w:spacing w:val="10"/>
                <w:highlight w:val="none"/>
                <w:lang w:val="en-US" w:eastAsia="zh-CN"/>
                <w14:textFill>
                  <w14:solidFill>
                    <w14:schemeClr w14:val="tx1"/>
                  </w14:solidFill>
                </w14:textFill>
              </w:rPr>
              <w:t>兰马</w:t>
            </w:r>
            <w:r>
              <w:rPr>
                <w:rFonts w:hint="eastAsia"/>
                <w:color w:val="000000" w:themeColor="text1"/>
                <w:spacing w:val="10"/>
                <w:highlight w:val="none"/>
                <w14:textFill>
                  <w14:solidFill>
                    <w14:schemeClr w14:val="tx1"/>
                  </w14:solidFill>
                </w14:textFill>
              </w:rPr>
              <w:t>线</w:t>
            </w:r>
            <w:r>
              <w:rPr>
                <w:color w:val="000000" w:themeColor="text1"/>
                <w:spacing w:val="10"/>
                <w:highlight w:val="none"/>
                <w14:textFill>
                  <w14:solidFill>
                    <w14:schemeClr w14:val="tx1"/>
                  </w14:solidFill>
                </w14:textFill>
              </w:rPr>
              <w:t>相连</w:t>
            </w:r>
            <w:r>
              <w:rPr>
                <w:rFonts w:hint="eastAsia"/>
                <w:color w:val="000000" w:themeColor="text1"/>
                <w:spacing w:val="10"/>
                <w:highlight w:val="none"/>
                <w14:textFill>
                  <w14:solidFill>
                    <w14:schemeClr w14:val="tx1"/>
                  </w14:solidFill>
                </w14:textFill>
              </w:rPr>
              <w:t>矿区运输线路方便</w:t>
            </w:r>
            <w:r>
              <w:rPr>
                <w:color w:val="000000" w:themeColor="text1"/>
                <w:spacing w:val="10"/>
                <w:highlight w:val="none"/>
                <w14:textFill>
                  <w14:solidFill>
                    <w14:schemeClr w14:val="tx1"/>
                  </w14:solidFill>
                </w14:textFill>
              </w:rPr>
              <w:t>。</w:t>
            </w:r>
          </w:p>
          <w:p w14:paraId="168EA154">
            <w:pPr>
              <w:pStyle w:val="72"/>
              <w:adjustRightInd w:val="0"/>
              <w:ind w:firstLine="498"/>
              <w:jc w:val="both"/>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（2）施工用水</w:t>
            </w:r>
          </w:p>
          <w:p w14:paraId="78CFD9B8">
            <w:pPr>
              <w:widowControl/>
              <w:ind w:firstLine="480"/>
              <w:jc w:val="left"/>
              <w:rPr>
                <w:color w:val="000000" w:themeColor="text1"/>
                <w:highlight w:val="none"/>
                <w14:textFill>
                  <w14:solidFill>
                    <w14:schemeClr w14:val="tx1"/>
                  </w14:solidFill>
                </w14:textFill>
              </w:rPr>
            </w:pPr>
            <w:r>
              <w:rPr>
                <w:color w:val="000000" w:themeColor="text1"/>
                <w:kern w:val="0"/>
                <w:highlight w:val="none"/>
                <w:lang w:bidi="ar"/>
                <w14:textFill>
                  <w14:solidFill>
                    <w14:schemeClr w14:val="tx1"/>
                  </w14:solidFill>
                </w14:textFill>
              </w:rPr>
              <w:t>项目用水主要为洒水降尘用水，项目用水从渗滤液收集井、回用水池内取水，不够的由建设单位洒水车运至施工区域，供水能力满足项目需要。</w:t>
            </w:r>
          </w:p>
          <w:p w14:paraId="58E06F9D">
            <w:pPr>
              <w:pStyle w:val="72"/>
              <w:adjustRightInd w:val="0"/>
              <w:ind w:firstLine="498"/>
              <w:jc w:val="both"/>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（3）施工用电</w:t>
            </w:r>
          </w:p>
          <w:p w14:paraId="3526B8F8">
            <w:pPr>
              <w:widowControl/>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从附近供电系统接入，供电能力满足项目需要。</w:t>
            </w:r>
          </w:p>
          <w:p w14:paraId="2992E141">
            <w:pPr>
              <w:pStyle w:val="72"/>
              <w:adjustRightInd w:val="0"/>
              <w:ind w:firstLine="498"/>
              <w:jc w:val="both"/>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（4）施工排水</w:t>
            </w:r>
          </w:p>
          <w:p w14:paraId="02D84851">
            <w:pPr>
              <w:widowControl/>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施工期施工废水经收集沉淀后回用，回填区内部雨水及渗滤液经收集后排入渗滤液收集井、回用水池，最终回用于洒水降尘。</w:t>
            </w:r>
          </w:p>
          <w:p w14:paraId="3E5B0CC4">
            <w:pPr>
              <w:pStyle w:val="72"/>
              <w:adjustRightInd w:val="0"/>
              <w:ind w:firstLine="498"/>
              <w:jc w:val="both"/>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（5）三场设施</w:t>
            </w:r>
          </w:p>
          <w:p w14:paraId="46057DAB">
            <w:pPr>
              <w:widowControl/>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项目无临时堆场，施工场地均在项目修复面积内设置，不新增临时占地。不设取土场，不设弃土场，不设施工营地。</w:t>
            </w:r>
          </w:p>
          <w:p w14:paraId="5BB2D805">
            <w:pPr>
              <w:widowControl/>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施工营地：施工人员均为附近村民，不设施工营地。</w:t>
            </w:r>
          </w:p>
          <w:p w14:paraId="77161BEB">
            <w:pPr>
              <w:pStyle w:val="72"/>
              <w:adjustRightInd w:val="0"/>
              <w:ind w:firstLine="498"/>
              <w:jc w:val="both"/>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2、施工时限</w:t>
            </w:r>
          </w:p>
          <w:p w14:paraId="2639F9FD">
            <w:pPr>
              <w:widowControl/>
              <w:ind w:firstLine="480"/>
              <w:rPr>
                <w:color w:val="000000" w:themeColor="text1"/>
                <w:highlight w:val="none"/>
                <w14:textFill>
                  <w14:solidFill>
                    <w14:schemeClr w14:val="tx1"/>
                  </w14:solidFill>
                </w14:textFill>
              </w:rPr>
            </w:pPr>
            <w:r>
              <w:rPr>
                <w:color w:val="000000" w:themeColor="text1"/>
                <w:kern w:val="0"/>
                <w:szCs w:val="21"/>
                <w:highlight w:val="none"/>
                <w14:textFill>
                  <w14:solidFill>
                    <w14:schemeClr w14:val="tx1"/>
                  </w14:solidFill>
                </w14:textFill>
              </w:rPr>
              <w:t>项目建设时间为</w:t>
            </w:r>
            <w:r>
              <w:rPr>
                <w:rFonts w:hint="eastAsia" w:ascii="宋体" w:hAnsi="宋体"/>
                <w:color w:val="000000" w:themeColor="text1"/>
                <w:highlight w:val="none"/>
                <w14:textFill>
                  <w14:solidFill>
                    <w14:schemeClr w14:val="tx1"/>
                  </w14:solidFill>
                </w14:textFill>
              </w:rPr>
              <w:t>2026年1月开始至2029年12月</w:t>
            </w:r>
            <w:r>
              <w:rPr>
                <w:rFonts w:hint="eastAsia"/>
                <w:color w:val="000000" w:themeColor="text1"/>
                <w:kern w:val="0"/>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第一阶段施工期</w:t>
            </w:r>
            <w:r>
              <w:rPr>
                <w:rFonts w:hint="eastAsia" w:cs="Times New Roman"/>
                <w:color w:val="000000" w:themeColor="text1"/>
                <w:sz w:val="24"/>
                <w:highlight w:val="none"/>
                <w:lang w:val="en-US" w:eastAsia="zh-CN"/>
                <w14:textFill>
                  <w14:solidFill>
                    <w14:schemeClr w14:val="tx1"/>
                  </w14:solidFill>
                </w14:textFill>
              </w:rPr>
              <w:t>为1年</w:t>
            </w:r>
            <w:r>
              <w:rPr>
                <w:rFonts w:hint="eastAsia" w:ascii="宋体" w:hAnsi="宋体"/>
                <w:color w:val="000000" w:themeColor="text1"/>
                <w:highlight w:val="none"/>
                <w14:textFill>
                  <w14:solidFill>
                    <w14:schemeClr w14:val="tx1"/>
                  </w14:solidFill>
                </w14:textFill>
              </w:rPr>
              <w:t>（2026年1月至2026年12月）</w:t>
            </w:r>
            <w:r>
              <w:rPr>
                <w:rFonts w:hint="default" w:ascii="Times New Roman" w:hAnsi="Times New Roman" w:cs="Times New Roman"/>
                <w:color w:val="000000" w:themeColor="text1"/>
                <w:sz w:val="24"/>
                <w:highlight w:val="none"/>
                <w14:textFill>
                  <w14:solidFill>
                    <w14:schemeClr w14:val="tx1"/>
                  </w14:solidFill>
                </w14:textFill>
              </w:rPr>
              <w:t>，第二阶段管护期</w:t>
            </w:r>
            <w:r>
              <w:rPr>
                <w:rFonts w:hint="eastAsia" w:cs="Times New Roman"/>
                <w:color w:val="000000" w:themeColor="text1"/>
                <w:sz w:val="24"/>
                <w:highlight w:val="none"/>
                <w:lang w:val="en-US" w:eastAsia="zh-CN"/>
                <w14:textFill>
                  <w14:solidFill>
                    <w14:schemeClr w14:val="tx1"/>
                  </w14:solidFill>
                </w14:textFill>
              </w:rPr>
              <w:t>3年</w:t>
            </w:r>
            <w:r>
              <w:rPr>
                <w:rFonts w:hint="eastAsia" w:ascii="宋体" w:hAnsi="宋体"/>
                <w:color w:val="000000" w:themeColor="text1"/>
                <w:highlight w:val="none"/>
                <w14:textFill>
                  <w14:solidFill>
                    <w14:schemeClr w14:val="tx1"/>
                  </w14:solidFill>
                </w14:textFill>
              </w:rPr>
              <w:t>（2027年1月至2029年12月）</w:t>
            </w:r>
            <w:r>
              <w:rPr>
                <w:color w:val="000000" w:themeColor="text1"/>
                <w:kern w:val="0"/>
                <w:szCs w:val="21"/>
                <w:highlight w:val="none"/>
                <w14:textFill>
                  <w14:solidFill>
                    <w14:schemeClr w14:val="tx1"/>
                  </w14:solidFill>
                </w14:textFill>
              </w:rPr>
              <w:t>。</w:t>
            </w:r>
          </w:p>
        </w:tc>
      </w:tr>
      <w:tr w14:paraId="3BF7C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8B89F89">
            <w:pPr>
              <w:adjustRightInd w:val="0"/>
              <w:snapToGrid w:val="0"/>
              <w:ind w:firstLine="0" w:firstLineChars="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其他</w:t>
            </w:r>
          </w:p>
        </w:tc>
        <w:tc>
          <w:tcPr>
            <w:tcW w:w="8623" w:type="dxa"/>
            <w:vAlign w:val="center"/>
          </w:tcPr>
          <w:p w14:paraId="7DCCFC4B">
            <w:pPr>
              <w:adjustRightInd w:val="0"/>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w:t>
            </w:r>
          </w:p>
          <w:p w14:paraId="5C7BB8F0">
            <w:pPr>
              <w:adjustRightInd w:val="0"/>
              <w:ind w:firstLine="0" w:firstLineChars="0"/>
              <w:rPr>
                <w:color w:val="000000" w:themeColor="text1"/>
                <w:highlight w:val="none"/>
                <w14:textFill>
                  <w14:solidFill>
                    <w14:schemeClr w14:val="tx1"/>
                  </w14:solidFill>
                </w14:textFill>
              </w:rPr>
            </w:pPr>
          </w:p>
          <w:p w14:paraId="45E3AA65">
            <w:pPr>
              <w:adjustRightInd w:val="0"/>
              <w:ind w:firstLine="0" w:firstLineChars="0"/>
              <w:rPr>
                <w:color w:val="000000" w:themeColor="text1"/>
                <w:highlight w:val="none"/>
                <w14:textFill>
                  <w14:solidFill>
                    <w14:schemeClr w14:val="tx1"/>
                  </w14:solidFill>
                </w14:textFill>
              </w:rPr>
            </w:pPr>
          </w:p>
          <w:p w14:paraId="11719B95">
            <w:pPr>
              <w:adjustRightInd w:val="0"/>
              <w:ind w:firstLine="0" w:firstLineChars="0"/>
              <w:rPr>
                <w:color w:val="000000" w:themeColor="text1"/>
                <w:highlight w:val="none"/>
                <w14:textFill>
                  <w14:solidFill>
                    <w14:schemeClr w14:val="tx1"/>
                  </w14:solidFill>
                </w14:textFill>
              </w:rPr>
            </w:pPr>
          </w:p>
          <w:p w14:paraId="2F30B542">
            <w:pPr>
              <w:adjustRightInd w:val="0"/>
              <w:ind w:firstLine="0" w:firstLineChars="0"/>
              <w:rPr>
                <w:color w:val="000000" w:themeColor="text1"/>
                <w:highlight w:val="none"/>
                <w14:textFill>
                  <w14:solidFill>
                    <w14:schemeClr w14:val="tx1"/>
                  </w14:solidFill>
                </w14:textFill>
              </w:rPr>
            </w:pPr>
          </w:p>
          <w:p w14:paraId="6A75AEE1">
            <w:pPr>
              <w:adjustRightInd w:val="0"/>
              <w:ind w:firstLine="0" w:firstLineChars="0"/>
              <w:rPr>
                <w:color w:val="000000" w:themeColor="text1"/>
                <w:highlight w:val="none"/>
                <w14:textFill>
                  <w14:solidFill>
                    <w14:schemeClr w14:val="tx1"/>
                  </w14:solidFill>
                </w14:textFill>
              </w:rPr>
            </w:pPr>
          </w:p>
          <w:p w14:paraId="2A91203C">
            <w:pPr>
              <w:adjustRightInd w:val="0"/>
              <w:ind w:firstLine="0" w:firstLineChars="0"/>
              <w:rPr>
                <w:color w:val="000000" w:themeColor="text1"/>
                <w:highlight w:val="none"/>
                <w14:textFill>
                  <w14:solidFill>
                    <w14:schemeClr w14:val="tx1"/>
                  </w14:solidFill>
                </w14:textFill>
              </w:rPr>
            </w:pPr>
          </w:p>
          <w:p w14:paraId="56B6E31A">
            <w:pPr>
              <w:adjustRightInd w:val="0"/>
              <w:ind w:firstLine="0" w:firstLineChars="0"/>
              <w:rPr>
                <w:color w:val="000000" w:themeColor="text1"/>
                <w:highlight w:val="none"/>
                <w14:textFill>
                  <w14:solidFill>
                    <w14:schemeClr w14:val="tx1"/>
                  </w14:solidFill>
                </w14:textFill>
              </w:rPr>
            </w:pPr>
          </w:p>
          <w:p w14:paraId="387BEBFF">
            <w:pPr>
              <w:adjustRightInd w:val="0"/>
              <w:ind w:firstLine="0" w:firstLineChars="0"/>
              <w:rPr>
                <w:color w:val="000000" w:themeColor="text1"/>
                <w:highlight w:val="none"/>
                <w14:textFill>
                  <w14:solidFill>
                    <w14:schemeClr w14:val="tx1"/>
                  </w14:solidFill>
                </w14:textFill>
              </w:rPr>
            </w:pPr>
          </w:p>
          <w:p w14:paraId="4A6A8BA3">
            <w:pPr>
              <w:adjustRightInd w:val="0"/>
              <w:ind w:firstLine="0" w:firstLineChars="0"/>
              <w:rPr>
                <w:color w:val="000000" w:themeColor="text1"/>
                <w:highlight w:val="none"/>
                <w14:textFill>
                  <w14:solidFill>
                    <w14:schemeClr w14:val="tx1"/>
                  </w14:solidFill>
                </w14:textFill>
              </w:rPr>
            </w:pPr>
          </w:p>
          <w:p w14:paraId="0C4C6914">
            <w:pPr>
              <w:adjustRightInd w:val="0"/>
              <w:ind w:firstLine="0" w:firstLineChars="0"/>
              <w:rPr>
                <w:color w:val="000000" w:themeColor="text1"/>
                <w:highlight w:val="none"/>
                <w14:textFill>
                  <w14:solidFill>
                    <w14:schemeClr w14:val="tx1"/>
                  </w14:solidFill>
                </w14:textFill>
              </w:rPr>
            </w:pPr>
          </w:p>
          <w:p w14:paraId="1E720214">
            <w:pPr>
              <w:adjustRightInd w:val="0"/>
              <w:ind w:firstLine="0" w:firstLineChars="0"/>
              <w:rPr>
                <w:color w:val="000000" w:themeColor="text1"/>
                <w:highlight w:val="none"/>
                <w14:textFill>
                  <w14:solidFill>
                    <w14:schemeClr w14:val="tx1"/>
                  </w14:solidFill>
                </w14:textFill>
              </w:rPr>
            </w:pPr>
          </w:p>
          <w:p w14:paraId="4449081C">
            <w:pPr>
              <w:adjustRightInd w:val="0"/>
              <w:ind w:firstLine="0" w:firstLineChars="0"/>
              <w:rPr>
                <w:color w:val="000000" w:themeColor="text1"/>
                <w:highlight w:val="none"/>
                <w14:textFill>
                  <w14:solidFill>
                    <w14:schemeClr w14:val="tx1"/>
                  </w14:solidFill>
                </w14:textFill>
              </w:rPr>
            </w:pPr>
          </w:p>
        </w:tc>
      </w:tr>
    </w:tbl>
    <w:p w14:paraId="2C56EE2F">
      <w:pPr>
        <w:pStyle w:val="37"/>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b/>
          <w:bCs/>
          <w:color w:val="000000" w:themeColor="text1"/>
          <w14:textFill>
            <w14:solidFill>
              <w14:schemeClr w14:val="tx1"/>
            </w14:solidFill>
          </w14:textFill>
        </w:rPr>
        <w:br w:type="page"/>
      </w:r>
      <w:bookmarkStart w:id="22" w:name="_Toc29695"/>
      <w:bookmarkStart w:id="23" w:name="_Toc29160"/>
      <w:r>
        <w:rPr>
          <w:rFonts w:hint="eastAsia" w:ascii="Times New Roman" w:hAnsi="Times New Roman"/>
          <w:snapToGrid w:val="0"/>
          <w:color w:val="000000" w:themeColor="text1"/>
          <w:sz w:val="30"/>
          <w:szCs w:val="30"/>
          <w14:textFill>
            <w14:solidFill>
              <w14:schemeClr w14:val="tx1"/>
            </w14:solidFill>
          </w14:textFill>
        </w:rPr>
        <w:t>三、生态环境现状、保护目标及评价标准</w:t>
      </w:r>
      <w:bookmarkEnd w:id="22"/>
      <w:bookmarkEnd w:id="23"/>
    </w:p>
    <w:tbl>
      <w:tblPr>
        <w:tblStyle w:val="40"/>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3"/>
        <w:gridCol w:w="8514"/>
      </w:tblGrid>
      <w:tr w14:paraId="695DC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43" w:type="dxa"/>
            <w:vAlign w:val="center"/>
          </w:tcPr>
          <w:p w14:paraId="1DFC4590">
            <w:pPr>
              <w:adjustRightInd w:val="0"/>
              <w:snapToGrid w:val="0"/>
              <w:spacing w:line="240" w:lineRule="auto"/>
              <w:ind w:firstLine="0" w:firstLineChars="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生态环境现状</w:t>
            </w:r>
          </w:p>
        </w:tc>
        <w:tc>
          <w:tcPr>
            <w:tcW w:w="8514" w:type="dxa"/>
            <w:vAlign w:val="center"/>
          </w:tcPr>
          <w:p w14:paraId="7205598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1、云南省主体功能区规划</w:t>
            </w:r>
          </w:p>
          <w:p w14:paraId="5248CDC3">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根据《云南省主体功能区规划》（</w:t>
            </w:r>
            <w:r>
              <w:rPr>
                <w:color w:val="000000" w:themeColor="text1"/>
                <w:kern w:val="0"/>
                <w:lang w:bidi="ar"/>
                <w14:textFill>
                  <w14:solidFill>
                    <w14:schemeClr w14:val="tx1"/>
                  </w14:solidFill>
                </w14:textFill>
              </w:rPr>
              <w:t>2014</w:t>
            </w:r>
            <w:r>
              <w:rPr>
                <w:rFonts w:hint="eastAsia"/>
                <w:color w:val="000000" w:themeColor="text1"/>
                <w:kern w:val="0"/>
                <w:lang w:bidi="ar"/>
                <w14:textFill>
                  <w14:solidFill>
                    <w14:schemeClr w14:val="tx1"/>
                  </w14:solidFill>
                </w14:textFill>
              </w:rPr>
              <w:t>年</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月6日），根据云南省人民政府文件云政发〔</w:t>
            </w:r>
            <w:r>
              <w:rPr>
                <w:color w:val="000000" w:themeColor="text1"/>
                <w:kern w:val="0"/>
                <w:lang w:bidi="ar"/>
                <w14:textFill>
                  <w14:solidFill>
                    <w14:schemeClr w14:val="tx1"/>
                  </w14:solidFill>
                </w14:textFill>
              </w:rPr>
              <w:t>2014</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号云南省人民政府关于印发云南省主体功能区规划的通知（</w:t>
            </w:r>
            <w:r>
              <w:rPr>
                <w:color w:val="000000" w:themeColor="text1"/>
                <w:kern w:val="0"/>
                <w:lang w:bidi="ar"/>
                <w14:textFill>
                  <w14:solidFill>
                    <w14:schemeClr w14:val="tx1"/>
                  </w14:solidFill>
                </w14:textFill>
              </w:rPr>
              <w:t>2014</w:t>
            </w:r>
            <w:r>
              <w:rPr>
                <w:rFonts w:hint="eastAsia"/>
                <w:color w:val="000000" w:themeColor="text1"/>
                <w:kern w:val="0"/>
                <w:lang w:bidi="ar"/>
                <w14:textFill>
                  <w14:solidFill>
                    <w14:schemeClr w14:val="tx1"/>
                  </w14:solidFill>
                </w14:textFill>
              </w:rPr>
              <w:t>年</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月6日）《云南省主体功能区规划》，根据国家对主体功能区规划编制的要求，结合云南省情，本规划将云南省国土空间按照开发方式分为重点开发区域、限制开发区域和禁止开发区域3类主体功能区；按开发内容分为城市化地区、农产品生产区和重点生态功能区；按层级分为国家和省级两个层面。项目位于云南省昆明市寻甸县</w:t>
            </w:r>
            <w:r>
              <w:rPr>
                <w:rFonts w:hint="eastAsia"/>
                <w:color w:val="000000" w:themeColor="text1"/>
                <w:kern w:val="0"/>
                <w:lang w:eastAsia="zh-CN" w:bidi="ar"/>
                <w14:textFill>
                  <w14:solidFill>
                    <w14:schemeClr w14:val="tx1"/>
                  </w14:solidFill>
                </w14:textFill>
              </w:rPr>
              <w:t>塘子镇钟灵村委会令友采石场</w:t>
            </w:r>
            <w:r>
              <w:rPr>
                <w:rFonts w:hint="eastAsia"/>
                <w:color w:val="000000" w:themeColor="text1"/>
                <w:kern w:val="0"/>
                <w:lang w:bidi="ar"/>
                <w14:textFill>
                  <w14:solidFill>
                    <w14:schemeClr w14:val="tx1"/>
                  </w14:solidFill>
                </w14:textFill>
              </w:rPr>
              <w:t>。</w:t>
            </w:r>
          </w:p>
          <w:p w14:paraId="4E0A8862">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拟建项目所在的寻甸回族彝族自治县位于国家层面重点开发区，国家层面重点开发区域是对全国区域经济协调发展有重大意义的城市化地区，是支撑全国经济增长的重要增长极。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w:t>
            </w:r>
          </w:p>
          <w:p w14:paraId="051EE994">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项目属于生态修复项目，项目实施后，项目区生态环境得以恢复，工程建设有利于改善区域的生态环境条件。因此项目建设与《云南省主体功能区规划》功能定位不冲突。</w:t>
            </w:r>
          </w:p>
          <w:p w14:paraId="0DF37B4E">
            <w:pPr>
              <w:widowControl/>
              <w:ind w:firstLine="482"/>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2、云南省生态功能区划</w:t>
            </w:r>
          </w:p>
          <w:p w14:paraId="50CE1D1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本项目位于寻甸回族彝族自治县，根据《云南省生态功能区区划》，本项目所在区域属于Ⅲ高原亚热带北部常绿阔叶林生态区中的滇中高原谷盆半湿润常绿阔叶林、暖性针叶林生态亚区（Ⅲ</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）的Ⅲ</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9普渡河干流、小江上游水土保持生态功能区。该生态功能区的主要特征以中山峡谷地貌为主。年降雨量在普渡河河谷为800毫米，高原上面为1200—1500毫米，植被垂直地带性分布明显，现存植被以云南松林为主，土壤以红壤和紫色土为主。主要生态环境问题为：森林质量较差，水土流失严重。生态环境敏感性为土壤侵蚀度较高。主要生态服务功能为金沙江中段峡谷地带的水土保持和生态灾害的综合治理。保护措施与发展方向为：保护现有植被，加大封山育林的强度，营造水土保护林，严格退耕还林，提高区域的森林数量及质量。</w:t>
            </w:r>
          </w:p>
          <w:p w14:paraId="0E3E5585">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3、生态环境现状</w:t>
            </w:r>
          </w:p>
          <w:p w14:paraId="08638D36">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（1）土地利用现状</w:t>
            </w:r>
          </w:p>
          <w:p w14:paraId="2685CDB2">
            <w:pPr>
              <w:widowControl/>
              <w:ind w:firstLine="480"/>
              <w:jc w:val="left"/>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根据寻甸县自然资源局提供的2023年国土变更调查土地利用现状数据，生态修复范围内破坏土地资源</w:t>
            </w:r>
            <w:r>
              <w:rPr>
                <w:rFonts w:hint="default" w:ascii="Times New Roman" w:hAnsi="Times New Roman" w:cs="Times New Roman"/>
                <w:color w:val="000000" w:themeColor="text1"/>
                <w:lang w:val="en-US" w:eastAsia="zh-CN"/>
                <w14:textFill>
                  <w14:solidFill>
                    <w14:schemeClr w14:val="tx1"/>
                  </w14:solidFill>
                </w14:textFill>
              </w:rPr>
              <w:t>地类分为：</w:t>
            </w:r>
            <w:r>
              <w:rPr>
                <w:rFonts w:hint="default" w:ascii="Times New Roman" w:hAnsi="Times New Roman" w:cs="Times New Roman"/>
                <w:color w:val="000000" w:themeColor="text1"/>
                <w:kern w:val="0"/>
                <w14:textFill>
                  <w14:solidFill>
                    <w14:schemeClr w14:val="tx1"/>
                  </w14:solidFill>
                </w14:textFill>
              </w:rPr>
              <w:t>乔木林地，面积为1.0661hm</w:t>
            </w:r>
            <w:r>
              <w:rPr>
                <w:rFonts w:hint="default" w:ascii="Times New Roman" w:hAnsi="Times New Roman" w:cs="Times New Roman"/>
                <w:color w:val="000000" w:themeColor="text1"/>
                <w:kern w:val="0"/>
                <w:vertAlign w:val="superscript"/>
                <w14:textFill>
                  <w14:solidFill>
                    <w14:schemeClr w14:val="tx1"/>
                  </w14:solidFill>
                </w14:textFill>
              </w:rPr>
              <w:t>2</w:t>
            </w:r>
            <w:r>
              <w:rPr>
                <w:rFonts w:hint="default" w:ascii="Times New Roman" w:hAnsi="Times New Roman" w:cs="Times New Roman"/>
                <w:color w:val="000000" w:themeColor="text1"/>
                <w:kern w:val="0"/>
                <w14:textFill>
                  <w14:solidFill>
                    <w14:schemeClr w14:val="tx1"/>
                  </w14:solidFill>
                </w14:textFill>
              </w:rPr>
              <w:t>；采矿用地，面积为5.2471hm</w:t>
            </w:r>
            <w:r>
              <w:rPr>
                <w:rFonts w:hint="default" w:ascii="Times New Roman" w:hAnsi="Times New Roman" w:cs="Times New Roman"/>
                <w:color w:val="000000" w:themeColor="text1"/>
                <w:kern w:val="0"/>
                <w:vertAlign w:val="superscript"/>
                <w14:textFill>
                  <w14:solidFill>
                    <w14:schemeClr w14:val="tx1"/>
                  </w14:solidFill>
                </w14:textFill>
              </w:rPr>
              <w:t>2</w:t>
            </w:r>
            <w:r>
              <w:rPr>
                <w:rFonts w:hint="default" w:ascii="Times New Roman" w:hAnsi="Times New Roman" w:cs="Times New Roman"/>
                <w:color w:val="000000" w:themeColor="text1"/>
                <w:vertAlign w:val="baseline"/>
                <w:lang w:eastAsia="zh-CN"/>
                <w14:textFill>
                  <w14:solidFill>
                    <w14:schemeClr w14:val="tx1"/>
                  </w14:solidFill>
                </w14:textFill>
              </w:rPr>
              <w:t>。</w:t>
            </w:r>
          </w:p>
          <w:p w14:paraId="3C5CE4F8">
            <w:pPr>
              <w:widowControl/>
              <w:ind w:firstLine="482"/>
              <w:jc w:val="left"/>
              <w:rPr>
                <w:b/>
                <w:bCs/>
                <w:color w:val="000000" w:themeColor="text1"/>
                <w:lang w:bidi="ar"/>
                <w14:textFill>
                  <w14:solidFill>
                    <w14:schemeClr w14:val="tx1"/>
                  </w14:solidFill>
                </w14:textFill>
              </w:rPr>
            </w:pPr>
            <w:r>
              <w:rPr>
                <w:rFonts w:hint="eastAsia"/>
                <w:b/>
                <w:bCs/>
                <w:color w:val="000000" w:themeColor="text1"/>
                <w:lang w:bidi="ar"/>
                <w14:textFill>
                  <w14:solidFill>
                    <w14:schemeClr w14:val="tx1"/>
                  </w14:solidFill>
                </w14:textFill>
              </w:rPr>
              <w:t>（2）土地利用规划</w:t>
            </w:r>
          </w:p>
          <w:p w14:paraId="52C8DB61">
            <w:pPr>
              <w:widowControl/>
              <w:ind w:firstLine="480"/>
              <w:jc w:val="left"/>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项目修复完成后与寻甸县国土空间规划衔接。项目完成后，恢复旱地</w:t>
            </w:r>
            <w:r>
              <w:rPr>
                <w:rFonts w:hint="eastAsia"/>
                <w:color w:val="000000" w:themeColor="text1"/>
                <w:lang w:val="en-US" w:eastAsia="zh-CN"/>
                <w14:textFill>
                  <w14:solidFill>
                    <w14:schemeClr w14:val="tx1"/>
                  </w14:solidFill>
                </w14:textFill>
              </w:rPr>
              <w:t>0.5037</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，乔木林地</w:t>
            </w:r>
            <w:r>
              <w:rPr>
                <w:rFonts w:hint="eastAsia"/>
                <w:color w:val="000000" w:themeColor="text1"/>
                <w:lang w:val="en-US" w:eastAsia="zh-CN"/>
                <w14:textFill>
                  <w14:solidFill>
                    <w14:schemeClr w14:val="tx1"/>
                  </w14:solidFill>
                </w14:textFill>
              </w:rPr>
              <w:t>2.8861</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，灌木林地</w:t>
            </w:r>
            <w:r>
              <w:rPr>
                <w:rFonts w:hint="eastAsia"/>
                <w:color w:val="000000" w:themeColor="text1"/>
                <w:lang w:val="en-US" w:eastAsia="zh-CN"/>
                <w14:textFill>
                  <w14:solidFill>
                    <w14:schemeClr w14:val="tx1"/>
                  </w14:solidFill>
                </w14:textFill>
              </w:rPr>
              <w:t>8.4235</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自然恢复0.8964</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lang w:eastAsia="zh-CN"/>
                <w14:textFill>
                  <w14:solidFill>
                    <w14:schemeClr w14:val="tx1"/>
                  </w14:solidFill>
                </w14:textFill>
              </w:rPr>
              <w:t>。</w:t>
            </w:r>
          </w:p>
          <w:p w14:paraId="4C80BFBB">
            <w:pPr>
              <w:pStyle w:val="23"/>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表3-1  矿山修复分区及生态用地统计表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162"/>
              <w:gridCol w:w="2567"/>
              <w:gridCol w:w="1379"/>
              <w:gridCol w:w="1575"/>
            </w:tblGrid>
            <w:tr w14:paraId="7B59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14:paraId="61EE714E">
                  <w:pPr>
                    <w:pStyle w:val="24"/>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单元名称</w:t>
                  </w:r>
                </w:p>
              </w:tc>
              <w:tc>
                <w:tcPr>
                  <w:tcW w:w="1162" w:type="dxa"/>
                </w:tcPr>
                <w:p w14:paraId="6388FC1F">
                  <w:pPr>
                    <w:pStyle w:val="24"/>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分区编码</w:t>
                  </w:r>
                </w:p>
              </w:tc>
              <w:tc>
                <w:tcPr>
                  <w:tcW w:w="2567" w:type="dxa"/>
                </w:tcPr>
                <w:p w14:paraId="6B2905FE">
                  <w:pPr>
                    <w:pStyle w:val="24"/>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分区名称</w:t>
                  </w:r>
                </w:p>
              </w:tc>
              <w:tc>
                <w:tcPr>
                  <w:tcW w:w="1379" w:type="dxa"/>
                </w:tcPr>
                <w:p w14:paraId="7D7A7197">
                  <w:pPr>
                    <w:pStyle w:val="24"/>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面积（hm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1575" w:type="dxa"/>
                </w:tcPr>
                <w:p w14:paraId="6FAE15D8">
                  <w:pPr>
                    <w:pStyle w:val="24"/>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用地方向</w:t>
                  </w:r>
                </w:p>
              </w:tc>
            </w:tr>
            <w:tr w14:paraId="6090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restart"/>
                  <w:vAlign w:val="center"/>
                </w:tcPr>
                <w:p w14:paraId="1AFF7C19">
                  <w:pPr>
                    <w:pStyle w:val="107"/>
                    <w:rPr>
                      <w:rFonts w:hint="eastAsia"/>
                      <w:color w:val="000000" w:themeColor="text1"/>
                      <w:sz w:val="21"/>
                      <w:szCs w:val="21"/>
                      <w:highlight w:val="none"/>
                      <w:lang w:val="en-US" w:eastAsia="zh-CN"/>
                      <w14:textFill>
                        <w14:solidFill>
                          <w14:schemeClr w14:val="tx1"/>
                        </w14:solidFill>
                      </w14:textFill>
                    </w:rPr>
                  </w:pPr>
                  <w:r>
                    <w:rPr>
                      <w:rFonts w:hint="eastAsia"/>
                    </w:rPr>
                    <w:t>令友采石场露天采坑</w:t>
                  </w:r>
                </w:p>
              </w:tc>
              <w:tc>
                <w:tcPr>
                  <w:tcW w:w="1162" w:type="dxa"/>
                  <w:vAlign w:val="center"/>
                </w:tcPr>
                <w:p w14:paraId="4E55156D">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A</w:t>
                  </w:r>
                </w:p>
              </w:tc>
              <w:tc>
                <w:tcPr>
                  <w:tcW w:w="2567" w:type="dxa"/>
                  <w:vAlign w:val="center"/>
                </w:tcPr>
                <w:p w14:paraId="648076C7">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堆填斜坡区</w:t>
                  </w:r>
                </w:p>
              </w:tc>
              <w:tc>
                <w:tcPr>
                  <w:tcW w:w="1379" w:type="dxa"/>
                  <w:vAlign w:val="center"/>
                </w:tcPr>
                <w:p w14:paraId="039F6CFC">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2.3506</w:t>
                  </w:r>
                </w:p>
              </w:tc>
              <w:tc>
                <w:tcPr>
                  <w:tcW w:w="1575" w:type="dxa"/>
                </w:tcPr>
                <w:p w14:paraId="4A89CEC9">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灌木林地</w:t>
                  </w:r>
                </w:p>
              </w:tc>
            </w:tr>
            <w:tr w14:paraId="2F42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52B172D4">
                  <w:pPr>
                    <w:pStyle w:val="107"/>
                    <w:rPr>
                      <w:rFonts w:hint="default"/>
                      <w:color w:val="000000" w:themeColor="text1"/>
                      <w:sz w:val="21"/>
                      <w:szCs w:val="21"/>
                      <w:highlight w:val="none"/>
                      <w:lang w:val="en-US" w:eastAsia="zh-CN"/>
                      <w14:textFill>
                        <w14:solidFill>
                          <w14:schemeClr w14:val="tx1"/>
                        </w14:solidFill>
                      </w14:textFill>
                    </w:rPr>
                  </w:pPr>
                </w:p>
              </w:tc>
              <w:tc>
                <w:tcPr>
                  <w:tcW w:w="1162" w:type="dxa"/>
                  <w:vAlign w:val="center"/>
                </w:tcPr>
                <w:p w14:paraId="39F5CE72">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B</w:t>
                  </w:r>
                </w:p>
              </w:tc>
              <w:tc>
                <w:tcPr>
                  <w:tcW w:w="2567" w:type="dxa"/>
                  <w:vAlign w:val="center"/>
                </w:tcPr>
                <w:p w14:paraId="2EAAB693">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堆填</w:t>
                  </w:r>
                  <w:r>
                    <w:rPr>
                      <w:rFonts w:hint="eastAsia"/>
                    </w:rPr>
                    <w:t>区顶部平台</w:t>
                  </w:r>
                </w:p>
              </w:tc>
              <w:tc>
                <w:tcPr>
                  <w:tcW w:w="1379" w:type="dxa"/>
                  <w:vAlign w:val="center"/>
                </w:tcPr>
                <w:p w14:paraId="5A10D73E">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3.5084</w:t>
                  </w:r>
                </w:p>
              </w:tc>
              <w:tc>
                <w:tcPr>
                  <w:tcW w:w="1575" w:type="dxa"/>
                </w:tcPr>
                <w:p w14:paraId="316F2F5E">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乔木林地</w:t>
                  </w:r>
                </w:p>
              </w:tc>
            </w:tr>
            <w:tr w14:paraId="5871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48" w:type="dxa"/>
                  <w:vMerge w:val="continue"/>
                  <w:vAlign w:val="center"/>
                </w:tcPr>
                <w:p w14:paraId="1E193C4B">
                  <w:pPr>
                    <w:pStyle w:val="107"/>
                    <w:rPr>
                      <w:rFonts w:hint="default"/>
                      <w:color w:val="000000" w:themeColor="text1"/>
                      <w:sz w:val="21"/>
                      <w:szCs w:val="21"/>
                      <w:highlight w:val="none"/>
                      <w:lang w:val="en-US" w:eastAsia="zh-CN"/>
                      <w14:textFill>
                        <w14:solidFill>
                          <w14:schemeClr w14:val="tx1"/>
                        </w14:solidFill>
                      </w14:textFill>
                    </w:rPr>
                  </w:pPr>
                </w:p>
              </w:tc>
              <w:tc>
                <w:tcPr>
                  <w:tcW w:w="1162" w:type="dxa"/>
                  <w:vAlign w:val="center"/>
                </w:tcPr>
                <w:p w14:paraId="5768A623">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C</w:t>
                  </w:r>
                </w:p>
              </w:tc>
              <w:tc>
                <w:tcPr>
                  <w:tcW w:w="2567" w:type="dxa"/>
                  <w:vAlign w:val="center"/>
                </w:tcPr>
                <w:p w14:paraId="390B9181">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拦挡坝及周边平缓区</w:t>
                  </w:r>
                </w:p>
              </w:tc>
              <w:tc>
                <w:tcPr>
                  <w:tcW w:w="1379" w:type="dxa"/>
                  <w:vAlign w:val="center"/>
                </w:tcPr>
                <w:p w14:paraId="0AAA2238">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0.3696</w:t>
                  </w:r>
                </w:p>
              </w:tc>
              <w:tc>
                <w:tcPr>
                  <w:tcW w:w="1575" w:type="dxa"/>
                </w:tcPr>
                <w:p w14:paraId="2D3F12D8">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乔木林地</w:t>
                  </w:r>
                </w:p>
              </w:tc>
            </w:tr>
            <w:tr w14:paraId="5069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23AF6489">
                  <w:pPr>
                    <w:pStyle w:val="107"/>
                    <w:rPr>
                      <w:rFonts w:hint="default"/>
                      <w:color w:val="000000" w:themeColor="text1"/>
                      <w:sz w:val="21"/>
                      <w:szCs w:val="21"/>
                      <w:highlight w:val="none"/>
                      <w:lang w:val="en-US" w:eastAsia="zh-CN"/>
                      <w14:textFill>
                        <w14:solidFill>
                          <w14:schemeClr w14:val="tx1"/>
                        </w14:solidFill>
                      </w14:textFill>
                    </w:rPr>
                  </w:pPr>
                </w:p>
              </w:tc>
              <w:tc>
                <w:tcPr>
                  <w:tcW w:w="1162" w:type="dxa"/>
                  <w:vAlign w:val="center"/>
                </w:tcPr>
                <w:p w14:paraId="6C445682">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t>D</w:t>
                  </w:r>
                </w:p>
              </w:tc>
              <w:tc>
                <w:tcPr>
                  <w:tcW w:w="2567" w:type="dxa"/>
                  <w:vAlign w:val="center"/>
                </w:tcPr>
                <w:p w14:paraId="28787A7D">
                  <w:pPr>
                    <w:pStyle w:val="107"/>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rPr>
                    <w:t>采矿</w:t>
                  </w:r>
                  <w:r>
                    <w:t>陡坎区</w:t>
                  </w:r>
                </w:p>
              </w:tc>
              <w:tc>
                <w:tcPr>
                  <w:tcW w:w="1379" w:type="dxa"/>
                  <w:vAlign w:val="center"/>
                </w:tcPr>
                <w:p w14:paraId="0D2A8F86">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0.0846</w:t>
                  </w:r>
                </w:p>
              </w:tc>
              <w:tc>
                <w:tcPr>
                  <w:tcW w:w="1575" w:type="dxa"/>
                </w:tcPr>
                <w:p w14:paraId="1217CCEF">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自然恢复</w:t>
                  </w:r>
                </w:p>
              </w:tc>
            </w:tr>
            <w:tr w14:paraId="640C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14:paraId="667C79B3">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总计</w:t>
                  </w:r>
                </w:p>
              </w:tc>
              <w:tc>
                <w:tcPr>
                  <w:tcW w:w="3729" w:type="dxa"/>
                  <w:gridSpan w:val="2"/>
                </w:tcPr>
                <w:p w14:paraId="2AB68068">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379" w:type="dxa"/>
                </w:tcPr>
                <w:p w14:paraId="664B3223">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6.3132</w:t>
                  </w:r>
                </w:p>
              </w:tc>
              <w:tc>
                <w:tcPr>
                  <w:tcW w:w="1575" w:type="dxa"/>
                </w:tcPr>
                <w:p w14:paraId="4093BEE0">
                  <w:pPr>
                    <w:pStyle w:val="24"/>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14:paraId="7E94F78B">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（3）植物现状</w:t>
            </w:r>
          </w:p>
          <w:p w14:paraId="33E991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项目区所在区域地处滇东北，属亚热带常绿阔叶林区，</w:t>
            </w:r>
            <w:r>
              <w:rPr>
                <w:rFonts w:hint="eastAsia"/>
                <w:color w:val="000000" w:themeColor="text1"/>
                <w:kern w:val="0"/>
                <w:lang w:bidi="ar"/>
                <w14:textFill>
                  <w14:solidFill>
                    <w14:schemeClr w14:val="tx1"/>
                  </w14:solidFill>
                </w14:textFill>
              </w:rPr>
              <w:t>项目现状为裸露矿坑，矿坑经前期多年矿山开采，修复区范围内土地遭到大面积破坏，区内植被遭受破坏程度严重，遗留矿坑内基本无植被覆盖</w:t>
            </w:r>
            <w:r>
              <w:rPr>
                <w:rFonts w:hint="eastAsia"/>
                <w:color w:val="000000" w:themeColor="text1"/>
                <w14:textFill>
                  <w14:solidFill>
                    <w14:schemeClr w14:val="tx1"/>
                  </w14:solidFill>
                </w14:textFill>
              </w:rPr>
              <w:t>受人类工程活动的影响，植被覆盖率低，覆盖率不足20%，主要为人工种植的桉树林及野生灌木，区内植被系统主要由人工植被组成，常见乔木主要有</w:t>
            </w:r>
            <w:r>
              <w:rPr>
                <w:rFonts w:hint="eastAsia"/>
                <w:color w:val="000000" w:themeColor="text1"/>
                <w:kern w:val="0"/>
                <w:lang w:bidi="ar"/>
                <w14:textFill>
                  <w14:solidFill>
                    <w14:schemeClr w14:val="tx1"/>
                  </w14:solidFill>
                </w14:textFill>
              </w:rPr>
              <w:t>旱冬瓜（</w:t>
            </w:r>
            <w:r>
              <w:rPr>
                <w:i/>
                <w:iCs/>
                <w:color w:val="000000" w:themeColor="text1"/>
                <w:kern w:val="0"/>
                <w:lang w:bidi="ar"/>
                <w14:textFill>
                  <w14:solidFill>
                    <w14:schemeClr w14:val="tx1"/>
                  </w14:solidFill>
                </w14:textFill>
              </w:rPr>
              <w:t>Alnusnepalensis</w:t>
            </w:r>
            <w:r>
              <w:rPr>
                <w:color w:val="000000" w:themeColor="text1"/>
                <w:kern w:val="0"/>
                <w:lang w:bidi="ar"/>
                <w14:textFill>
                  <w14:solidFill>
                    <w14:schemeClr w14:val="tx1"/>
                  </w14:solidFill>
                </w14:textFill>
              </w:rPr>
              <w:t>D.Don</w:t>
            </w:r>
            <w:r>
              <w:rPr>
                <w:rFonts w:hint="eastAsia"/>
                <w:color w:val="000000" w:themeColor="text1"/>
                <w:kern w:val="0"/>
                <w:lang w:bidi="ar"/>
                <w14:textFill>
                  <w14:solidFill>
                    <w14:schemeClr w14:val="tx1"/>
                  </w14:solidFill>
                </w14:textFill>
              </w:rPr>
              <w:t>）、云南松（</w:t>
            </w:r>
            <w:r>
              <w:rPr>
                <w:i/>
                <w:iCs/>
                <w:color w:val="000000" w:themeColor="text1"/>
                <w:kern w:val="0"/>
                <w:lang w:bidi="ar"/>
                <w14:textFill>
                  <w14:solidFill>
                    <w14:schemeClr w14:val="tx1"/>
                  </w14:solidFill>
                </w14:textFill>
              </w:rPr>
              <w:t>Pinusyunnanensis</w:t>
            </w:r>
            <w:r>
              <w:rPr>
                <w:rFonts w:hint="eastAsia"/>
                <w:i/>
                <w:iCs/>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等，灌木植物：如马桑（</w:t>
            </w:r>
            <w:r>
              <w:rPr>
                <w:i/>
                <w:iCs/>
                <w:color w:val="000000" w:themeColor="text1"/>
                <w:kern w:val="0"/>
                <w:lang w:bidi="ar"/>
                <w14:textFill>
                  <w14:solidFill>
                    <w14:schemeClr w14:val="tx1"/>
                  </w14:solidFill>
                </w14:textFill>
              </w:rPr>
              <w:t>Coriarianepalensis</w:t>
            </w:r>
            <w:r>
              <w:rPr>
                <w:color w:val="000000" w:themeColor="text1"/>
                <w:kern w:val="0"/>
                <w:lang w:bidi="ar"/>
                <w14:textFill>
                  <w14:solidFill>
                    <w14:schemeClr w14:val="tx1"/>
                  </w14:solidFill>
                </w14:textFill>
              </w:rPr>
              <w:t>Wall.</w:t>
            </w:r>
            <w:r>
              <w:rPr>
                <w:rFonts w:hint="eastAsia"/>
                <w:color w:val="000000" w:themeColor="text1"/>
                <w:kern w:val="0"/>
                <w:lang w:bidi="ar"/>
                <w14:textFill>
                  <w14:solidFill>
                    <w14:schemeClr w14:val="tx1"/>
                  </w14:solidFill>
                </w14:textFill>
              </w:rPr>
              <w:t>）、密蒙花（</w:t>
            </w:r>
            <w:r>
              <w:rPr>
                <w:i/>
                <w:iCs/>
                <w:color w:val="000000" w:themeColor="text1"/>
                <w:kern w:val="0"/>
                <w:lang w:bidi="ar"/>
                <w14:textFill>
                  <w14:solidFill>
                    <w14:schemeClr w14:val="tx1"/>
                  </w14:solidFill>
                </w14:textFill>
              </w:rPr>
              <w:t>Buddlejaofficinalis</w:t>
            </w:r>
            <w:r>
              <w:rPr>
                <w:color w:val="000000" w:themeColor="text1"/>
                <w:kern w:val="0"/>
                <w:lang w:bidi="ar"/>
                <w14:textFill>
                  <w14:solidFill>
                    <w14:schemeClr w14:val="tx1"/>
                  </w14:solidFill>
                </w14:textFill>
              </w:rPr>
              <w:t>Maxim.</w:t>
            </w:r>
            <w:r>
              <w:rPr>
                <w:rFonts w:hint="eastAsia"/>
                <w:color w:val="000000" w:themeColor="text1"/>
                <w:kern w:val="0"/>
                <w:lang w:bidi="ar"/>
                <w14:textFill>
                  <w14:solidFill>
                    <w14:schemeClr w14:val="tx1"/>
                  </w14:solidFill>
                </w14:textFill>
              </w:rPr>
              <w:t>）等，草本植物：如鬼针草（</w:t>
            </w:r>
            <w:r>
              <w:rPr>
                <w:i/>
                <w:iCs/>
                <w:color w:val="000000" w:themeColor="text1"/>
                <w:kern w:val="0"/>
                <w:lang w:bidi="ar"/>
                <w14:textFill>
                  <w14:solidFill>
                    <w14:schemeClr w14:val="tx1"/>
                  </w14:solidFill>
                </w14:textFill>
              </w:rPr>
              <w:t>BidenspilosaL.</w:t>
            </w:r>
            <w:r>
              <w:rPr>
                <w:rFonts w:hint="eastAsia"/>
                <w:color w:val="000000" w:themeColor="text1"/>
                <w:kern w:val="0"/>
                <w:lang w:bidi="ar"/>
                <w14:textFill>
                  <w14:solidFill>
                    <w14:schemeClr w14:val="tx1"/>
                  </w14:solidFill>
                </w14:textFill>
              </w:rPr>
              <w:t>）、青蒿（</w:t>
            </w:r>
            <w:r>
              <w:rPr>
                <w:i/>
                <w:iCs/>
                <w:color w:val="000000" w:themeColor="text1"/>
                <w:kern w:val="0"/>
                <w:lang w:bidi="ar"/>
                <w14:textFill>
                  <w14:solidFill>
                    <w14:schemeClr w14:val="tx1"/>
                  </w14:solidFill>
                </w14:textFill>
              </w:rPr>
              <w:t>ArtemisiacarvifoliaBuch.-Ham.exRoxb.Hort.Beng.</w:t>
            </w:r>
            <w:r>
              <w:rPr>
                <w:rFonts w:hint="eastAsia"/>
                <w:color w:val="000000" w:themeColor="text1"/>
                <w:kern w:val="0"/>
                <w:lang w:bidi="ar"/>
                <w14:textFill>
                  <w14:solidFill>
                    <w14:schemeClr w14:val="tx1"/>
                  </w14:solidFill>
                </w14:textFill>
              </w:rPr>
              <w:t>）、紫茎泽兰（</w:t>
            </w:r>
            <w:r>
              <w:rPr>
                <w:i/>
                <w:iCs/>
                <w:color w:val="000000" w:themeColor="text1"/>
                <w:kern w:val="0"/>
                <w:lang w:bidi="ar"/>
                <w14:textFill>
                  <w14:solidFill>
                    <w14:schemeClr w14:val="tx1"/>
                  </w14:solidFill>
                </w14:textFill>
              </w:rPr>
              <w:t>Ageratinaadenophora</w:t>
            </w:r>
            <w:r>
              <w:rPr>
                <w:rFonts w:hint="eastAsia"/>
                <w:i/>
                <w:iCs/>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Spreng.</w:t>
            </w:r>
            <w:r>
              <w:rPr>
                <w:rFonts w:hint="eastAsia"/>
                <w:i/>
                <w:iCs/>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R.M.KingetH.Rob.</w:t>
            </w:r>
            <w:r>
              <w:rPr>
                <w:rFonts w:hint="eastAsia"/>
                <w:color w:val="000000" w:themeColor="text1"/>
                <w:kern w:val="0"/>
                <w:lang w:bidi="ar"/>
                <w14:textFill>
                  <w14:solidFill>
                    <w14:schemeClr w14:val="tx1"/>
                  </w14:solidFill>
                </w14:textFill>
              </w:rPr>
              <w:t>）、</w:t>
            </w:r>
            <w:r>
              <w:rPr>
                <w:rFonts w:hint="eastAsia"/>
                <w:bCs/>
                <w:color w:val="000000" w:themeColor="text1"/>
                <w:shd w:val="clear" w:color="auto" w:fill="FFFFFF"/>
                <w14:textFill>
                  <w14:solidFill>
                    <w14:schemeClr w14:val="tx1"/>
                  </w14:solidFill>
                </w14:textFill>
              </w:rPr>
              <w:t>白草（</w:t>
            </w:r>
            <w:r>
              <w:rPr>
                <w:i/>
                <w:iCs/>
                <w:color w:val="000000" w:themeColor="text1"/>
                <w:shd w:val="clear" w:color="auto" w:fill="FFFFFF"/>
                <w:lang w:bidi="ar"/>
                <w14:textFill>
                  <w14:solidFill>
                    <w14:schemeClr w14:val="tx1"/>
                  </w14:solidFill>
                </w14:textFill>
              </w:rPr>
              <w:t>Pennisetumflaccidum</w:t>
            </w:r>
            <w:r>
              <w:rPr>
                <w:rFonts w:hint="eastAsia"/>
                <w:i/>
                <w:iCs/>
                <w:color w:val="000000" w:themeColor="text1"/>
                <w:shd w:val="clear" w:color="auto" w:fill="FFFFFF"/>
                <w:lang w:bidi="ar"/>
                <w14:textFill>
                  <w14:solidFill>
                    <w14:schemeClr w14:val="tx1"/>
                  </w14:solidFill>
                </w14:textFill>
              </w:rPr>
              <w:t>）</w:t>
            </w:r>
            <w:r>
              <w:rPr>
                <w:rFonts w:hint="eastAsia"/>
                <w:color w:val="000000" w:themeColor="text1"/>
                <w:kern w:val="0"/>
                <w:lang w:bidi="ar"/>
                <w14:textFill>
                  <w14:solidFill>
                    <w14:schemeClr w14:val="tx1"/>
                  </w14:solidFill>
                </w14:textFill>
              </w:rPr>
              <w:t>等。</w:t>
            </w:r>
          </w:p>
          <w:p w14:paraId="227F94AC">
            <w:pPr>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现场勘查，未发现国家和省级重点保护野生动植物、古树名木、珍稀濒危动植物及特殊保护生态敏感目标分布，项目区未发现大中型野生动物存在，主要分布的为常见物种。矿坑经前期多年矿山开采，矿界范围内土地遭到大面积破坏、区内植被遭受破坏程度严重、现矿坑周边仅少量地表植被覆盖、水土流失严重、生态环境差；矿坑内挖方边坡、填方边坡随处可见，形成了较多的不稳定斜坡等地质灾害体，影响周边山体的稳定。项目区外东侧为一山地，山上分布林地，西北侧为耕地，均为旱地。</w:t>
            </w:r>
          </w:p>
          <w:p w14:paraId="137754AB">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（3）野生脊椎动物现状</w:t>
            </w:r>
          </w:p>
          <w:p w14:paraId="63F7D0DA">
            <w:pPr>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由于长期进行砂石开采，生态环境已被完全破坏，植被已丧失殆尽，野生脊椎动物已经在项目区内完全消失。矿区由于开采年代已久，详细的植物、植被、生境及动物资料欠缺，在项目区仅有山斑鸠和赤腹松鼠等种类。从周边相似的生境进行估计，在附近存有植被的地区还有少量种类和数量的野生脊椎动物，如华西大蟾蜍、黄臀鹎、山斑鸠、大嘴乌鸦、家燕、树麻雀、赤腹松鼠、小家鼠、褐家鼠等十几种陆生脊椎动物。陆栖脊椎动物的种类和数量均很少。</w:t>
            </w:r>
          </w:p>
          <w:p w14:paraId="351425E5">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4、声环境现状</w:t>
            </w:r>
          </w:p>
          <w:p w14:paraId="60FE8ED7">
            <w:pPr>
              <w:ind w:firstLine="480"/>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eastAsia="宋体" w:cs="Times New Roman"/>
                <w:color w:val="000000" w:themeColor="text1"/>
                <w:kern w:val="0"/>
                <w:lang w:bidi="ar"/>
                <w14:textFill>
                  <w14:solidFill>
                    <w14:schemeClr w14:val="tx1"/>
                  </w14:solidFill>
                </w14:textFill>
              </w:rPr>
              <w:t>项目所在地区属于寻甸县</w:t>
            </w:r>
            <w:r>
              <w:rPr>
                <w:rFonts w:hint="eastAsia" w:cs="Times New Roman"/>
                <w:color w:val="000000" w:themeColor="text1"/>
                <w:kern w:val="0"/>
                <w:lang w:val="en-US" w:eastAsia="zh-CN" w:bidi="ar"/>
                <w14:textFill>
                  <w14:solidFill>
                    <w14:schemeClr w14:val="tx1"/>
                  </w14:solidFill>
                </w14:textFill>
              </w:rPr>
              <w:t>塘子镇钟灵村委会</w:t>
            </w:r>
            <w:r>
              <w:rPr>
                <w:rFonts w:hint="eastAsia" w:ascii="Times New Roman" w:hAnsi="Times New Roman" w:eastAsia="宋体" w:cs="Times New Roman"/>
                <w:color w:val="000000" w:themeColor="text1"/>
                <w:kern w:val="0"/>
                <w:lang w:bidi="ar"/>
                <w14:textFill>
                  <w14:solidFill>
                    <w14:schemeClr w14:val="tx1"/>
                  </w14:solidFill>
                </w14:textFill>
              </w:rPr>
              <w:t>，根据《声环境质量标准》（GB3096-2008）声环境功能区分类的要求，项目所在区域可划为2类声环境功能区，执行《声环境质量标准》（GB3096-2008）中的2类标准。</w:t>
            </w:r>
            <w:r>
              <w:rPr>
                <w:rFonts w:hint="eastAsia" w:cs="Times New Roman"/>
                <w:color w:val="000000" w:themeColor="text1"/>
                <w:kern w:val="0"/>
                <w:lang w:val="en-US" w:eastAsia="zh-CN" w:bidi="ar"/>
                <w14:textFill>
                  <w14:solidFill>
                    <w14:schemeClr w14:val="tx1"/>
                  </w14:solidFill>
                </w14:textFill>
              </w:rPr>
              <w:t>项目修复区外50m范围内无声环境保护目标。</w:t>
            </w:r>
          </w:p>
          <w:p w14:paraId="387E2A66">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5、地表水环境现状</w:t>
            </w:r>
          </w:p>
          <w:p w14:paraId="23096E28">
            <w:pPr>
              <w:keepNext w:val="0"/>
              <w:keepLines w:val="0"/>
              <w:widowControl/>
              <w:suppressLineNumbers w:val="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根据《昆明市和滇中产业新区水功能区划》（2011～2030年），</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寻甸凤龙湾水库开发利用区</w:t>
            </w:r>
            <w:r>
              <w:rPr>
                <w:rFonts w:hint="eastAsia" w:ascii="宋体" w:hAnsi="宋体" w:eastAsia="宋体" w:cs="宋体"/>
                <w:color w:val="000000" w:themeColor="text1"/>
                <w:kern w:val="0"/>
                <w:sz w:val="24"/>
                <w:szCs w:val="24"/>
                <w:lang w:val="en-US" w:eastAsia="zh-CN" w:bidi="ar"/>
                <w14:textFill>
                  <w14:solidFill>
                    <w14:schemeClr w14:val="tx1"/>
                  </w14:solidFill>
                </w14:textFill>
              </w:rPr>
              <w:t>：属省级区划。全库，水库位于寻甸县七星镇大塘村委会附近的马过河上，总库容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2056</w:t>
            </w:r>
            <w:r>
              <w:rPr>
                <w:rFonts w:hint="eastAsia" w:ascii="宋体" w:hAnsi="宋体" w:eastAsia="宋体" w:cs="宋体"/>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，兴利库容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1325</w:t>
            </w:r>
            <w:r>
              <w:rPr>
                <w:rFonts w:hint="eastAsia" w:ascii="宋体" w:hAnsi="宋体" w:eastAsia="宋体" w:cs="宋体"/>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，目前主要供周边工矿企业用水及下游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2.3</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万亩农田灌溉，水资源开发利用程度高，设计年供水量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789</w:t>
            </w:r>
            <w:r>
              <w:rPr>
                <w:rFonts w:hint="eastAsia" w:ascii="宋体" w:hAnsi="宋体" w:eastAsia="宋体" w:cs="宋体"/>
                <w:color w:val="000000" w:themeColor="text1"/>
                <w:kern w:val="0"/>
                <w:sz w:val="24"/>
                <w:szCs w:val="24"/>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。现状水质为Ⅲ类，规划水平年水质保护目标按水功能二级区划执行。</w:t>
            </w:r>
          </w:p>
          <w:p w14:paraId="20A7FF9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根据现场调查，项目周边最近地表水体为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西侧1060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lang w:val="en-US" w:eastAsia="zh-CN"/>
                <w14:textFill>
                  <w14:solidFill>
                    <w14:schemeClr w14:val="tx1"/>
                  </w14:solidFill>
                </w14:textFill>
              </w:rPr>
              <w:t>石板桥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河</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以及项目东侧2380m的龙潭河。</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石板桥河位</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于</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寻甸凤龙湾水库的上游，</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执行《地表水环境质量标准》（GB3838-2002）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Ⅲ</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类水质标准。</w:t>
            </w:r>
          </w:p>
          <w:p w14:paraId="49D50FB9">
            <w:pPr>
              <w:ind w:firstLine="480"/>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为了解项目地表水环境质量现状，委托云南普域环境科技有限公司于202</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年</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12</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月</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24</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日～202</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年</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12</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月</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26</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日连续3天对修复区地表水环境质量现状进行监测。</w:t>
            </w:r>
          </w:p>
          <w:p w14:paraId="0593D0AD">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0CECB9E3">
            <w:pPr>
              <w:keepNext w:val="0"/>
              <w:keepLines w:val="0"/>
              <w:pageBreakBefore w:val="0"/>
              <w:kinsoku/>
              <w:wordWrap/>
              <w:overflowPunct/>
              <w:topLinePunct w:val="0"/>
              <w:autoSpaceDE/>
              <w:autoSpaceDN/>
              <w:bidi w:val="0"/>
              <w:adjustRightInd/>
              <w:snapToGrid/>
              <w:spacing w:line="440" w:lineRule="exact"/>
              <w:ind w:firstLine="480"/>
              <w:textAlignment w:val="auto"/>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5）结论</w:t>
            </w:r>
          </w:p>
          <w:p w14:paraId="63C04612">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由上表可知，项目周边距离最近地表水体为</w:t>
            </w:r>
            <w:r>
              <w:rPr>
                <w:rFonts w:hint="eastAsia" w:cs="Times New Roman"/>
                <w:color w:val="000000" w:themeColor="text1"/>
                <w:highlight w:val="none"/>
                <w:lang w:val="en-US" w:eastAsia="zh-CN"/>
                <w14:textFill>
                  <w14:solidFill>
                    <w14:schemeClr w14:val="tx1"/>
                  </w14:solidFill>
                </w14:textFill>
              </w:rPr>
              <w:t>龙潭河，属于洗马河左岸支流九龙河的小分支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，该河流执行《地表水环境质量标准》（GB3838-2002）</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Ⅲ</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类标准，根据监测结果分析可知，该河流监测因子均达标，现状环境质量较好。</w:t>
            </w:r>
          </w:p>
          <w:p w14:paraId="59C04280">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6、大气环境现状</w:t>
            </w:r>
          </w:p>
          <w:p w14:paraId="3FC40EED">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项目位于云南省昆明市寻甸县</w:t>
            </w:r>
            <w:r>
              <w:rPr>
                <w:rFonts w:hint="eastAsia"/>
                <w:color w:val="000000" w:themeColor="text1"/>
                <w:kern w:val="0"/>
                <w:lang w:eastAsia="zh-CN" w:bidi="ar"/>
                <w14:textFill>
                  <w14:solidFill>
                    <w14:schemeClr w14:val="tx1"/>
                  </w14:solidFill>
                </w14:textFill>
              </w:rPr>
              <w:t>塘子镇钟灵村委会令友采石场</w:t>
            </w:r>
            <w:r>
              <w:rPr>
                <w:rFonts w:hint="eastAsia"/>
                <w:color w:val="000000" w:themeColor="text1"/>
                <w:kern w:val="0"/>
                <w:lang w:bidi="ar"/>
                <w14:textFill>
                  <w14:solidFill>
                    <w14:schemeClr w14:val="tx1"/>
                  </w14:solidFill>
                </w14:textFill>
              </w:rPr>
              <w:t>，属于二类环境空气质量功能区，执行《环境空气质量标准》（</w:t>
            </w:r>
            <w:r>
              <w:rPr>
                <w:color w:val="000000" w:themeColor="text1"/>
                <w:kern w:val="0"/>
                <w:lang w:bidi="ar"/>
                <w14:textFill>
                  <w14:solidFill>
                    <w14:schemeClr w14:val="tx1"/>
                  </w14:solidFill>
                </w14:textFill>
              </w:rPr>
              <w:t>GB3095-2012</w:t>
            </w:r>
            <w:r>
              <w:rPr>
                <w:rFonts w:hint="eastAsia"/>
                <w:color w:val="000000" w:themeColor="text1"/>
                <w:kern w:val="0"/>
                <w:lang w:bidi="ar"/>
                <w14:textFill>
                  <w14:solidFill>
                    <w14:schemeClr w14:val="tx1"/>
                  </w14:solidFill>
                </w14:textFill>
              </w:rPr>
              <w:t>）及修改单中的二级标准。</w:t>
            </w:r>
          </w:p>
          <w:p w14:paraId="5F7D7F8D">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w:t>
            </w:r>
            <w:r>
              <w:rPr>
                <w:color w:val="000000" w:themeColor="text1"/>
                <w:kern w:val="0"/>
                <w:lang w:bidi="ar"/>
                <w14:textFill>
                  <w14:solidFill>
                    <w14:schemeClr w14:val="tx1"/>
                  </w14:solidFill>
                </w14:textFill>
              </w:rPr>
              <w:t>202</w:t>
            </w:r>
            <w:r>
              <w:rPr>
                <w:rFonts w:hint="eastAsia"/>
                <w:color w:val="000000" w:themeColor="text1"/>
                <w:kern w:val="0"/>
                <w:lang w:val="en-US" w:eastAsia="zh-CN" w:bidi="ar"/>
                <w14:textFill>
                  <w14:solidFill>
                    <w14:schemeClr w14:val="tx1"/>
                  </w14:solidFill>
                </w14:textFill>
              </w:rPr>
              <w:t>4</w:t>
            </w:r>
            <w:r>
              <w:rPr>
                <w:rFonts w:hint="eastAsia"/>
                <w:color w:val="000000" w:themeColor="text1"/>
                <w:kern w:val="0"/>
                <w:lang w:bidi="ar"/>
                <w14:textFill>
                  <w14:solidFill>
                    <w14:schemeClr w14:val="tx1"/>
                  </w14:solidFill>
                </w14:textFill>
              </w:rPr>
              <w:t>年度昆明市生态环境状况公报》，县(市)、区环境空气质量2024年昆明市主城区外所辖的8个县(市)、区环境空气质量总体保持良好，各项污染物平均浓度均达到《环境空气质量标准》(GB3095-2012)二级标准；空气优良天数比例范围为97.50%~100%</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与2023年相比，石林县、富民县、宜良县、东川区、寻甸县、嵩明县、禄劝县空气优良天数比例均有提高。</w:t>
            </w:r>
          </w:p>
          <w:p w14:paraId="2DF89634">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为了解项目所在区域空气环境质量现状，委托云南普域环境科技有限公司于202</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年</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12</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月</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24</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日～202</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年</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12</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月</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26</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日连续3天对修复区环境空气质量现状进行监测。</w:t>
            </w:r>
          </w:p>
          <w:p w14:paraId="18BA14F7">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1698D2B2">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5）结论</w:t>
            </w:r>
          </w:p>
          <w:p w14:paraId="487F62DC">
            <w:pPr>
              <w:pStyle w:val="21"/>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根据检测结果可知：项目生态修复区周边环境空气质量</w:t>
            </w:r>
            <w:r>
              <w:rPr>
                <w:rFonts w:hint="eastAsia" w:cs="Times New Roman"/>
                <w:bCs w:val="0"/>
                <w:iCs w:val="0"/>
                <w:color w:val="000000" w:themeColor="text1"/>
                <w:kern w:val="0"/>
                <w:sz w:val="24"/>
                <w:szCs w:val="24"/>
                <w:highlight w:val="none"/>
                <w:lang w:val="en-US" w:eastAsia="zh-CN" w:bidi="ar"/>
                <w14:textFill>
                  <w14:solidFill>
                    <w14:schemeClr w14:val="tx1"/>
                  </w14:solidFill>
                </w14:textFill>
              </w:rPr>
              <w:t>TSP</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满足</w:t>
            </w:r>
            <w:r>
              <w:rPr>
                <w:rFonts w:hint="default"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《环境空气质量标准》</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GB3095-2012</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二级标准限值要求</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w:t>
            </w:r>
          </w:p>
          <w:p w14:paraId="7D738929">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7、土壤环境</w:t>
            </w:r>
          </w:p>
          <w:p w14:paraId="3A9F9C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项目位于云南省昆明市</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寻甸县</w:t>
            </w:r>
            <w:r>
              <w:rPr>
                <w:rFonts w:hint="eastAsia" w:cs="Times New Roman"/>
                <w:color w:val="000000" w:themeColor="text1"/>
                <w:kern w:val="0"/>
                <w:sz w:val="24"/>
                <w:szCs w:val="24"/>
                <w:highlight w:val="none"/>
                <w:lang w:val="en-US" w:eastAsia="zh-CN" w:bidi="ar"/>
                <w14:textFill>
                  <w14:solidFill>
                    <w14:schemeClr w14:val="tx1"/>
                  </w14:solidFill>
                </w14:textFill>
              </w:rPr>
              <w:t>塘子镇钟灵村委会令友采石场</w:t>
            </w:r>
            <w:r>
              <w:rPr>
                <w:rFonts w:hint="eastAsia" w:ascii="Times New Roman" w:hAnsi="Times New Roman" w:eastAsia="宋体" w:cs="Times New Roman"/>
                <w:bCs w:val="0"/>
                <w:iCs w:val="0"/>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为了解项目土壤环境质量现状，委托云南普域环境科技有限公司于202</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年</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12</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月</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24</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日对修复区域土壤环境质量现状进行监测。</w:t>
            </w:r>
          </w:p>
          <w:p w14:paraId="60D70AC5">
            <w:pPr>
              <w:keepNext w:val="0"/>
              <w:keepLines w:val="0"/>
              <w:pageBreakBefore w:val="0"/>
              <w:numPr>
                <w:ilvl w:val="0"/>
                <w:numId w:val="0"/>
              </w:numPr>
              <w:kinsoku/>
              <w:wordWrap/>
              <w:overflowPunct/>
              <w:topLinePunct w:val="0"/>
              <w:autoSpaceDE/>
              <w:autoSpaceDN/>
              <w:bidi w:val="0"/>
              <w:adjustRightInd/>
              <w:snapToGrid/>
              <w:spacing w:line="440" w:lineRule="exact"/>
              <w:ind w:firstLine="480"/>
              <w:textAlignment w:val="auto"/>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柱状样监测点位（项目占地范围内）：</w:t>
            </w:r>
            <w:r>
              <w:rPr>
                <w:rFonts w:hint="eastAsia"/>
                <w:color w:val="000000" w:themeColor="text1"/>
                <w:kern w:val="0"/>
                <w:highlight w:val="none"/>
                <w:lang w:bidi="ar"/>
                <w14:textFill>
                  <w14:solidFill>
                    <w14:schemeClr w14:val="tx1"/>
                  </w14:solidFill>
                </w14:textFill>
              </w:rPr>
              <w:t>项目用地范围侧游--表层样 S3</w:t>
            </w:r>
            <w:r>
              <w:rPr>
                <w:rFonts w:hint="eastAsia"/>
                <w:color w:val="000000" w:themeColor="text1"/>
                <w:kern w:val="0"/>
                <w:highlight w:val="none"/>
                <w:lang w:bidi="ar"/>
                <w14:textFill>
                  <w14:solidFill>
                    <w14:schemeClr w14:val="tx1"/>
                  </w14:solidFill>
                </w14:textFill>
              </w:rPr>
              <w:tab/>
            </w:r>
            <w:r>
              <w:rPr>
                <w:rFonts w:hint="eastAsia"/>
                <w:color w:val="000000" w:themeColor="text1"/>
                <w:kern w:val="0"/>
                <w:highlight w:val="none"/>
                <w:lang w:bidi="ar"/>
                <w14:textFill>
                  <w14:solidFill>
                    <w14:schemeClr w14:val="tx1"/>
                  </w14:solidFill>
                </w14:textFill>
              </w:rPr>
              <w:t>项目用地范围内--表层样 S4</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共</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个点位；</w:t>
            </w:r>
          </w:p>
          <w:p w14:paraId="65E2A067">
            <w:pPr>
              <w:keepNext w:val="0"/>
              <w:keepLines w:val="0"/>
              <w:pageBreakBefore w:val="0"/>
              <w:numPr>
                <w:ilvl w:val="0"/>
                <w:numId w:val="0"/>
              </w:numPr>
              <w:kinsoku/>
              <w:wordWrap/>
              <w:overflowPunct/>
              <w:topLinePunct w:val="0"/>
              <w:autoSpaceDE/>
              <w:autoSpaceDN/>
              <w:bidi w:val="0"/>
              <w:adjustRightInd/>
              <w:snapToGrid/>
              <w:spacing w:line="440" w:lineRule="exact"/>
              <w:ind w:firstLine="480"/>
              <w:textAlignment w:val="auto"/>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表层样监测点位（项目占地范围外）：</w:t>
            </w:r>
            <w:r>
              <w:rPr>
                <w:rFonts w:hint="eastAsia"/>
                <w:color w:val="000000" w:themeColor="text1"/>
                <w:kern w:val="0"/>
                <w:highlight w:val="none"/>
                <w:lang w:bidi="ar"/>
                <w14:textFill>
                  <w14:solidFill>
                    <w14:schemeClr w14:val="tx1"/>
                  </w14:solidFill>
                </w14:textFill>
              </w:rPr>
              <w:t>项目用地范围外上风向--表层样 S1</w:t>
            </w:r>
            <w:r>
              <w:rPr>
                <w:rFonts w:hint="eastAsia"/>
                <w:color w:val="000000" w:themeColor="text1"/>
                <w:kern w:val="0"/>
                <w:highlight w:val="none"/>
                <w:lang w:bidi="ar"/>
                <w14:textFill>
                  <w14:solidFill>
                    <w14:schemeClr w14:val="tx1"/>
                  </w14:solidFill>
                </w14:textFill>
              </w:rPr>
              <w:tab/>
            </w:r>
            <w:r>
              <w:rPr>
                <w:rFonts w:hint="eastAsia"/>
                <w:color w:val="000000" w:themeColor="text1"/>
                <w:kern w:val="0"/>
                <w:highlight w:val="none"/>
                <w:lang w:bidi="ar"/>
                <w14:textFill>
                  <w14:solidFill>
                    <w14:schemeClr w14:val="tx1"/>
                  </w14:solidFill>
                </w14:textFill>
              </w:rPr>
              <w:t>项目用地范围外下风向--表层样 S2</w:t>
            </w:r>
            <w:r>
              <w:rPr>
                <w:rFonts w:hint="eastAsia"/>
                <w:color w:val="000000" w:themeColor="text1"/>
                <w:kern w:val="0"/>
                <w:highlight w:val="none"/>
                <w:lang w:bidi="ar"/>
                <w14:textFill>
                  <w14:solidFill>
                    <w14:schemeClr w14:val="tx1"/>
                  </w14:solidFill>
                </w14:textFill>
              </w:rPr>
              <w:tab/>
            </w:r>
            <w:r>
              <w:rPr>
                <w:rFonts w:hint="eastAsia"/>
                <w:color w:val="000000" w:themeColor="text1"/>
                <w:kern w:val="0"/>
                <w:highlight w:val="none"/>
                <w:lang w:bidi="ar"/>
                <w14:textFill>
                  <w14:solidFill>
                    <w14:schemeClr w14:val="tx1"/>
                  </w14:solidFill>
                </w14:textFill>
              </w:rPr>
              <w:t>项目用地范围外普家屯村--表层样 S5</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共</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个点位。</w:t>
            </w:r>
          </w:p>
          <w:p w14:paraId="0FD8F6BA">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3）监测因子：①占地范围内：《土壤环境质量建设用地土壤污染风险管控标准（试行）（GB36600—2018)》基本45项</w:t>
            </w:r>
            <w:r>
              <w:rPr>
                <w:rFonts w:hint="eastAsia"/>
                <w:color w:val="000000" w:themeColor="text1"/>
                <w:sz w:val="24"/>
                <w:szCs w:val="24"/>
                <w:highlight w:val="none"/>
                <w:lang w:val="en-US" w:eastAsia="zh-CN"/>
                <w14:textFill>
                  <w14:solidFill>
                    <w14:schemeClr w14:val="tx1"/>
                  </w14:solidFill>
                </w14:textFill>
              </w:rPr>
              <w:t>以及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pH、氟化物</w:t>
            </w:r>
            <w:r>
              <w:rPr>
                <w:rFonts w:hint="eastAsia" w:cs="Times New Roman"/>
                <w:color w:val="000000" w:themeColor="text1"/>
                <w:sz w:val="24"/>
                <w:szCs w:val="24"/>
                <w:lang w:val="en-US" w:eastAsia="zh-CN"/>
                <w14:textFill>
                  <w14:solidFill>
                    <w14:schemeClr w14:val="tx1"/>
                  </w14:solidFill>
                </w14:textFill>
              </w:rPr>
              <w:t>、锌、铬</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；②占地范围外</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（除S5）</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：《土壤环境质量农用地土壤污染风险管控标准（试行）》（GB15618—2018）基本8项</w:t>
            </w:r>
            <w:r>
              <w:rPr>
                <w:rFonts w:hint="eastAsia"/>
                <w:color w:val="000000" w:themeColor="text1"/>
                <w:sz w:val="24"/>
                <w:szCs w:val="24"/>
                <w:highlight w:val="none"/>
                <w:lang w:val="en-US" w:eastAsia="zh-CN"/>
                <w14:textFill>
                  <w14:solidFill>
                    <w14:schemeClr w14:val="tx1"/>
                  </w14:solidFill>
                </w14:textFill>
              </w:rPr>
              <w:t>以及</w:t>
            </w:r>
            <w:r>
              <w:rPr>
                <w:rFonts w:hint="eastAsia"/>
                <w:color w:val="000000" w:themeColor="text1"/>
                <w:sz w:val="24"/>
                <w:szCs w:val="24"/>
                <w:highlight w:val="none"/>
                <w14:textFill>
                  <w14:solidFill>
                    <w14:schemeClr w14:val="tx1"/>
                  </w14:solidFill>
                </w14:textFill>
              </w:rPr>
              <w:t>pH、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铬（六价）</w:t>
            </w:r>
            <w:r>
              <w:rPr>
                <w:rFonts w:hint="eastAsia" w:cs="Times New Roman"/>
                <w:color w:val="000000" w:themeColor="text1"/>
                <w:sz w:val="24"/>
                <w:szCs w:val="24"/>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氟化物</w:t>
            </w:r>
            <w:r>
              <w:rPr>
                <w:rFonts w:hint="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③</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项目外下风向</w:t>
            </w:r>
            <w:r>
              <w:rPr>
                <w:rFonts w:hint="eastAsia"/>
                <w:color w:val="000000" w:themeColor="text1"/>
                <w:kern w:val="0"/>
                <w:highlight w:val="none"/>
                <w:lang w:bidi="ar"/>
                <w14:textFill>
                  <w14:solidFill>
                    <w14:schemeClr w14:val="tx1"/>
                  </w14:solidFill>
                </w14:textFill>
              </w:rPr>
              <w:t>普家屯</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村（S</w:t>
            </w:r>
            <w:r>
              <w:rPr>
                <w:rFonts w:hint="eastAsia" w:cs="Times New Roman"/>
                <w:i w:val="0"/>
                <w:iCs w:val="0"/>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）由于地处村庄，故而监测因子：《土壤环境质量建设用地土壤污染风险管控标准（试行）（GB36600—2018)》基本45项</w:t>
            </w:r>
            <w:r>
              <w:rPr>
                <w:rFonts w:hint="eastAsia"/>
                <w:color w:val="000000" w:themeColor="text1"/>
                <w:sz w:val="24"/>
                <w:szCs w:val="24"/>
                <w:highlight w:val="none"/>
                <w:lang w:val="en-US" w:eastAsia="zh-CN"/>
                <w14:textFill>
                  <w14:solidFill>
                    <w14:schemeClr w14:val="tx1"/>
                  </w14:solidFill>
                </w14:textFill>
              </w:rPr>
              <w:t>以及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pH、氟化物</w:t>
            </w:r>
            <w:r>
              <w:rPr>
                <w:rFonts w:hint="eastAsia" w:cs="Times New Roman"/>
                <w:color w:val="000000" w:themeColor="text1"/>
                <w:sz w:val="24"/>
                <w:szCs w:val="24"/>
                <w:lang w:val="en-US" w:eastAsia="zh-CN"/>
                <w14:textFill>
                  <w14:solidFill>
                    <w14:schemeClr w14:val="tx1"/>
                  </w14:solidFill>
                </w14:textFill>
              </w:rPr>
              <w:t>、锌、铬。</w:t>
            </w:r>
          </w:p>
          <w:p w14:paraId="5C628EE4">
            <w:pPr>
              <w:ind w:firstLine="480"/>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4）检测频次：检测</w:t>
            </w:r>
            <w:r>
              <w:rPr>
                <w:rFonts w:hint="eastAsia" w:ascii="Times New Roman" w:hAnsi="Times New Roman" w:eastAsia="宋体" w:cs="Times New Roman"/>
                <w:b w:val="0"/>
                <w:bCs w:val="0"/>
                <w:i w:val="0"/>
                <w:iCs w:val="0"/>
                <w:color w:val="000000" w:themeColor="text1"/>
                <w:kern w:val="0"/>
                <w:sz w:val="24"/>
                <w:szCs w:val="24"/>
                <w:highlight w:val="none"/>
                <w:lang w:val="en-US" w:eastAsia="zh-CN" w:bidi="ar"/>
                <w14:textFill>
                  <w14:solidFill>
                    <w14:schemeClr w14:val="tx1"/>
                  </w14:solidFill>
                </w14:textFill>
              </w:rPr>
              <w:t>1天，检测1次。</w:t>
            </w:r>
          </w:p>
          <w:p w14:paraId="5D4385F4">
            <w:pPr>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5）监测结果</w:t>
            </w:r>
          </w:p>
          <w:p w14:paraId="699ADEC0">
            <w:pPr>
              <w:pStyle w:val="5"/>
              <w:adjustRightInd w:val="0"/>
              <w:spacing w:before="0" w:after="0" w:line="240" w:lineRule="auto"/>
              <w:ind w:right="0" w:firstLine="0" w:firstLineChars="0"/>
              <w:jc w:val="center"/>
              <w:rPr>
                <w:rFonts w:hint="default" w:ascii="Times New Roman" w:hAnsi="Times New Roman" w:eastAsia="宋体" w:cs="Times New Roman"/>
                <w:b/>
                <w:bCs/>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iCs w:val="0"/>
                <w:color w:val="000000" w:themeColor="text1"/>
                <w:kern w:val="0"/>
                <w:sz w:val="24"/>
                <w:szCs w:val="24"/>
                <w:highlight w:val="none"/>
                <w:lang w:val="en-US" w:eastAsia="zh-CN" w:bidi="ar"/>
                <w14:textFill>
                  <w14:solidFill>
                    <w14:schemeClr w14:val="tx1"/>
                  </w14:solidFill>
                </w14:textFill>
              </w:rPr>
              <w:t>表3-</w:t>
            </w:r>
            <w:r>
              <w:rPr>
                <w:rFonts w:hint="eastAsia" w:cs="Times New Roman"/>
                <w:b/>
                <w:bCs/>
                <w:iCs w:val="0"/>
                <w:color w:val="000000" w:themeColor="text1"/>
                <w:kern w:val="0"/>
                <w:sz w:val="24"/>
                <w:szCs w:val="24"/>
                <w:highlight w:val="none"/>
                <w:lang w:val="en-US" w:eastAsia="zh-CN" w:bidi="ar"/>
                <w14:textFill>
                  <w14:solidFill>
                    <w14:schemeClr w14:val="tx1"/>
                  </w14:solidFill>
                </w14:textFill>
              </w:rPr>
              <w:t xml:space="preserve">5  </w:t>
            </w:r>
            <w:r>
              <w:rPr>
                <w:rFonts w:hint="eastAsia" w:ascii="Times New Roman" w:hAnsi="Times New Roman" w:eastAsia="宋体" w:cs="Times New Roman"/>
                <w:b/>
                <w:bCs/>
                <w:iCs w:val="0"/>
                <w:color w:val="000000" w:themeColor="text1"/>
                <w:kern w:val="0"/>
                <w:sz w:val="24"/>
                <w:szCs w:val="24"/>
                <w:highlight w:val="none"/>
                <w:lang w:val="en-US" w:eastAsia="zh-CN" w:bidi="ar"/>
                <w14:textFill>
                  <w14:solidFill>
                    <w14:schemeClr w14:val="tx1"/>
                  </w14:solidFill>
                </w14:textFill>
              </w:rPr>
              <w:t>项目占地范围内土壤理化性质表</w:t>
            </w:r>
          </w:p>
          <w:p w14:paraId="744A0B0C">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7C5AFBE3">
            <w:pPr>
              <w:pStyle w:val="5"/>
              <w:adjustRightInd w:val="0"/>
              <w:spacing w:before="0" w:after="0" w:line="240" w:lineRule="auto"/>
              <w:ind w:right="0" w:firstLine="0" w:firstLineChars="0"/>
              <w:jc w:val="center"/>
              <w:rPr>
                <w:rFonts w:hint="default" w:ascii="Times New Roman" w:hAnsi="Times New Roman" w:eastAsia="宋体" w:cs="Times New Roman"/>
                <w:b/>
                <w:bCs/>
                <w:i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iCs w:val="0"/>
                <w:color w:val="000000" w:themeColor="text1"/>
                <w:kern w:val="0"/>
                <w:sz w:val="24"/>
                <w:szCs w:val="24"/>
                <w:highlight w:val="none"/>
                <w:lang w:val="en-US" w:eastAsia="zh-CN" w:bidi="ar"/>
                <w14:textFill>
                  <w14:solidFill>
                    <w14:schemeClr w14:val="tx1"/>
                  </w14:solidFill>
                </w14:textFill>
              </w:rPr>
              <w:t>表3-</w:t>
            </w:r>
            <w:r>
              <w:rPr>
                <w:rFonts w:hint="eastAsia" w:cs="Times New Roman"/>
                <w:b/>
                <w:bCs/>
                <w:iCs w:val="0"/>
                <w:color w:val="000000" w:themeColor="text1"/>
                <w:kern w:val="0"/>
                <w:sz w:val="24"/>
                <w:szCs w:val="24"/>
                <w:highlight w:val="none"/>
                <w:lang w:val="en-US" w:eastAsia="zh-CN" w:bidi="ar"/>
                <w14:textFill>
                  <w14:solidFill>
                    <w14:schemeClr w14:val="tx1"/>
                  </w14:solidFill>
                </w14:textFill>
              </w:rPr>
              <w:t xml:space="preserve">6  </w:t>
            </w:r>
            <w:r>
              <w:rPr>
                <w:rFonts w:hint="eastAsia" w:ascii="Times New Roman" w:hAnsi="Times New Roman" w:eastAsia="宋体" w:cs="Times New Roman"/>
                <w:b/>
                <w:bCs/>
                <w:iCs w:val="0"/>
                <w:color w:val="000000" w:themeColor="text1"/>
                <w:kern w:val="0"/>
                <w:sz w:val="24"/>
                <w:szCs w:val="24"/>
                <w:highlight w:val="none"/>
                <w:lang w:val="en-US" w:eastAsia="zh-CN" w:bidi="ar"/>
                <w14:textFill>
                  <w14:solidFill>
                    <w14:schemeClr w14:val="tx1"/>
                  </w14:solidFill>
                </w14:textFill>
              </w:rPr>
              <w:t>项目占地范围外土壤理化性质表</w:t>
            </w:r>
          </w:p>
          <w:p w14:paraId="32B2C0AF">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10291418">
            <w:pPr>
              <w:ind w:firstLine="480"/>
              <w:rPr>
                <w:color w:val="000000" w:themeColor="text1"/>
                <w14:textFill>
                  <w14:solidFill>
                    <w14:schemeClr w14:val="tx1"/>
                  </w14:solidFill>
                </w14:textFill>
              </w:rPr>
            </w:pPr>
          </w:p>
        </w:tc>
      </w:tr>
    </w:tbl>
    <w:p w14:paraId="4D693F46">
      <w:pPr>
        <w:pStyle w:val="5"/>
        <w:adjustRightInd w:val="0"/>
        <w:spacing w:before="0" w:after="0" w:line="360" w:lineRule="auto"/>
        <w:ind w:right="0" w:firstLine="0" w:firstLineChars="0"/>
        <w:jc w:val="center"/>
        <w:outlineLvl w:val="0"/>
        <w:rPr>
          <w:snapToGrid w:val="0"/>
          <w:color w:val="000000" w:themeColor="text1"/>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00EA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10C8C21B">
            <w:pPr>
              <w:keepNext/>
              <w:keepLines/>
              <w:tabs>
                <w:tab w:val="left" w:pos="420"/>
              </w:tabs>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表3-</w:t>
            </w:r>
            <w:r>
              <w:rPr>
                <w:rFonts w:hint="eastAsia"/>
                <w:b/>
                <w:bCs/>
                <w:color w:val="000000" w:themeColor="text1"/>
                <w:sz w:val="24"/>
                <w:szCs w:val="24"/>
                <w:lang w:val="en-US" w:eastAsia="zh-CN"/>
                <w14:textFill>
                  <w14:solidFill>
                    <w14:schemeClr w14:val="tx1"/>
                  </w14:solidFill>
                </w14:textFill>
              </w:rPr>
              <w:t xml:space="preserve">7  </w:t>
            </w:r>
            <w:r>
              <w:rPr>
                <w:rFonts w:hint="eastAsia"/>
                <w:b/>
                <w:bCs/>
                <w:color w:val="000000" w:themeColor="text1"/>
                <w:sz w:val="24"/>
                <w:szCs w:val="24"/>
                <w14:textFill>
                  <w14:solidFill>
                    <w14:schemeClr w14:val="tx1"/>
                  </w14:solidFill>
                </w14:textFill>
              </w:rPr>
              <w:t>项目范围内土壤检测结果一览表  单位：mg/kg</w:t>
            </w:r>
          </w:p>
          <w:p w14:paraId="4BA8CF5D">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31F09019">
            <w:pPr>
              <w:keepNext/>
              <w:keepLines/>
              <w:tabs>
                <w:tab w:val="left" w:pos="420"/>
              </w:tabs>
              <w:adjustRightInd w:val="0"/>
              <w:snapToGrid w:val="0"/>
              <w:spacing w:line="240" w:lineRule="auto"/>
              <w:jc w:val="center"/>
              <w:rPr>
                <w:rFonts w:hint="eastAsia"/>
                <w:b/>
                <w:bCs/>
                <w:color w:val="000000" w:themeColor="text1"/>
                <w:sz w:val="21"/>
                <w:szCs w:val="21"/>
                <w:vertAlign w:val="baseline"/>
                <w14:textFill>
                  <w14:solidFill>
                    <w14:schemeClr w14:val="tx1"/>
                  </w14:solidFill>
                </w14:textFill>
              </w:rPr>
            </w:pPr>
          </w:p>
          <w:p w14:paraId="2677CD5D">
            <w:pPr>
              <w:keepNext/>
              <w:keepLines/>
              <w:tabs>
                <w:tab w:val="left" w:pos="420"/>
              </w:tabs>
              <w:adjustRightInd w:val="0"/>
              <w:snapToGrid w:val="0"/>
              <w:spacing w:line="240" w:lineRule="auto"/>
              <w:jc w:val="center"/>
              <w:rPr>
                <w:rFonts w:hint="eastAsia"/>
                <w:b/>
                <w:bCs/>
                <w:color w:val="000000" w:themeColor="text1"/>
                <w:sz w:val="21"/>
                <w:szCs w:val="21"/>
                <w:vertAlign w:val="baseline"/>
                <w14:textFill>
                  <w14:solidFill>
                    <w14:schemeClr w14:val="tx1"/>
                  </w14:solidFill>
                </w14:textFill>
              </w:rPr>
            </w:pPr>
          </w:p>
        </w:tc>
      </w:tr>
    </w:tbl>
    <w:p w14:paraId="6C799CAE">
      <w:pPr>
        <w:pStyle w:val="48"/>
        <w:rPr>
          <w:color w:val="000000" w:themeColor="text1"/>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p w14:paraId="107CAF9B">
      <w:pPr>
        <w:keepNext/>
        <w:keepLines/>
        <w:tabs>
          <w:tab w:val="left" w:pos="420"/>
        </w:tabs>
        <w:adjustRightInd w:val="0"/>
        <w:snapToGrid w:val="0"/>
        <w:spacing w:line="24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表3-</w:t>
      </w:r>
      <w:r>
        <w:rPr>
          <w:rFonts w:hint="eastAsia"/>
          <w:b/>
          <w:bCs/>
          <w:color w:val="000000" w:themeColor="text1"/>
          <w:sz w:val="24"/>
          <w:szCs w:val="24"/>
          <w:lang w:val="en-US" w:eastAsia="zh-CN"/>
          <w14:textFill>
            <w14:solidFill>
              <w14:schemeClr w14:val="tx1"/>
            </w14:solidFill>
          </w14:textFill>
        </w:rPr>
        <w:t xml:space="preserve">8  </w:t>
      </w:r>
      <w:r>
        <w:rPr>
          <w:rFonts w:hint="eastAsia"/>
          <w:b/>
          <w:bCs/>
          <w:color w:val="000000" w:themeColor="text1"/>
          <w:sz w:val="24"/>
          <w:szCs w:val="24"/>
          <w14:textFill>
            <w14:solidFill>
              <w14:schemeClr w14:val="tx1"/>
            </w14:solidFill>
          </w14:textFill>
        </w:rPr>
        <w:t>项目范围外土壤检测结果一览表单位：mg/kg</w:t>
      </w:r>
    </w:p>
    <w:p w14:paraId="08EEA63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2E7196D0">
      <w:pPr>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根据《建设项目环境影响报告表编制技术指南（生态影响类）（试行）》《改性磷石膏用于矿山废弃地生态修复回填技术规范》（DB53/T1269-2024）</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等相关技术规范，本次环评在项目矿山修复范围</w:t>
      </w:r>
      <w:r>
        <w:rPr>
          <w:rFonts w:hint="eastAsia"/>
          <w:color w:val="000000" w:themeColor="text1"/>
          <w:highlight w:val="none"/>
          <w14:textFill>
            <w14:solidFill>
              <w14:schemeClr w14:val="tx1"/>
            </w14:solidFill>
          </w14:textFill>
        </w:rPr>
        <w:t>外上风向</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项目用地范围外下风向</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项目用地范围侧游</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项目用地范围内</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项目用地范围外普家屯村</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共设置</w:t>
      </w:r>
      <w:r>
        <w:rPr>
          <w:rFonts w:hint="eastAsia"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个土壤表层样监测点。</w:t>
      </w:r>
    </w:p>
    <w:p w14:paraId="6B15AB73">
      <w:pPr>
        <w:bidi w:val="0"/>
        <w:ind w:firstLine="480"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根据监测结果分析，项目生态修复区范围内所有监测点均满足《土壤环境质量建设用地土壤污染风险管控标准（试行）（GB36600-2018）》</w:t>
      </w:r>
      <w:r>
        <w:rPr>
          <w:rFonts w:hint="eastAsia" w:cs="Times New Roman"/>
          <w:color w:val="000000" w:themeColor="text1"/>
          <w:highlight w:val="none"/>
          <w:lang w:val="en-US" w:eastAsia="zh-CN"/>
          <w14:textFill>
            <w14:solidFill>
              <w14:schemeClr w14:val="tx1"/>
            </w14:solidFill>
          </w14:textFill>
        </w:rPr>
        <w:t>第一类用地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筛选值标准</w:t>
      </w:r>
      <w:r>
        <w:rPr>
          <w:rFonts w:hint="eastAsia" w:cs="Times New Roman"/>
          <w:color w:val="000000" w:themeColor="text1"/>
          <w:highlight w:val="none"/>
          <w:lang w:val="en-US" w:eastAsia="zh-CN"/>
          <w14:textFill>
            <w14:solidFill>
              <w14:schemeClr w14:val="tx1"/>
            </w14:solidFill>
          </w14:textFill>
        </w:rPr>
        <w:t>，并无监测点超过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《土壤环境质量建设用地土壤污染风险管控标准（试行）（GB36600-2018）》管控值标准。</w:t>
      </w:r>
    </w:p>
    <w:p w14:paraId="32ABB50F">
      <w:pPr>
        <w:bidi w:val="0"/>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矿山修复范围外监测点位监测因子均能达到《土壤环境质量 农用地土壤污染风险管控标准（试行）（GB15618-2018）》</w:t>
      </w:r>
      <w:r>
        <w:rPr>
          <w:rFonts w:hint="eastAsia" w:cs="Times New Roman"/>
          <w:color w:val="000000" w:themeColor="text1"/>
          <w:highlight w:val="none"/>
          <w:lang w:val="en-US" w:eastAsia="zh-CN"/>
          <w14:textFill>
            <w14:solidFill>
              <w14:schemeClr w14:val="tx1"/>
            </w14:solidFill>
          </w14:textFill>
        </w:rPr>
        <w:t>农用地风险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筛选值标准</w:t>
      </w:r>
      <w:r>
        <w:rPr>
          <w:rFonts w:hint="eastAsia" w:cs="Times New Roman"/>
          <w:color w:val="000000" w:themeColor="text1"/>
          <w:highlight w:val="none"/>
          <w:lang w:val="en-US" w:eastAsia="zh-CN"/>
          <w14:textFill>
            <w14:solidFill>
              <w14:schemeClr w14:val="tx1"/>
            </w14:solidFill>
          </w14:textFill>
        </w:rPr>
        <w:t>（6.7＜pH＜7.5）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，并无监测点超过《土壤环境质量农用地土壤污染风险管控标准（试行）（GB15618-2018）》管控值标准。</w:t>
      </w:r>
    </w:p>
    <w:p w14:paraId="5AFD38A4">
      <w:pPr>
        <w:pStyle w:val="72"/>
        <w:ind w:firstLine="498"/>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8、地下水环境</w:t>
      </w:r>
    </w:p>
    <w:p w14:paraId="552DCF70">
      <w:pPr>
        <w:keepNext w:val="0"/>
        <w:keepLines w:val="0"/>
        <w:pageBreakBefore w:val="0"/>
        <w:widowControl/>
        <w:suppressLineNumbers w:val="0"/>
        <w:kinsoku/>
        <w:wordWrap/>
        <w:overflowPunct/>
        <w:topLinePunct w:val="0"/>
        <w:autoSpaceDE/>
        <w:autoSpaceDN/>
        <w:bidi w:val="0"/>
        <w:adjustRightInd/>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（1）区域地下水环境质量现状监测</w:t>
      </w:r>
    </w:p>
    <w:p w14:paraId="1E13EFB7">
      <w:pPr>
        <w:keepNext w:val="0"/>
        <w:keepLines w:val="0"/>
        <w:pageBreakBefore w:val="0"/>
        <w:widowControl/>
        <w:suppressLineNumbers w:val="0"/>
        <w:kinsoku/>
        <w:wordWrap/>
        <w:overflowPunct/>
        <w:topLinePunct w:val="0"/>
        <w:autoSpaceDE/>
        <w:autoSpaceDN/>
        <w:bidi w:val="0"/>
        <w:adjustRightInd/>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根据《建设项目环境影响报告表编制技术指南（生态影响类）（试行）》和</w:t>
      </w:r>
      <w:r>
        <w:rPr>
          <w:rFonts w:hint="eastAsia" w:ascii="宋体" w:hAnsi="宋体" w:eastAsia="宋体" w:cs="宋体"/>
          <w:color w:val="000000" w:themeColor="text1"/>
          <w:kern w:val="0"/>
          <w:sz w:val="24"/>
          <w:szCs w:val="24"/>
          <w:lang w:val="en-US" w:eastAsia="zh-CN" w:bidi="ar"/>
          <w14:textFill>
            <w14:solidFill>
              <w14:schemeClr w14:val="tx1"/>
            </w14:solidFill>
          </w14:textFill>
        </w:rPr>
        <w:t>《环境影响评价技术导则</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lang w:val="en-US" w:eastAsia="zh-CN" w:bidi="ar"/>
          <w14:textFill>
            <w14:solidFill>
              <w14:schemeClr w14:val="tx1"/>
            </w14:solidFill>
          </w14:textFill>
        </w:rPr>
        <w:t>地下水环境》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（HJ610-2016）</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，结合该项目水文地质单元，地下水现状</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监测点布设</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6</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个点。项目</w:t>
      </w:r>
      <w:r>
        <w:rPr>
          <w:rFonts w:hint="eastAsia" w:ascii="Times New Roman" w:hAnsi="Times New Roman" w:eastAsia="宋体" w:cs="Times New Roman"/>
          <w:i w:val="0"/>
          <w:iCs w:val="0"/>
          <w:color w:val="000000" w:themeColor="text1"/>
          <w:kern w:val="0"/>
          <w:sz w:val="24"/>
          <w:szCs w:val="24"/>
          <w:highlight w:val="none"/>
          <w:lang w:val="en-US" w:eastAsia="zh-CN" w:bidi="ar"/>
          <w14:textFill>
            <w14:solidFill>
              <w14:schemeClr w14:val="tx1"/>
            </w14:solidFill>
          </w14:textFill>
        </w:rPr>
        <w:t>委托云南普域环境科技有限公司于</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202</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5</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年</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12</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月</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24</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日—202</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5</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年</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12</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月</w:t>
      </w:r>
      <w:r>
        <w:rPr>
          <w:rFonts w:hint="eastAsia" w:cs="Times New Roman"/>
          <w:color w:val="000000" w:themeColor="text1"/>
          <w:kern w:val="0"/>
          <w:sz w:val="24"/>
          <w:szCs w:val="24"/>
          <w:highlight w:val="none"/>
          <w:shd w:val="clear" w:color="auto" w:fill="auto"/>
          <w:lang w:val="en-US" w:eastAsia="zh-CN" w:bidi="ar"/>
          <w14:textFill>
            <w14:solidFill>
              <w14:schemeClr w14:val="tx1"/>
            </w14:solidFill>
          </w14:textFill>
        </w:rPr>
        <w:t>25</w:t>
      </w:r>
      <w:r>
        <w:rPr>
          <w:rFonts w:hint="eastAsia" w:ascii="Times New Roman" w:hAnsi="Times New Roman" w:eastAsia="宋体" w:cs="Times New Roman"/>
          <w:color w:val="000000" w:themeColor="text1"/>
          <w:kern w:val="0"/>
          <w:sz w:val="24"/>
          <w:szCs w:val="24"/>
          <w:highlight w:val="none"/>
          <w:shd w:val="clear" w:color="auto" w:fill="auto"/>
          <w:lang w:val="en-US" w:eastAsia="zh-CN" w:bidi="ar"/>
          <w14:textFill>
            <w14:solidFill>
              <w14:schemeClr w14:val="tx1"/>
            </w14:solidFill>
          </w14:textFill>
        </w:rPr>
        <w:t>日对周边项目区域地下水环境质量现状进行现状监测。</w:t>
      </w:r>
    </w:p>
    <w:p w14:paraId="59CE25CC">
      <w:pPr>
        <w:keepNext w:val="0"/>
        <w:keepLines w:val="0"/>
        <w:pageBreakBefore w:val="0"/>
        <w:widowControl/>
        <w:suppressLineNumbers w:val="0"/>
        <w:kinsoku/>
        <w:wordWrap/>
        <w:overflowPunct/>
        <w:topLinePunct w:val="0"/>
        <w:autoSpaceDE/>
        <w:autoSpaceDN/>
        <w:bidi w:val="0"/>
        <w:adjustRightInd/>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监测点位：设置6个地下水监测点，</w:t>
      </w:r>
      <w:r>
        <w:rPr>
          <w:rFonts w:hint="eastAsia"/>
          <w:color w:val="000000" w:themeColor="text1"/>
          <w:kern w:val="0"/>
          <w:highlight w:val="none"/>
          <w:lang w:bidi="ar"/>
          <w14:textFill>
            <w14:solidFill>
              <w14:schemeClr w14:val="tx1"/>
            </w14:solidFill>
          </w14:textFill>
        </w:rPr>
        <w:t>D1：项目北侧；D2项目东侧、D3：项目西侧、D4：项目东南侧、D5：项目南侧、D6八哥洞</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。根据《建设项目环境影响报告表编制技术指南（生态影响类）（试行）》和《环境影响评价技术导则  地下水环境》（HJ610-2016）相关要求“地下水环境现状监测点采用控制性布点与功能性布点相结合的布设原则。监测点应主要布设在建设项目场地、周围环境敏感点、地下水污染源以及对于确定边界条件有控制意义的地点。”</w:t>
      </w:r>
      <w:r>
        <w:rPr>
          <w:rFonts w:hint="eastAsia" w:cs="Times New Roman"/>
          <w:color w:val="000000" w:themeColor="text1"/>
          <w:kern w:val="0"/>
          <w:sz w:val="24"/>
          <w:szCs w:val="24"/>
          <w:highlight w:val="none"/>
          <w:lang w:val="en-US" w:eastAsia="zh-CN" w:bidi="ar"/>
          <w14:textFill>
            <w14:solidFill>
              <w14:schemeClr w14:val="tx1"/>
            </w14:solidFill>
          </w14:textFill>
        </w:rPr>
        <w:t>D1、D4、D5，分别设置在项目上游、下游。D2、D3设置在项目南北侧，</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D</w:t>
      </w:r>
      <w:r>
        <w:rPr>
          <w:rFonts w:hint="eastAsia" w:cs="Times New Roman"/>
          <w:color w:val="000000" w:themeColor="text1"/>
          <w:kern w:val="0"/>
          <w:sz w:val="24"/>
          <w:szCs w:val="24"/>
          <w:highlight w:val="none"/>
          <w:lang w:val="en-US" w:eastAsia="zh-CN" w:bidi="ar"/>
          <w14:textFill>
            <w14:solidFill>
              <w14:schemeClr w14:val="tx1"/>
            </w14:solidFill>
          </w14:textFill>
        </w:rPr>
        <w:t>6</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布设在项目</w:t>
      </w:r>
      <w:r>
        <w:rPr>
          <w:rFonts w:hint="eastAsia" w:cs="Times New Roman"/>
          <w:color w:val="000000" w:themeColor="text1"/>
          <w:kern w:val="0"/>
          <w:sz w:val="24"/>
          <w:szCs w:val="24"/>
          <w:highlight w:val="none"/>
          <w:lang w:val="en-US" w:eastAsia="zh-CN" w:bidi="ar"/>
          <w14:textFill>
            <w14:solidFill>
              <w14:schemeClr w14:val="tx1"/>
            </w14:solidFill>
          </w14:textFill>
        </w:rPr>
        <w:t>邻近村庄八哥洞村地下水井（下游），6</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个地下水监测点位能够反映项目区及周边地下水环境质量，符合相关布点要求。</w:t>
      </w:r>
    </w:p>
    <w:p w14:paraId="158774DA">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表3-10  地下水环境质量现状监测点</w:t>
      </w:r>
    </w:p>
    <w:p w14:paraId="4122E5B0">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66E9F6A8">
      <w:pPr>
        <w:keepNext w:val="0"/>
        <w:keepLines w:val="0"/>
        <w:pageBreakBefore w:val="0"/>
        <w:kinsoku/>
        <w:wordWrap/>
        <w:overflowPunct/>
        <w:topLinePunct w:val="0"/>
        <w:autoSpaceDE/>
        <w:autoSpaceDN/>
        <w:bidi w:val="0"/>
        <w:adjustRightInd/>
        <w:ind w:firstLine="480"/>
        <w:jc w:val="both"/>
        <w:textAlignment w:val="auto"/>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2）检测项目：</w:t>
      </w:r>
      <w:r>
        <w:rPr>
          <w:rFonts w:hint="eastAsia" w:ascii="Times New Roman" w:hAnsi="Times New Roman" w:eastAsia="宋体" w:cs="Times New Roman"/>
          <w:color w:val="000000" w:themeColor="text1"/>
          <w:sz w:val="24"/>
          <w:szCs w:val="24"/>
          <w:highlight w:val="none"/>
          <w14:textFill>
            <w14:solidFill>
              <w14:schemeClr w14:val="tx1"/>
            </w14:solidFill>
          </w14:textFill>
        </w:rPr>
        <w:t>Na</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、K</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、Ca</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、Mg</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、HCO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、Cl</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、SO</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、pH、氰化物、Cu、Zn、Fe、Mn、Pb、Cd、As、Hg、Sb、Ni、铍、总银、六价铬、总铬、总磷、氨氮、总硬度、溶解性总固体、硫酸盐、硝酸盐、亚硝酸盐、氯化物、氟化物、挥发酚、细菌总数、总大肠菌群、耗氧量</w:t>
      </w:r>
      <w:r>
        <w:rPr>
          <w:rFonts w:hint="eastAsia" w:cs="Times New Roman"/>
          <w:color w:val="000000" w:themeColor="text1"/>
          <w:sz w:val="24"/>
          <w:szCs w:val="24"/>
          <w:highlight w:val="none"/>
          <w:lang w:eastAsia="zh-CN"/>
          <w14:textFill>
            <w14:solidFill>
              <w14:schemeClr w14:val="tx1"/>
            </w14:solidFill>
          </w14:textFill>
        </w:rPr>
        <w:t>、高锰酸盐指数</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，共</w:t>
      </w:r>
      <w:r>
        <w:rPr>
          <w:rFonts w:hint="eastAsia" w:cs="Times New Roman"/>
          <w:b w:val="0"/>
          <w:bCs w:val="0"/>
          <w:color w:val="000000" w:themeColor="text1"/>
          <w:kern w:val="2"/>
          <w:sz w:val="24"/>
          <w:szCs w:val="24"/>
          <w:highlight w:val="none"/>
          <w:u w:val="none"/>
          <w:lang w:val="en-US" w:eastAsia="zh-CN" w:bidi="ar-SA"/>
          <w14:textFill>
            <w14:solidFill>
              <w14:schemeClr w14:val="tx1"/>
            </w14:solidFill>
          </w14:textFill>
        </w:rPr>
        <w:t>38</w:t>
      </w:r>
      <w:r>
        <w:rPr>
          <w:rFonts w:hint="eastAsia"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项</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w:t>
      </w:r>
    </w:p>
    <w:p w14:paraId="5E19534D">
      <w:pPr>
        <w:pStyle w:val="72"/>
        <w:keepNext w:val="0"/>
        <w:keepLines w:val="0"/>
        <w:pageBreakBefore w:val="0"/>
        <w:kinsoku/>
        <w:wordWrap/>
        <w:overflowPunct/>
        <w:topLinePunct w:val="0"/>
        <w:autoSpaceDE/>
        <w:autoSpaceDN/>
        <w:bidi w:val="0"/>
        <w:adjustRightInd/>
        <w:ind w:firstLine="496"/>
        <w:jc w:val="both"/>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3）监测频次：</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连续检测2天，每天检测1次</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6D6B5BC7">
      <w:pPr>
        <w:pStyle w:val="72"/>
        <w:keepNext w:val="0"/>
        <w:keepLines w:val="0"/>
        <w:pageBreakBefore w:val="0"/>
        <w:kinsoku/>
        <w:wordWrap/>
        <w:overflowPunct/>
        <w:topLinePunct w:val="0"/>
        <w:autoSpaceDE/>
        <w:autoSpaceDN/>
        <w:bidi w:val="0"/>
        <w:adjustRightInd/>
        <w:ind w:firstLine="496"/>
        <w:jc w:val="both"/>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4）监测结果：</w:t>
      </w:r>
    </w:p>
    <w:p w14:paraId="7265695C">
      <w:pPr>
        <w:pStyle w:val="72"/>
        <w:keepNext w:val="0"/>
        <w:keepLines w:val="0"/>
        <w:pageBreakBefore w:val="0"/>
        <w:kinsoku/>
        <w:wordWrap/>
        <w:overflowPunct/>
        <w:topLinePunct w:val="0"/>
        <w:autoSpaceDE/>
        <w:autoSpaceDN/>
        <w:bidi w:val="0"/>
        <w:adjustRightInd/>
        <w:ind w:firstLine="496"/>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2839B356">
      <w:pPr>
        <w:rPr>
          <w:rFonts w:ascii="Times New Roman" w:hAnsi="Times New Roman" w:eastAsia="宋体" w:cs="Times New Roman"/>
          <w:color w:val="000000" w:themeColor="text1"/>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61935C86">
      <w:pPr>
        <w:pStyle w:val="72"/>
        <w:keepNext w:val="0"/>
        <w:keepLines w:val="0"/>
        <w:pageBreakBefore w:val="0"/>
        <w:numPr>
          <w:ilvl w:val="0"/>
          <w:numId w:val="0"/>
        </w:numPr>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b/>
          <w:bCs/>
          <w:color w:val="000000" w:themeColor="text1"/>
          <w:kern w:val="24"/>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4"/>
          <w:sz w:val="24"/>
          <w:szCs w:val="24"/>
          <w:highlight w:val="none"/>
          <w:lang w:val="en-US" w:eastAsia="zh-CN" w:bidi="ar"/>
          <w14:textFill>
            <w14:solidFill>
              <w14:schemeClr w14:val="tx1"/>
            </w14:solidFill>
          </w14:textFill>
        </w:rPr>
        <w:t>表3-11</w:t>
      </w:r>
      <w:r>
        <w:rPr>
          <w:rFonts w:hint="eastAsia" w:cs="Times New Roman"/>
          <w:b/>
          <w:bCs/>
          <w:color w:val="000000" w:themeColor="text1"/>
          <w:kern w:val="24"/>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24"/>
          <w:sz w:val="24"/>
          <w:szCs w:val="24"/>
          <w:highlight w:val="none"/>
          <w:lang w:val="en-US" w:eastAsia="zh-CN" w:bidi="ar"/>
          <w14:textFill>
            <w14:solidFill>
              <w14:schemeClr w14:val="tx1"/>
            </w14:solidFill>
          </w14:textFill>
        </w:rPr>
        <w:t xml:space="preserve"> 项目地下水质量检测结果单位mg/L</w:t>
      </w:r>
    </w:p>
    <w:p w14:paraId="323A0C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2E115302">
      <w:pPr>
        <w:adjustRightInd w:val="0"/>
        <w:snapToGrid w:val="0"/>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监测结果可知，项目区地下水环境质量现状均达到《地下水质量标准》（GB/T14848-2017）Ⅲ类标准，《地下水质量标准》（GB/T14848-2017）内无总磷标准值，因此总磷参考对照《地表水环境质量标准》（GB3838-2002）Ⅲ类标准进行分析，对照可知项目区地下水环境质量现状总磷满足《地表水环境质量标准》（GB3838-2002）Ⅲ类标准要求。低于检出限按照检出限二分之一进行评价。</w:t>
      </w:r>
    </w:p>
    <w:p w14:paraId="6F1453B4">
      <w:pPr>
        <w:adjustRightInd w:val="0"/>
        <w:snapToGrid w:val="0"/>
        <w:ind w:firstLine="48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本次评价采用以下公式对项目区地下水环境中阴阳离子平衡关系进行计算：</w:t>
      </w:r>
    </w:p>
    <w:p w14:paraId="6DC89AE7">
      <w:pPr>
        <w:adjustRightInd w:val="0"/>
        <w:snapToGrid w:val="0"/>
        <w:ind w:firstLine="48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drawing>
          <wp:inline distT="0" distB="0" distL="114300" distR="114300">
            <wp:extent cx="1783080" cy="655320"/>
            <wp:effectExtent l="0" t="0" r="7620" b="11430"/>
            <wp:docPr id="19"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8"/>
                    <pic:cNvPicPr>
                      <a:picLocks noChangeAspect="1"/>
                    </pic:cNvPicPr>
                  </pic:nvPicPr>
                  <pic:blipFill>
                    <a:blip r:embed="rId16"/>
                    <a:stretch>
                      <a:fillRect/>
                    </a:stretch>
                  </pic:blipFill>
                  <pic:spPr>
                    <a:xfrm>
                      <a:off x="0" y="0"/>
                      <a:ext cx="1783080" cy="655320"/>
                    </a:xfrm>
                    <a:prstGeom prst="rect">
                      <a:avLst/>
                    </a:prstGeom>
                    <a:noFill/>
                    <a:ln>
                      <a:noFill/>
                    </a:ln>
                  </pic:spPr>
                </pic:pic>
              </a:graphicData>
            </a:graphic>
          </wp:inline>
        </w:drawing>
      </w:r>
    </w:p>
    <w:p w14:paraId="3D6A1B4C">
      <w:pPr>
        <w:adjustRightInd w:val="0"/>
        <w:snapToGrid w:val="0"/>
        <w:ind w:firstLine="48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式中：E——相对误差，Na</w:t>
      </w:r>
      <w:r>
        <w:rPr>
          <w:rFonts w:ascii="Times New Roman"/>
          <w:color w:val="000000" w:themeColor="text1"/>
          <w:highlight w:val="none"/>
          <w:vertAlign w:val="superscript"/>
          <w14:textFill>
            <w14:solidFill>
              <w14:schemeClr w14:val="tx1"/>
            </w14:solidFill>
          </w14:textFill>
        </w:rPr>
        <w:t>+</w:t>
      </w:r>
      <w:r>
        <w:rPr>
          <w:rFonts w:ascii="Times New Roman"/>
          <w:color w:val="000000" w:themeColor="text1"/>
          <w:highlight w:val="none"/>
          <w14:textFill>
            <w14:solidFill>
              <w14:schemeClr w14:val="tx1"/>
            </w14:solidFill>
          </w14:textFill>
        </w:rPr>
        <w:t>、K</w:t>
      </w:r>
      <w:r>
        <w:rPr>
          <w:rFonts w:ascii="Times New Roman"/>
          <w:color w:val="000000" w:themeColor="text1"/>
          <w:highlight w:val="none"/>
          <w:vertAlign w:val="superscript"/>
          <w14:textFill>
            <w14:solidFill>
              <w14:schemeClr w14:val="tx1"/>
            </w14:solidFill>
          </w14:textFill>
        </w:rPr>
        <w:t>+</w:t>
      </w:r>
      <w:r>
        <w:rPr>
          <w:rFonts w:ascii="Times New Roman"/>
          <w:color w:val="000000" w:themeColor="text1"/>
          <w:highlight w:val="none"/>
          <w14:textFill>
            <w14:solidFill>
              <w14:schemeClr w14:val="tx1"/>
            </w14:solidFill>
          </w14:textFill>
        </w:rPr>
        <w:t>为实测值，E应小于±5%，如果Na</w:t>
      </w:r>
      <w:r>
        <w:rPr>
          <w:rFonts w:ascii="Times New Roman"/>
          <w:color w:val="000000" w:themeColor="text1"/>
          <w:highlight w:val="none"/>
          <w:vertAlign w:val="superscript"/>
          <w14:textFill>
            <w14:solidFill>
              <w14:schemeClr w14:val="tx1"/>
            </w14:solidFill>
          </w14:textFill>
        </w:rPr>
        <w:t>+</w:t>
      </w:r>
      <w:r>
        <w:rPr>
          <w:rFonts w:ascii="Times New Roman"/>
          <w:color w:val="000000" w:themeColor="text1"/>
          <w:highlight w:val="none"/>
          <w14:textFill>
            <w14:solidFill>
              <w14:schemeClr w14:val="tx1"/>
            </w14:solidFill>
          </w14:textFill>
        </w:rPr>
        <w:t>、K</w:t>
      </w:r>
      <w:r>
        <w:rPr>
          <w:rFonts w:ascii="Times New Roman"/>
          <w:color w:val="000000" w:themeColor="text1"/>
          <w:highlight w:val="none"/>
          <w:vertAlign w:val="superscript"/>
          <w14:textFill>
            <w14:solidFill>
              <w14:schemeClr w14:val="tx1"/>
            </w14:solidFill>
          </w14:textFill>
        </w:rPr>
        <w:t>+</w:t>
      </w:r>
      <w:r>
        <w:rPr>
          <w:rFonts w:ascii="Times New Roman"/>
          <w:color w:val="000000" w:themeColor="text1"/>
          <w:highlight w:val="none"/>
          <w14:textFill>
            <w14:solidFill>
              <w14:schemeClr w14:val="tx1"/>
            </w14:solidFill>
          </w14:textFill>
        </w:rPr>
        <w:t>为计算值，E应为零或接近零。</w:t>
      </w:r>
    </w:p>
    <w:p w14:paraId="498898E5">
      <w:pPr>
        <w:adjustRightInd w:val="0"/>
        <w:snapToGrid w:val="0"/>
        <w:ind w:firstLine="1200" w:firstLineChars="50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Mc——阴离子的毫克当量浓度，meq/L；</w:t>
      </w:r>
    </w:p>
    <w:p w14:paraId="2E899BB1">
      <w:pPr>
        <w:adjustRightInd w:val="0"/>
        <w:snapToGrid w:val="0"/>
        <w:ind w:firstLine="1200" w:firstLineChars="50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Ma——阳离子的毫克当量浓度，meq/L；</w:t>
      </w:r>
    </w:p>
    <w:p w14:paraId="5BBFE1F0">
      <w:pPr>
        <w:adjustRightInd w:val="0"/>
        <w:snapToGrid w:val="0"/>
        <w:ind w:firstLine="1205" w:firstLineChars="500"/>
        <w:rPr>
          <w:rFonts w:ascii="Times New Roman"/>
          <w:b/>
          <w:bCs/>
          <w:color w:val="000000" w:themeColor="text1"/>
          <w:highlight w:val="none"/>
          <w14:textFill>
            <w14:solidFill>
              <w14:schemeClr w14:val="tx1"/>
            </w14:solidFill>
          </w14:textFill>
        </w:rPr>
      </w:pPr>
      <w:r>
        <w:rPr>
          <w:rFonts w:ascii="Times New Roman"/>
          <w:b/>
          <w:bCs/>
          <w:color w:val="000000" w:themeColor="text1"/>
          <w:highlight w:val="none"/>
          <w14:textFill>
            <w14:solidFill>
              <w14:schemeClr w14:val="tx1"/>
            </w14:solidFill>
          </w14:textFill>
        </w:rPr>
        <w:t>毫克当量</w:t>
      </w:r>
      <w:r>
        <w:rPr>
          <w:rFonts w:hint="eastAsia" w:ascii="Times New Roman"/>
          <w:b/>
          <w:bCs/>
          <w:color w:val="000000" w:themeColor="text1"/>
          <w:highlight w:val="none"/>
          <w14:textFill>
            <w14:solidFill>
              <w14:schemeClr w14:val="tx1"/>
            </w14:solidFill>
          </w14:textFill>
        </w:rPr>
        <w:t>（</w:t>
      </w:r>
      <w:r>
        <w:rPr>
          <w:rFonts w:ascii="Times New Roman"/>
          <w:b/>
          <w:bCs/>
          <w:color w:val="000000" w:themeColor="text1"/>
          <w:highlight w:val="none"/>
          <w14:textFill>
            <w14:solidFill>
              <w14:schemeClr w14:val="tx1"/>
            </w14:solidFill>
          </w14:textFill>
        </w:rPr>
        <w:t>meq/L</w:t>
      </w:r>
      <w:r>
        <w:rPr>
          <w:rFonts w:hint="eastAsia" w:ascii="Times New Roman"/>
          <w:b/>
          <w:bCs/>
          <w:color w:val="000000" w:themeColor="text1"/>
          <w:highlight w:val="none"/>
          <w14:textFill>
            <w14:solidFill>
              <w14:schemeClr w14:val="tx1"/>
            </w14:solidFill>
          </w14:textFill>
        </w:rPr>
        <w:t>）</w:t>
      </w:r>
      <w:r>
        <w:rPr>
          <w:rFonts w:ascii="Times New Roman"/>
          <w:b/>
          <w:bCs/>
          <w:color w:val="000000" w:themeColor="text1"/>
          <w:highlight w:val="none"/>
          <w14:textFill>
            <w14:solidFill>
              <w14:schemeClr w14:val="tx1"/>
            </w14:solidFill>
          </w14:textFill>
        </w:rPr>
        <w:t>=质量浓度</w:t>
      </w:r>
      <w:r>
        <w:rPr>
          <w:rFonts w:hint="eastAsia" w:ascii="Times New Roman"/>
          <w:b/>
          <w:bCs/>
          <w:color w:val="000000" w:themeColor="text1"/>
          <w:highlight w:val="none"/>
          <w14:textFill>
            <w14:solidFill>
              <w14:schemeClr w14:val="tx1"/>
            </w14:solidFill>
          </w14:textFill>
        </w:rPr>
        <w:t>（</w:t>
      </w:r>
      <w:r>
        <w:rPr>
          <w:rFonts w:ascii="Times New Roman"/>
          <w:b/>
          <w:bCs/>
          <w:color w:val="000000" w:themeColor="text1"/>
          <w:highlight w:val="none"/>
          <w14:textFill>
            <w14:solidFill>
              <w14:schemeClr w14:val="tx1"/>
            </w14:solidFill>
          </w14:textFill>
        </w:rPr>
        <w:t>mg/L</w:t>
      </w:r>
      <w:r>
        <w:rPr>
          <w:rFonts w:hint="eastAsia" w:ascii="Times New Roman"/>
          <w:b/>
          <w:bCs/>
          <w:color w:val="000000" w:themeColor="text1"/>
          <w:highlight w:val="none"/>
          <w14:textFill>
            <w14:solidFill>
              <w14:schemeClr w14:val="tx1"/>
            </w14:solidFill>
          </w14:textFill>
        </w:rPr>
        <w:t>）</w:t>
      </w:r>
      <w:r>
        <w:rPr>
          <w:rFonts w:ascii="Times New Roman"/>
          <w:b/>
          <w:bCs/>
          <w:color w:val="000000" w:themeColor="text1"/>
          <w:highlight w:val="none"/>
          <w14:textFill>
            <w14:solidFill>
              <w14:schemeClr w14:val="tx1"/>
            </w14:solidFill>
          </w14:textFill>
        </w:rPr>
        <w:t>×离子的化合价÷离子的原子量</w:t>
      </w:r>
    </w:p>
    <w:p w14:paraId="358930DA">
      <w:pPr>
        <w:bidi w:val="0"/>
        <w:rPr>
          <w:rFonts w:ascii="Times New Roman"/>
          <w:color w:val="000000" w:themeColor="text1"/>
          <w:sz w:val="24"/>
          <w:szCs w:val="24"/>
          <w:highlight w:val="none"/>
          <w14:textFill>
            <w14:solidFill>
              <w14:schemeClr w14:val="tx1"/>
            </w14:solidFill>
          </w14:textFill>
        </w:rPr>
      </w:pPr>
      <w:r>
        <w:rPr>
          <w:rFonts w:ascii="Times New Roman"/>
          <w:color w:val="000000" w:themeColor="text1"/>
          <w:highlight w:val="none"/>
          <w14:textFill>
            <w14:solidFill>
              <w14:schemeClr w14:val="tx1"/>
            </w14:solidFill>
          </w14:textFill>
        </w:rPr>
        <w:t>项目区域地下水环境中阴阳离子监测结果及计算详见下表：</w:t>
      </w:r>
    </w:p>
    <w:p w14:paraId="6E15335B">
      <w:pPr>
        <w:pStyle w:val="72"/>
        <w:keepNext w:val="0"/>
        <w:keepLines w:val="0"/>
        <w:pageBreakBefore w:val="0"/>
        <w:numPr>
          <w:ilvl w:val="0"/>
          <w:numId w:val="0"/>
        </w:numPr>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b/>
          <w:bCs/>
          <w:color w:val="000000" w:themeColor="text1"/>
          <w:kern w:val="24"/>
          <w:sz w:val="21"/>
          <w:szCs w:val="21"/>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4"/>
          <w:sz w:val="24"/>
          <w:szCs w:val="24"/>
          <w:highlight w:val="none"/>
          <w:lang w:val="en-US" w:eastAsia="zh-CN" w:bidi="ar"/>
          <w14:textFill>
            <w14:solidFill>
              <w14:schemeClr w14:val="tx1"/>
            </w14:solidFill>
          </w14:textFill>
        </w:rPr>
        <w:t>表3-12  项目区域地下水环境阴阳离子监测、分析结果</w:t>
      </w:r>
    </w:p>
    <w:p w14:paraId="2AF64534">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7F43FD1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由上述公式计算得，</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D1、D2、D</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、D5、D6</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水井阴阳离子相对误差小于±5%，地下水监测数据有效</w:t>
      </w:r>
      <w:r>
        <w:rPr>
          <w:rFonts w:hint="eastAsia" w:cs="Times New Roman" w:eastAsiaTheme="minorEastAsia"/>
          <w:color w:val="000000" w:themeColor="text1"/>
          <w:sz w:val="24"/>
          <w:szCs w:val="24"/>
          <w:highlight w:val="none"/>
          <w:lang w:eastAsia="zh-CN"/>
          <w14:textFill>
            <w14:solidFill>
              <w14:schemeClr w14:val="tx1"/>
            </w14:solidFill>
          </w14:textFill>
        </w:rPr>
        <w:t>。</w:t>
      </w:r>
    </w:p>
    <w:p w14:paraId="1B2EB4AD">
      <w:pPr>
        <w:ind w:firstLine="0" w:firstLineChars="0"/>
        <w:rPr>
          <w:color w:val="000000" w:themeColor="text1"/>
          <w14:textFill>
            <w14:solidFill>
              <w14:schemeClr w14:val="tx1"/>
            </w14:solidFill>
          </w14:textFill>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tbl>
      <w:tblPr>
        <w:tblStyle w:val="41"/>
        <w:tblW w:w="8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977"/>
      </w:tblGrid>
      <w:tr w14:paraId="30B1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14:paraId="3910F36F">
            <w:pPr>
              <w:adjustRightInd w:val="0"/>
              <w:snapToGrid w:val="0"/>
              <w:spacing w:line="240" w:lineRule="auto"/>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与项目有关的原有环境污染和生态破坏问题</w:t>
            </w:r>
          </w:p>
        </w:tc>
        <w:tc>
          <w:tcPr>
            <w:tcW w:w="7977" w:type="dxa"/>
            <w:vAlign w:val="center"/>
          </w:tcPr>
          <w:p w14:paraId="6BCB0C3A">
            <w:pPr>
              <w:snapToGrid w:val="0"/>
              <w:spacing w:line="360" w:lineRule="auto"/>
              <w:ind w:right="-1" w:firstLine="482" w:firstLineChars="200"/>
              <w:rPr>
                <w:rFonts w:hint="default" w:ascii="Times New Roman" w:hAnsi="Times New Roman" w:eastAsia="宋体" w:cs="Times New Roman"/>
                <w:b/>
                <w:bCs/>
                <w:color w:val="000000" w:themeColor="text1"/>
                <w:kern w:val="0"/>
                <w:sz w:val="24"/>
                <w14:textFill>
                  <w14:solidFill>
                    <w14:schemeClr w14:val="tx1"/>
                  </w14:solidFill>
                </w14:textFill>
              </w:rPr>
            </w:pPr>
            <w:bookmarkStart w:id="24" w:name="_Hlk192692838"/>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原矿山基本情况</w:t>
            </w:r>
          </w:p>
          <w:bookmarkEnd w:id="24"/>
          <w:p w14:paraId="29F75DA2">
            <w:pPr>
              <w:keepNext w:val="0"/>
              <w:keepLines w:val="0"/>
              <w:pageBreakBefore w:val="0"/>
              <w:widowControl w:val="0"/>
              <w:kinsoku/>
              <w:wordWrap/>
              <w:overflowPunct/>
              <w:topLinePunct w:val="0"/>
              <w:autoSpaceDE/>
              <w:autoSpaceDN/>
              <w:bidi w:val="0"/>
              <w:adjustRightInd w:val="0"/>
              <w:snapToGrid w:val="0"/>
              <w:ind w:firstLine="482"/>
              <w:jc w:val="left"/>
              <w:textAlignment w:val="auto"/>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pP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云南省寻甸塘子镇钟灵村委会令友采石场位于寻甸县塘子</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街道</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钟灵</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社区</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张家屯村，于2004年12月取得采矿证，生产规模为年开采加工石灰岩1万吨，开采方式为露天开采。</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后</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非煤矿山转型升级</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年开采规模从1万t/a提高至10万t/a</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经过采矿权延续和采矿证延期，采矿证有效期2020年7月31日至2021年8月6日，现有采矿证编号C5301292009127120051156，开采矿种建筑石料用灰岩，开采方式露天开采。</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2019年7月2日取得昆明市生态环境局寻甸分局</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文件关于《年产10万吨建筑石料用灰岩技术改造项目环境影响报告表》的批复（昆生环寻〔2019〕51号），原项目已于202</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0</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年</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12月</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停产并拆除生产线，</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原项目</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未进行</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环境保护</w:t>
            </w:r>
            <w:r>
              <w:rPr>
                <w:rFonts w:hint="default" w:ascii="Times New Roman" w:hAnsi="Times New Roman" w:eastAsia="宋体" w:cs="Times New Roman"/>
                <w:b w:val="0"/>
                <w:bCs w:val="0"/>
                <w:color w:val="000000" w:themeColor="text1"/>
                <w:kern w:val="0"/>
                <w:highlight w:val="none"/>
                <w:lang w:val="en-US" w:bidi="ar"/>
                <w14:textFill>
                  <w14:solidFill>
                    <w14:schemeClr w14:val="tx1"/>
                  </w14:solidFill>
                </w14:textFill>
              </w:rPr>
              <w:t>验收。</w:t>
            </w:r>
          </w:p>
          <w:p w14:paraId="19D1EA32">
            <w:pPr>
              <w:keepNext w:val="0"/>
              <w:keepLines w:val="0"/>
              <w:pageBreakBefore w:val="0"/>
              <w:widowControl w:val="0"/>
              <w:kinsoku/>
              <w:wordWrap/>
              <w:overflowPunct/>
              <w:topLinePunct w:val="0"/>
              <w:autoSpaceDE/>
              <w:autoSpaceDN/>
              <w:bidi w:val="0"/>
              <w:adjustRightInd w:val="0"/>
              <w:snapToGrid w:val="0"/>
              <w:ind w:firstLine="482"/>
              <w:jc w:val="left"/>
              <w:textAlignment w:val="auto"/>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highlight w:val="none"/>
                <w:lang w:bidi="ar"/>
                <w14:textFill>
                  <w14:solidFill>
                    <w14:schemeClr w14:val="tx1"/>
                  </w14:solidFill>
                </w14:textFill>
              </w:rPr>
              <w:t>为了充分开发利用现有矿产资源，带动地方经济的发展，满足矿山生产需求，本着不破坏环境，合理开采资源、便于监管的原则；经相关部门综合研究决定，由寻甸回族彝族自治县自然资源局负责，经上级批准，在原寻甸塘子镇钟灵村委会令友采石场采矿权的基础上拟扩大矿区范围，以招拍挂形式出让该采矿权。项目于2020年12月30日取得寻甸县矿业权联勘联审已发审批工作领导小组“关于寻甸县塘子镇钟灵村委会令友采石场采矿权扩大矿区范围联勘联审的综合审查意见”</w:t>
            </w:r>
            <w:r>
              <w:rPr>
                <w:rFonts w:hint="default" w:ascii="Times New Roman" w:hAnsi="Times New Roman" w:eastAsia="宋体" w:cs="Times New Roman"/>
                <w:b w:val="0"/>
                <w:bCs w:val="0"/>
                <w:color w:val="000000" w:themeColor="text1"/>
                <w:kern w:val="0"/>
                <w:highlight w:val="none"/>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highlight w:val="none"/>
                <w:lang w:val="en-US" w:eastAsia="zh-CN" w:bidi="ar"/>
                <w14:textFill>
                  <w14:solidFill>
                    <w14:schemeClr w14:val="tx1"/>
                  </w14:solidFill>
                </w14:textFill>
              </w:rPr>
              <w:t>2022年11月24日取得了昆明市生态环境局寻甸分局关于对《寻甸县塘子镇钟灵村委会令友采石场普通建筑材料用石灰岩矿扩大矿区项目环境影响报告表》的批复。</w:t>
            </w:r>
          </w:p>
          <w:p w14:paraId="09BB4A5B">
            <w:pPr>
              <w:keepNext w:val="0"/>
              <w:keepLines w:val="0"/>
              <w:pageBreakBefore w:val="0"/>
              <w:widowControl w:val="0"/>
              <w:kinsoku/>
              <w:wordWrap/>
              <w:overflowPunct/>
              <w:topLinePunct w:val="0"/>
              <w:autoSpaceDE/>
              <w:autoSpaceDN/>
              <w:bidi w:val="0"/>
              <w:adjustRightInd w:val="0"/>
              <w:snapToGrid w:val="0"/>
              <w:ind w:firstLine="482"/>
              <w:jc w:val="left"/>
              <w:textAlignment w:val="auto"/>
              <w:rPr>
                <w:rFonts w:hint="default" w:ascii="Times New Roman" w:hAnsi="Times New Roman" w:eastAsia="宋体" w:cs="Times New Roman"/>
                <w:b w:val="0"/>
                <w:bCs w:val="0"/>
                <w:color w:val="000000" w:themeColor="text1"/>
                <w:kern w:val="0"/>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highlight w:val="none"/>
                <w:lang w:bidi="ar"/>
                <w14:textFill>
                  <w14:solidFill>
                    <w14:schemeClr w14:val="tx1"/>
                  </w14:solidFill>
                </w14:textFill>
              </w:rPr>
              <w:t>矿区范围坐标见下表。</w:t>
            </w:r>
          </w:p>
          <w:p w14:paraId="199D1514">
            <w:pPr>
              <w:pStyle w:val="109"/>
              <w:spacing w:line="360" w:lineRule="auto"/>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w:t>
            </w:r>
            <w:r>
              <w:rPr>
                <w:rFonts w:hint="default" w:ascii="Times New Roman" w:hAnsi="Times New Roman" w:eastAsia="Times New Roman" w:cs="Times New Roman"/>
                <w:b/>
                <w:color w:val="000000" w:themeColor="text1"/>
                <w:sz w:val="24"/>
                <w14:textFill>
                  <w14:solidFill>
                    <w14:schemeClr w14:val="tx1"/>
                  </w14:solidFill>
                </w14:textFill>
              </w:rPr>
              <w:t>2-</w:t>
            </w: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Times New Roman" w:cs="Times New Roman"/>
                <w:b/>
                <w:color w:val="000000" w:themeColor="text1"/>
                <w:sz w:val="24"/>
                <w14:textFill>
                  <w14:solidFill>
                    <w14:schemeClr w14:val="tx1"/>
                  </w14:solidFill>
                </w14:textFill>
              </w:rPr>
              <w:t xml:space="preserve"> </w:t>
            </w:r>
            <w:r>
              <w:rPr>
                <w:rFonts w:hint="default"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项目采石场矿区范围拐点坐标表</w:t>
            </w:r>
          </w:p>
          <w:tbl>
            <w:tblPr>
              <w:tblStyle w:val="40"/>
              <w:tblW w:w="0" w:type="auto"/>
              <w:jc w:val="center"/>
              <w:tblLayout w:type="fixed"/>
              <w:tblCellMar>
                <w:top w:w="0" w:type="dxa"/>
                <w:left w:w="108" w:type="dxa"/>
                <w:bottom w:w="0" w:type="dxa"/>
                <w:right w:w="108" w:type="dxa"/>
              </w:tblCellMar>
            </w:tblPr>
            <w:tblGrid>
              <w:gridCol w:w="663"/>
              <w:gridCol w:w="1124"/>
              <w:gridCol w:w="1241"/>
              <w:gridCol w:w="1118"/>
              <w:gridCol w:w="1254"/>
              <w:gridCol w:w="1473"/>
              <w:gridCol w:w="1343"/>
            </w:tblGrid>
            <w:tr w14:paraId="6BC97F24">
              <w:tblPrEx>
                <w:tblCellMar>
                  <w:top w:w="0" w:type="dxa"/>
                  <w:left w:w="108" w:type="dxa"/>
                  <w:bottom w:w="0" w:type="dxa"/>
                  <w:right w:w="108" w:type="dxa"/>
                </w:tblCellMar>
              </w:tblPrEx>
              <w:trPr>
                <w:tblHeader/>
                <w:jc w:val="center"/>
              </w:trPr>
              <w:tc>
                <w:tcPr>
                  <w:tcW w:w="663" w:type="dxa"/>
                  <w:vMerge w:val="restart"/>
                  <w:tcBorders>
                    <w:top w:val="single" w:color="auto" w:sz="4" w:space="0"/>
                    <w:left w:val="single" w:color="auto" w:sz="4" w:space="0"/>
                    <w:bottom w:val="single" w:color="auto" w:sz="4" w:space="0"/>
                    <w:right w:val="single" w:color="auto" w:sz="4" w:space="0"/>
                  </w:tcBorders>
                  <w:noWrap w:val="0"/>
                  <w:vAlign w:val="center"/>
                </w:tcPr>
                <w:p w14:paraId="41CE2B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拐点编号</w:t>
                  </w:r>
                </w:p>
              </w:tc>
              <w:tc>
                <w:tcPr>
                  <w:tcW w:w="2365" w:type="dxa"/>
                  <w:gridSpan w:val="2"/>
                  <w:tcBorders>
                    <w:top w:val="single" w:color="auto" w:sz="4" w:space="0"/>
                    <w:left w:val="nil"/>
                    <w:bottom w:val="single" w:color="auto" w:sz="4" w:space="0"/>
                    <w:right w:val="single" w:color="auto" w:sz="4" w:space="0"/>
                  </w:tcBorders>
                  <w:noWrap/>
                  <w:vAlign w:val="center"/>
                </w:tcPr>
                <w:p w14:paraId="4AE7C7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1980西安坐标系</w:t>
                  </w:r>
                </w:p>
              </w:tc>
              <w:tc>
                <w:tcPr>
                  <w:tcW w:w="5188" w:type="dxa"/>
                  <w:gridSpan w:val="4"/>
                  <w:tcBorders>
                    <w:top w:val="single" w:color="auto" w:sz="4" w:space="0"/>
                    <w:left w:val="nil"/>
                    <w:bottom w:val="single" w:color="auto" w:sz="4" w:space="0"/>
                    <w:right w:val="single" w:color="auto" w:sz="4" w:space="0"/>
                  </w:tcBorders>
                  <w:noWrap/>
                  <w:vAlign w:val="center"/>
                </w:tcPr>
                <w:p w14:paraId="19E1AF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国家2000大地坐标系</w:t>
                  </w:r>
                </w:p>
              </w:tc>
            </w:tr>
            <w:tr w14:paraId="367F1CAE">
              <w:tblPrEx>
                <w:tblCellMar>
                  <w:top w:w="0" w:type="dxa"/>
                  <w:left w:w="108" w:type="dxa"/>
                  <w:bottom w:w="0" w:type="dxa"/>
                  <w:right w:w="108" w:type="dxa"/>
                </w:tblCellMar>
              </w:tblPrEx>
              <w:trPr>
                <w:tblHeader/>
                <w:jc w:val="center"/>
              </w:trPr>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329601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p>
              </w:tc>
              <w:tc>
                <w:tcPr>
                  <w:tcW w:w="2365" w:type="dxa"/>
                  <w:gridSpan w:val="2"/>
                  <w:tcBorders>
                    <w:top w:val="single" w:color="auto" w:sz="4" w:space="0"/>
                    <w:left w:val="nil"/>
                    <w:bottom w:val="single" w:color="auto" w:sz="4" w:space="0"/>
                    <w:right w:val="single" w:color="auto" w:sz="4" w:space="0"/>
                  </w:tcBorders>
                  <w:noWrap/>
                  <w:vAlign w:val="center"/>
                </w:tcPr>
                <w:p w14:paraId="3CBBA0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直角坐标(3度带)</w:t>
                  </w:r>
                </w:p>
              </w:tc>
              <w:tc>
                <w:tcPr>
                  <w:tcW w:w="2372" w:type="dxa"/>
                  <w:gridSpan w:val="2"/>
                  <w:tcBorders>
                    <w:top w:val="single" w:color="auto" w:sz="4" w:space="0"/>
                    <w:left w:val="nil"/>
                    <w:bottom w:val="single" w:color="auto" w:sz="4" w:space="0"/>
                    <w:right w:val="single" w:color="auto" w:sz="4" w:space="0"/>
                  </w:tcBorders>
                  <w:noWrap/>
                  <w:vAlign w:val="center"/>
                </w:tcPr>
                <w:p w14:paraId="0AA096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直角坐标(3度带)</w:t>
                  </w:r>
                </w:p>
              </w:tc>
              <w:tc>
                <w:tcPr>
                  <w:tcW w:w="2816" w:type="dxa"/>
                  <w:gridSpan w:val="2"/>
                  <w:tcBorders>
                    <w:top w:val="single" w:color="auto" w:sz="4" w:space="0"/>
                    <w:left w:val="nil"/>
                    <w:bottom w:val="single" w:color="auto" w:sz="4" w:space="0"/>
                    <w:right w:val="single" w:color="auto" w:sz="4" w:space="0"/>
                  </w:tcBorders>
                  <w:noWrap/>
                  <w:vAlign w:val="center"/>
                </w:tcPr>
                <w:p w14:paraId="349A2E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经 纬 度</w:t>
                  </w:r>
                </w:p>
              </w:tc>
            </w:tr>
            <w:tr w14:paraId="61CF4B06">
              <w:tblPrEx>
                <w:tblCellMar>
                  <w:top w:w="0" w:type="dxa"/>
                  <w:left w:w="108" w:type="dxa"/>
                  <w:bottom w:w="0" w:type="dxa"/>
                  <w:right w:w="108" w:type="dxa"/>
                </w:tblCellMar>
              </w:tblPrEx>
              <w:trPr>
                <w:tblHeader/>
                <w:jc w:val="center"/>
              </w:trPr>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14:paraId="6E92C1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p>
              </w:tc>
              <w:tc>
                <w:tcPr>
                  <w:tcW w:w="1124" w:type="dxa"/>
                  <w:tcBorders>
                    <w:top w:val="nil"/>
                    <w:left w:val="nil"/>
                    <w:bottom w:val="single" w:color="auto" w:sz="4" w:space="0"/>
                    <w:right w:val="single" w:color="auto" w:sz="4" w:space="0"/>
                  </w:tcBorders>
                  <w:noWrap/>
                  <w:vAlign w:val="center"/>
                </w:tcPr>
                <w:p w14:paraId="4B2A7F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X</w:t>
                  </w:r>
                </w:p>
              </w:tc>
              <w:tc>
                <w:tcPr>
                  <w:tcW w:w="1241" w:type="dxa"/>
                  <w:tcBorders>
                    <w:top w:val="nil"/>
                    <w:left w:val="nil"/>
                    <w:bottom w:val="single" w:color="auto" w:sz="4" w:space="0"/>
                    <w:right w:val="single" w:color="auto" w:sz="4" w:space="0"/>
                  </w:tcBorders>
                  <w:noWrap/>
                  <w:vAlign w:val="center"/>
                </w:tcPr>
                <w:p w14:paraId="7B02CD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Y</w:t>
                  </w:r>
                </w:p>
              </w:tc>
              <w:tc>
                <w:tcPr>
                  <w:tcW w:w="1118" w:type="dxa"/>
                  <w:tcBorders>
                    <w:top w:val="nil"/>
                    <w:left w:val="nil"/>
                    <w:bottom w:val="single" w:color="auto" w:sz="4" w:space="0"/>
                    <w:right w:val="single" w:color="auto" w:sz="4" w:space="0"/>
                  </w:tcBorders>
                  <w:noWrap/>
                  <w:vAlign w:val="center"/>
                </w:tcPr>
                <w:p w14:paraId="2243A2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X</w:t>
                  </w:r>
                </w:p>
              </w:tc>
              <w:tc>
                <w:tcPr>
                  <w:tcW w:w="1254" w:type="dxa"/>
                  <w:tcBorders>
                    <w:top w:val="nil"/>
                    <w:left w:val="nil"/>
                    <w:bottom w:val="single" w:color="auto" w:sz="4" w:space="0"/>
                    <w:right w:val="single" w:color="auto" w:sz="4" w:space="0"/>
                  </w:tcBorders>
                  <w:noWrap/>
                  <w:vAlign w:val="center"/>
                </w:tcPr>
                <w:p w14:paraId="0D155A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Y</w:t>
                  </w:r>
                </w:p>
              </w:tc>
              <w:tc>
                <w:tcPr>
                  <w:tcW w:w="1473" w:type="dxa"/>
                  <w:tcBorders>
                    <w:top w:val="nil"/>
                    <w:left w:val="nil"/>
                    <w:bottom w:val="single" w:color="auto" w:sz="4" w:space="0"/>
                    <w:right w:val="single" w:color="auto" w:sz="4" w:space="0"/>
                  </w:tcBorders>
                  <w:noWrap/>
                  <w:vAlign w:val="center"/>
                </w:tcPr>
                <w:p w14:paraId="51E868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经 度</w:t>
                  </w:r>
                </w:p>
              </w:tc>
              <w:tc>
                <w:tcPr>
                  <w:tcW w:w="1343" w:type="dxa"/>
                  <w:tcBorders>
                    <w:top w:val="nil"/>
                    <w:left w:val="nil"/>
                    <w:bottom w:val="single" w:color="auto" w:sz="4" w:space="0"/>
                    <w:right w:val="single" w:color="auto" w:sz="4" w:space="0"/>
                  </w:tcBorders>
                  <w:noWrap/>
                  <w:vAlign w:val="center"/>
                </w:tcPr>
                <w:p w14:paraId="3D6991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w w:val="90"/>
                      <w:kern w:val="0"/>
                      <w:sz w:val="21"/>
                      <w:szCs w:val="21"/>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14:textFill>
                        <w14:solidFill>
                          <w14:schemeClr w14:val="tx1"/>
                        </w14:solidFill>
                      </w14:textFill>
                    </w:rPr>
                    <w:t>纬 度</w:t>
                  </w:r>
                </w:p>
              </w:tc>
            </w:tr>
            <w:tr w14:paraId="1D96339E">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3813A2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w:t>
                  </w:r>
                </w:p>
              </w:tc>
              <w:tc>
                <w:tcPr>
                  <w:tcW w:w="1124" w:type="dxa"/>
                  <w:tcBorders>
                    <w:top w:val="nil"/>
                    <w:left w:val="nil"/>
                    <w:bottom w:val="single" w:color="auto" w:sz="4" w:space="0"/>
                    <w:right w:val="single" w:color="auto" w:sz="4" w:space="0"/>
                  </w:tcBorders>
                  <w:noWrap/>
                  <w:vAlign w:val="center"/>
                </w:tcPr>
                <w:p w14:paraId="12C2FE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2810834.78</w:t>
                  </w:r>
                </w:p>
              </w:tc>
              <w:tc>
                <w:tcPr>
                  <w:tcW w:w="1241" w:type="dxa"/>
                  <w:tcBorders>
                    <w:top w:val="nil"/>
                    <w:left w:val="nil"/>
                    <w:bottom w:val="single" w:color="auto" w:sz="4" w:space="0"/>
                    <w:right w:val="single" w:color="auto" w:sz="4" w:space="0"/>
                  </w:tcBorders>
                  <w:noWrap/>
                  <w:vAlign w:val="center"/>
                </w:tcPr>
                <w:p w14:paraId="53948B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34630096.13</w:t>
                  </w:r>
                </w:p>
              </w:tc>
              <w:tc>
                <w:tcPr>
                  <w:tcW w:w="1118" w:type="dxa"/>
                  <w:tcBorders>
                    <w:top w:val="nil"/>
                    <w:left w:val="nil"/>
                    <w:bottom w:val="single" w:color="auto" w:sz="4" w:space="0"/>
                    <w:right w:val="single" w:color="auto" w:sz="4" w:space="0"/>
                  </w:tcBorders>
                  <w:noWrap/>
                  <w:vAlign w:val="center"/>
                </w:tcPr>
                <w:p w14:paraId="556FBE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2810842.26</w:t>
                  </w:r>
                </w:p>
              </w:tc>
              <w:tc>
                <w:tcPr>
                  <w:tcW w:w="1254" w:type="dxa"/>
                  <w:tcBorders>
                    <w:top w:val="nil"/>
                    <w:left w:val="nil"/>
                    <w:bottom w:val="single" w:color="auto" w:sz="4" w:space="0"/>
                    <w:right w:val="single" w:color="auto" w:sz="4" w:space="0"/>
                  </w:tcBorders>
                  <w:noWrap/>
                  <w:vAlign w:val="center"/>
                </w:tcPr>
                <w:p w14:paraId="19F5AE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34630207.57</w:t>
                  </w:r>
                </w:p>
              </w:tc>
              <w:tc>
                <w:tcPr>
                  <w:tcW w:w="1473" w:type="dxa"/>
                  <w:tcBorders>
                    <w:top w:val="nil"/>
                    <w:left w:val="nil"/>
                    <w:bottom w:val="single" w:color="auto" w:sz="4" w:space="0"/>
                    <w:right w:val="single" w:color="auto" w:sz="4" w:space="0"/>
                  </w:tcBorders>
                  <w:noWrap/>
                  <w:vAlign w:val="center"/>
                </w:tcPr>
                <w:p w14:paraId="0EAD95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103°17′38.247″</w:t>
                  </w:r>
                </w:p>
              </w:tc>
              <w:tc>
                <w:tcPr>
                  <w:tcW w:w="1343" w:type="dxa"/>
                  <w:tcBorders>
                    <w:top w:val="nil"/>
                    <w:left w:val="nil"/>
                    <w:bottom w:val="single" w:color="auto" w:sz="4" w:space="0"/>
                    <w:right w:val="single" w:color="auto" w:sz="4" w:space="0"/>
                  </w:tcBorders>
                  <w:noWrap/>
                  <w:vAlign w:val="center"/>
                </w:tcPr>
                <w:p w14:paraId="0E8C10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25°23′55.029″</w:t>
                  </w:r>
                </w:p>
              </w:tc>
            </w:tr>
            <w:tr w14:paraId="507FBFF8">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35A90D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矿2</w:t>
                  </w:r>
                </w:p>
              </w:tc>
              <w:tc>
                <w:tcPr>
                  <w:tcW w:w="1124" w:type="dxa"/>
                  <w:tcBorders>
                    <w:top w:val="nil"/>
                    <w:left w:val="nil"/>
                    <w:bottom w:val="single" w:color="auto" w:sz="4" w:space="0"/>
                    <w:right w:val="single" w:color="auto" w:sz="4" w:space="0"/>
                  </w:tcBorders>
                  <w:noWrap/>
                  <w:vAlign w:val="center"/>
                </w:tcPr>
                <w:p w14:paraId="5E873D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2811109.78</w:t>
                  </w:r>
                </w:p>
              </w:tc>
              <w:tc>
                <w:tcPr>
                  <w:tcW w:w="1241" w:type="dxa"/>
                  <w:tcBorders>
                    <w:top w:val="nil"/>
                    <w:left w:val="nil"/>
                    <w:bottom w:val="single" w:color="auto" w:sz="4" w:space="0"/>
                    <w:right w:val="single" w:color="auto" w:sz="4" w:space="0"/>
                  </w:tcBorders>
                  <w:noWrap/>
                  <w:vAlign w:val="center"/>
                </w:tcPr>
                <w:p w14:paraId="621E50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34630104.13</w:t>
                  </w:r>
                </w:p>
              </w:tc>
              <w:tc>
                <w:tcPr>
                  <w:tcW w:w="1118" w:type="dxa"/>
                  <w:tcBorders>
                    <w:top w:val="nil"/>
                    <w:left w:val="nil"/>
                    <w:bottom w:val="single" w:color="auto" w:sz="4" w:space="0"/>
                    <w:right w:val="single" w:color="auto" w:sz="4" w:space="0"/>
                  </w:tcBorders>
                  <w:noWrap/>
                  <w:vAlign w:val="center"/>
                </w:tcPr>
                <w:p w14:paraId="670274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2811117.26</w:t>
                  </w:r>
                </w:p>
              </w:tc>
              <w:tc>
                <w:tcPr>
                  <w:tcW w:w="1254" w:type="dxa"/>
                  <w:tcBorders>
                    <w:top w:val="nil"/>
                    <w:left w:val="nil"/>
                    <w:bottom w:val="single" w:color="auto" w:sz="4" w:space="0"/>
                    <w:right w:val="single" w:color="auto" w:sz="4" w:space="0"/>
                  </w:tcBorders>
                  <w:noWrap/>
                  <w:vAlign w:val="center"/>
                </w:tcPr>
                <w:p w14:paraId="1AFD82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34630215.57</w:t>
                  </w:r>
                </w:p>
              </w:tc>
              <w:tc>
                <w:tcPr>
                  <w:tcW w:w="1473" w:type="dxa"/>
                  <w:tcBorders>
                    <w:top w:val="nil"/>
                    <w:left w:val="nil"/>
                    <w:bottom w:val="single" w:color="auto" w:sz="4" w:space="0"/>
                    <w:right w:val="single" w:color="auto" w:sz="4" w:space="0"/>
                  </w:tcBorders>
                  <w:noWrap/>
                  <w:vAlign w:val="center"/>
                </w:tcPr>
                <w:p w14:paraId="4B0097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103°17′38.628″</w:t>
                  </w:r>
                </w:p>
              </w:tc>
              <w:tc>
                <w:tcPr>
                  <w:tcW w:w="1343" w:type="dxa"/>
                  <w:tcBorders>
                    <w:top w:val="nil"/>
                    <w:left w:val="nil"/>
                    <w:bottom w:val="single" w:color="auto" w:sz="4" w:space="0"/>
                    <w:right w:val="single" w:color="auto" w:sz="4" w:space="0"/>
                  </w:tcBorders>
                  <w:noWrap/>
                  <w:vAlign w:val="center"/>
                </w:tcPr>
                <w:p w14:paraId="14AD63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25°24′03.961″</w:t>
                  </w:r>
                </w:p>
              </w:tc>
            </w:tr>
            <w:tr w14:paraId="4AA420A5">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521A6A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矿3</w:t>
                  </w:r>
                </w:p>
              </w:tc>
              <w:tc>
                <w:tcPr>
                  <w:tcW w:w="1124" w:type="dxa"/>
                  <w:tcBorders>
                    <w:top w:val="nil"/>
                    <w:left w:val="nil"/>
                    <w:bottom w:val="single" w:color="auto" w:sz="4" w:space="0"/>
                    <w:right w:val="single" w:color="auto" w:sz="4" w:space="0"/>
                  </w:tcBorders>
                  <w:noWrap/>
                  <w:vAlign w:val="center"/>
                </w:tcPr>
                <w:p w14:paraId="1ABC6B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2811139.78</w:t>
                  </w:r>
                </w:p>
              </w:tc>
              <w:tc>
                <w:tcPr>
                  <w:tcW w:w="1241" w:type="dxa"/>
                  <w:tcBorders>
                    <w:top w:val="nil"/>
                    <w:left w:val="nil"/>
                    <w:bottom w:val="single" w:color="auto" w:sz="4" w:space="0"/>
                    <w:right w:val="single" w:color="auto" w:sz="4" w:space="0"/>
                  </w:tcBorders>
                  <w:noWrap/>
                  <w:vAlign w:val="center"/>
                </w:tcPr>
                <w:p w14:paraId="3B7389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34630162.13</w:t>
                  </w:r>
                </w:p>
              </w:tc>
              <w:tc>
                <w:tcPr>
                  <w:tcW w:w="1118" w:type="dxa"/>
                  <w:tcBorders>
                    <w:top w:val="nil"/>
                    <w:left w:val="nil"/>
                    <w:bottom w:val="single" w:color="auto" w:sz="4" w:space="0"/>
                    <w:right w:val="single" w:color="auto" w:sz="4" w:space="0"/>
                  </w:tcBorders>
                  <w:noWrap/>
                  <w:vAlign w:val="center"/>
                </w:tcPr>
                <w:p w14:paraId="01C5CD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2811147.26</w:t>
                  </w:r>
                </w:p>
              </w:tc>
              <w:tc>
                <w:tcPr>
                  <w:tcW w:w="1254" w:type="dxa"/>
                  <w:tcBorders>
                    <w:top w:val="nil"/>
                    <w:left w:val="nil"/>
                    <w:bottom w:val="single" w:color="auto" w:sz="4" w:space="0"/>
                    <w:right w:val="single" w:color="auto" w:sz="4" w:space="0"/>
                  </w:tcBorders>
                  <w:noWrap/>
                  <w:vAlign w:val="center"/>
                </w:tcPr>
                <w:p w14:paraId="714CA8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34630273.57</w:t>
                  </w:r>
                </w:p>
              </w:tc>
              <w:tc>
                <w:tcPr>
                  <w:tcW w:w="1473" w:type="dxa"/>
                  <w:tcBorders>
                    <w:top w:val="nil"/>
                    <w:left w:val="nil"/>
                    <w:bottom w:val="single" w:color="auto" w:sz="4" w:space="0"/>
                    <w:right w:val="single" w:color="auto" w:sz="4" w:space="0"/>
                  </w:tcBorders>
                  <w:noWrap/>
                  <w:vAlign w:val="center"/>
                </w:tcPr>
                <w:p w14:paraId="5FF7DA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103°17′40.713″</w:t>
                  </w:r>
                </w:p>
              </w:tc>
              <w:tc>
                <w:tcPr>
                  <w:tcW w:w="1343" w:type="dxa"/>
                  <w:tcBorders>
                    <w:top w:val="nil"/>
                    <w:left w:val="nil"/>
                    <w:bottom w:val="single" w:color="auto" w:sz="4" w:space="0"/>
                    <w:right w:val="single" w:color="auto" w:sz="4" w:space="0"/>
                  </w:tcBorders>
                  <w:noWrap/>
                  <w:vAlign w:val="center"/>
                </w:tcPr>
                <w:p w14:paraId="19A163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25°24′04.918″</w:t>
                  </w:r>
                </w:p>
              </w:tc>
            </w:tr>
            <w:tr w14:paraId="0AF71419">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78D498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矿4</w:t>
                  </w:r>
                </w:p>
              </w:tc>
              <w:tc>
                <w:tcPr>
                  <w:tcW w:w="1124" w:type="dxa"/>
                  <w:tcBorders>
                    <w:top w:val="nil"/>
                    <w:left w:val="nil"/>
                    <w:bottom w:val="single" w:color="auto" w:sz="4" w:space="0"/>
                    <w:right w:val="single" w:color="auto" w:sz="4" w:space="0"/>
                  </w:tcBorders>
                  <w:noWrap/>
                  <w:vAlign w:val="center"/>
                </w:tcPr>
                <w:p w14:paraId="19B8B9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2811141.78</w:t>
                  </w:r>
                </w:p>
              </w:tc>
              <w:tc>
                <w:tcPr>
                  <w:tcW w:w="1241" w:type="dxa"/>
                  <w:tcBorders>
                    <w:top w:val="nil"/>
                    <w:left w:val="nil"/>
                    <w:bottom w:val="single" w:color="auto" w:sz="4" w:space="0"/>
                    <w:right w:val="single" w:color="auto" w:sz="4" w:space="0"/>
                  </w:tcBorders>
                  <w:noWrap/>
                  <w:vAlign w:val="center"/>
                </w:tcPr>
                <w:p w14:paraId="171FAC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34630272.13</w:t>
                  </w:r>
                </w:p>
              </w:tc>
              <w:tc>
                <w:tcPr>
                  <w:tcW w:w="1118" w:type="dxa"/>
                  <w:tcBorders>
                    <w:top w:val="nil"/>
                    <w:left w:val="nil"/>
                    <w:bottom w:val="single" w:color="auto" w:sz="4" w:space="0"/>
                    <w:right w:val="single" w:color="auto" w:sz="4" w:space="0"/>
                  </w:tcBorders>
                  <w:noWrap/>
                  <w:vAlign w:val="center"/>
                </w:tcPr>
                <w:p w14:paraId="110566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2811149.26</w:t>
                  </w:r>
                </w:p>
              </w:tc>
              <w:tc>
                <w:tcPr>
                  <w:tcW w:w="1254" w:type="dxa"/>
                  <w:tcBorders>
                    <w:top w:val="nil"/>
                    <w:left w:val="nil"/>
                    <w:bottom w:val="single" w:color="auto" w:sz="4" w:space="0"/>
                    <w:right w:val="single" w:color="auto" w:sz="4" w:space="0"/>
                  </w:tcBorders>
                  <w:noWrap/>
                  <w:vAlign w:val="center"/>
                </w:tcPr>
                <w:p w14:paraId="757E2B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34630383.57</w:t>
                  </w:r>
                </w:p>
              </w:tc>
              <w:tc>
                <w:tcPr>
                  <w:tcW w:w="1473" w:type="dxa"/>
                  <w:tcBorders>
                    <w:top w:val="nil"/>
                    <w:left w:val="nil"/>
                    <w:bottom w:val="single" w:color="auto" w:sz="4" w:space="0"/>
                    <w:right w:val="single" w:color="auto" w:sz="4" w:space="0"/>
                  </w:tcBorders>
                  <w:noWrap/>
                  <w:vAlign w:val="center"/>
                </w:tcPr>
                <w:p w14:paraId="39D7C4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103°17′44.648″</w:t>
                  </w:r>
                </w:p>
              </w:tc>
              <w:tc>
                <w:tcPr>
                  <w:tcW w:w="1343" w:type="dxa"/>
                  <w:tcBorders>
                    <w:top w:val="nil"/>
                    <w:left w:val="nil"/>
                    <w:bottom w:val="single" w:color="auto" w:sz="4" w:space="0"/>
                    <w:right w:val="single" w:color="auto" w:sz="4" w:space="0"/>
                  </w:tcBorders>
                  <w:noWrap/>
                  <w:vAlign w:val="center"/>
                </w:tcPr>
                <w:p w14:paraId="584A64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25°24′04.948″</w:t>
                  </w:r>
                </w:p>
              </w:tc>
            </w:tr>
            <w:tr w14:paraId="20E45B4F">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5AAA50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矿5</w:t>
                  </w:r>
                </w:p>
              </w:tc>
              <w:tc>
                <w:tcPr>
                  <w:tcW w:w="1124" w:type="dxa"/>
                  <w:tcBorders>
                    <w:top w:val="nil"/>
                    <w:left w:val="nil"/>
                    <w:bottom w:val="single" w:color="auto" w:sz="4" w:space="0"/>
                    <w:right w:val="single" w:color="auto" w:sz="4" w:space="0"/>
                  </w:tcBorders>
                  <w:noWrap/>
                  <w:vAlign w:val="center"/>
                </w:tcPr>
                <w:p w14:paraId="60C2A7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2811184.78</w:t>
                  </w:r>
                </w:p>
              </w:tc>
              <w:tc>
                <w:tcPr>
                  <w:tcW w:w="1241" w:type="dxa"/>
                  <w:tcBorders>
                    <w:top w:val="nil"/>
                    <w:left w:val="nil"/>
                    <w:bottom w:val="single" w:color="auto" w:sz="4" w:space="0"/>
                    <w:right w:val="single" w:color="auto" w:sz="4" w:space="0"/>
                  </w:tcBorders>
                  <w:noWrap/>
                  <w:vAlign w:val="center"/>
                </w:tcPr>
                <w:p w14:paraId="2CA984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34630310.13</w:t>
                  </w:r>
                </w:p>
              </w:tc>
              <w:tc>
                <w:tcPr>
                  <w:tcW w:w="1118" w:type="dxa"/>
                  <w:tcBorders>
                    <w:top w:val="nil"/>
                    <w:left w:val="nil"/>
                    <w:bottom w:val="single" w:color="auto" w:sz="4" w:space="0"/>
                    <w:right w:val="single" w:color="auto" w:sz="4" w:space="0"/>
                  </w:tcBorders>
                  <w:noWrap/>
                  <w:vAlign w:val="center"/>
                </w:tcPr>
                <w:p w14:paraId="40A632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2811192.26</w:t>
                  </w:r>
                </w:p>
              </w:tc>
              <w:tc>
                <w:tcPr>
                  <w:tcW w:w="1254" w:type="dxa"/>
                  <w:tcBorders>
                    <w:top w:val="nil"/>
                    <w:left w:val="nil"/>
                    <w:bottom w:val="single" w:color="auto" w:sz="4" w:space="0"/>
                    <w:right w:val="single" w:color="auto" w:sz="4" w:space="0"/>
                  </w:tcBorders>
                  <w:noWrap/>
                  <w:vAlign w:val="center"/>
                </w:tcPr>
                <w:p w14:paraId="3F03E1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34630421.57</w:t>
                  </w:r>
                </w:p>
              </w:tc>
              <w:tc>
                <w:tcPr>
                  <w:tcW w:w="1473" w:type="dxa"/>
                  <w:tcBorders>
                    <w:top w:val="nil"/>
                    <w:left w:val="nil"/>
                    <w:bottom w:val="single" w:color="auto" w:sz="4" w:space="0"/>
                    <w:right w:val="single" w:color="auto" w:sz="4" w:space="0"/>
                  </w:tcBorders>
                  <w:noWrap/>
                  <w:vAlign w:val="center"/>
                </w:tcPr>
                <w:p w14:paraId="16D853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103°17′46.023″</w:t>
                  </w:r>
                </w:p>
              </w:tc>
              <w:tc>
                <w:tcPr>
                  <w:tcW w:w="1343" w:type="dxa"/>
                  <w:tcBorders>
                    <w:top w:val="nil"/>
                    <w:left w:val="nil"/>
                    <w:bottom w:val="single" w:color="auto" w:sz="4" w:space="0"/>
                    <w:right w:val="single" w:color="auto" w:sz="4" w:space="0"/>
                  </w:tcBorders>
                  <w:noWrap/>
                  <w:vAlign w:val="center"/>
                </w:tcPr>
                <w:p w14:paraId="73936A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25°24′06.333″</w:t>
                  </w:r>
                </w:p>
              </w:tc>
            </w:tr>
            <w:tr w14:paraId="324C53FE">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6D0B44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矿6</w:t>
                  </w:r>
                </w:p>
              </w:tc>
              <w:tc>
                <w:tcPr>
                  <w:tcW w:w="1124" w:type="dxa"/>
                  <w:tcBorders>
                    <w:top w:val="nil"/>
                    <w:left w:val="nil"/>
                    <w:bottom w:val="single" w:color="auto" w:sz="4" w:space="0"/>
                    <w:right w:val="single" w:color="auto" w:sz="4" w:space="0"/>
                  </w:tcBorders>
                  <w:noWrap/>
                  <w:vAlign w:val="center"/>
                </w:tcPr>
                <w:p w14:paraId="3EF935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2811223.83</w:t>
                  </w:r>
                </w:p>
              </w:tc>
              <w:tc>
                <w:tcPr>
                  <w:tcW w:w="1241" w:type="dxa"/>
                  <w:tcBorders>
                    <w:top w:val="nil"/>
                    <w:left w:val="nil"/>
                    <w:bottom w:val="single" w:color="auto" w:sz="4" w:space="0"/>
                    <w:right w:val="single" w:color="auto" w:sz="4" w:space="0"/>
                  </w:tcBorders>
                  <w:noWrap/>
                  <w:vAlign w:val="center"/>
                </w:tcPr>
                <w:p w14:paraId="7F2AC2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34630314.89</w:t>
                  </w:r>
                </w:p>
              </w:tc>
              <w:tc>
                <w:tcPr>
                  <w:tcW w:w="1118" w:type="dxa"/>
                  <w:tcBorders>
                    <w:top w:val="nil"/>
                    <w:left w:val="nil"/>
                    <w:bottom w:val="single" w:color="auto" w:sz="4" w:space="0"/>
                    <w:right w:val="single" w:color="auto" w:sz="4" w:space="0"/>
                  </w:tcBorders>
                  <w:noWrap/>
                  <w:vAlign w:val="center"/>
                </w:tcPr>
                <w:p w14:paraId="1C7889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2811231.31</w:t>
                  </w:r>
                </w:p>
              </w:tc>
              <w:tc>
                <w:tcPr>
                  <w:tcW w:w="1254" w:type="dxa"/>
                  <w:tcBorders>
                    <w:top w:val="nil"/>
                    <w:left w:val="nil"/>
                    <w:bottom w:val="single" w:color="auto" w:sz="4" w:space="0"/>
                    <w:right w:val="single" w:color="auto" w:sz="4" w:space="0"/>
                  </w:tcBorders>
                  <w:noWrap/>
                  <w:vAlign w:val="center"/>
                </w:tcPr>
                <w:p w14:paraId="491606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34630426.33</w:t>
                  </w:r>
                </w:p>
              </w:tc>
              <w:tc>
                <w:tcPr>
                  <w:tcW w:w="1473" w:type="dxa"/>
                  <w:tcBorders>
                    <w:top w:val="nil"/>
                    <w:left w:val="nil"/>
                    <w:bottom w:val="single" w:color="auto" w:sz="4" w:space="0"/>
                    <w:right w:val="single" w:color="auto" w:sz="4" w:space="0"/>
                  </w:tcBorders>
                  <w:noWrap/>
                  <w:vAlign w:val="center"/>
                </w:tcPr>
                <w:p w14:paraId="560FAF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103°17′46.206″</w:t>
                  </w:r>
                </w:p>
              </w:tc>
              <w:tc>
                <w:tcPr>
                  <w:tcW w:w="1343" w:type="dxa"/>
                  <w:tcBorders>
                    <w:top w:val="nil"/>
                    <w:left w:val="nil"/>
                    <w:bottom w:val="single" w:color="auto" w:sz="4" w:space="0"/>
                    <w:right w:val="single" w:color="auto" w:sz="4" w:space="0"/>
                  </w:tcBorders>
                  <w:noWrap/>
                  <w:vAlign w:val="center"/>
                </w:tcPr>
                <w:p w14:paraId="496915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25°24′07.600″</w:t>
                  </w:r>
                </w:p>
              </w:tc>
            </w:tr>
            <w:tr w14:paraId="4019FC7C">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10BE7B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矿7</w:t>
                  </w:r>
                </w:p>
              </w:tc>
              <w:tc>
                <w:tcPr>
                  <w:tcW w:w="1124" w:type="dxa"/>
                  <w:tcBorders>
                    <w:top w:val="nil"/>
                    <w:left w:val="nil"/>
                    <w:bottom w:val="single" w:color="auto" w:sz="4" w:space="0"/>
                    <w:right w:val="single" w:color="auto" w:sz="4" w:space="0"/>
                  </w:tcBorders>
                  <w:noWrap/>
                  <w:vAlign w:val="center"/>
                </w:tcPr>
                <w:p w14:paraId="6FAE78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2811230.55</w:t>
                  </w:r>
                </w:p>
              </w:tc>
              <w:tc>
                <w:tcPr>
                  <w:tcW w:w="1241" w:type="dxa"/>
                  <w:tcBorders>
                    <w:top w:val="nil"/>
                    <w:left w:val="nil"/>
                    <w:bottom w:val="single" w:color="auto" w:sz="4" w:space="0"/>
                    <w:right w:val="single" w:color="auto" w:sz="4" w:space="0"/>
                  </w:tcBorders>
                  <w:noWrap/>
                  <w:vAlign w:val="center"/>
                </w:tcPr>
                <w:p w14:paraId="69FE7C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34630329.55</w:t>
                  </w:r>
                </w:p>
              </w:tc>
              <w:tc>
                <w:tcPr>
                  <w:tcW w:w="1118" w:type="dxa"/>
                  <w:tcBorders>
                    <w:top w:val="nil"/>
                    <w:left w:val="nil"/>
                    <w:bottom w:val="single" w:color="auto" w:sz="4" w:space="0"/>
                    <w:right w:val="single" w:color="auto" w:sz="4" w:space="0"/>
                  </w:tcBorders>
                  <w:noWrap/>
                  <w:vAlign w:val="center"/>
                </w:tcPr>
                <w:p w14:paraId="4FA618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2811238.03</w:t>
                  </w:r>
                </w:p>
              </w:tc>
              <w:tc>
                <w:tcPr>
                  <w:tcW w:w="1254" w:type="dxa"/>
                  <w:tcBorders>
                    <w:top w:val="nil"/>
                    <w:left w:val="nil"/>
                    <w:bottom w:val="single" w:color="auto" w:sz="4" w:space="0"/>
                    <w:right w:val="single" w:color="auto" w:sz="4" w:space="0"/>
                  </w:tcBorders>
                  <w:noWrap/>
                  <w:vAlign w:val="center"/>
                </w:tcPr>
                <w:p w14:paraId="4D635A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34630440.99</w:t>
                  </w:r>
                </w:p>
              </w:tc>
              <w:tc>
                <w:tcPr>
                  <w:tcW w:w="1473" w:type="dxa"/>
                  <w:tcBorders>
                    <w:top w:val="nil"/>
                    <w:left w:val="nil"/>
                    <w:bottom w:val="single" w:color="auto" w:sz="4" w:space="0"/>
                    <w:right w:val="single" w:color="auto" w:sz="4" w:space="0"/>
                  </w:tcBorders>
                  <w:noWrap/>
                  <w:vAlign w:val="center"/>
                </w:tcPr>
                <w:p w14:paraId="0E27F9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103°17′46.733″</w:t>
                  </w:r>
                </w:p>
              </w:tc>
              <w:tc>
                <w:tcPr>
                  <w:tcW w:w="1343" w:type="dxa"/>
                  <w:tcBorders>
                    <w:top w:val="nil"/>
                    <w:left w:val="nil"/>
                    <w:bottom w:val="single" w:color="auto" w:sz="4" w:space="0"/>
                    <w:right w:val="single" w:color="auto" w:sz="4" w:space="0"/>
                  </w:tcBorders>
                  <w:noWrap/>
                  <w:vAlign w:val="center"/>
                </w:tcPr>
                <w:p w14:paraId="0C063C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25°24′07.814″</w:t>
                  </w:r>
                </w:p>
              </w:tc>
            </w:tr>
            <w:tr w14:paraId="615D5AD2">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782DFF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矿8</w:t>
                  </w:r>
                </w:p>
              </w:tc>
              <w:tc>
                <w:tcPr>
                  <w:tcW w:w="1124" w:type="dxa"/>
                  <w:tcBorders>
                    <w:top w:val="nil"/>
                    <w:left w:val="nil"/>
                    <w:bottom w:val="single" w:color="auto" w:sz="4" w:space="0"/>
                    <w:right w:val="single" w:color="auto" w:sz="4" w:space="0"/>
                  </w:tcBorders>
                  <w:noWrap/>
                  <w:vAlign w:val="center"/>
                </w:tcPr>
                <w:p w14:paraId="2C3315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2811262.78</w:t>
                  </w:r>
                </w:p>
              </w:tc>
              <w:tc>
                <w:tcPr>
                  <w:tcW w:w="1241" w:type="dxa"/>
                  <w:tcBorders>
                    <w:top w:val="nil"/>
                    <w:left w:val="nil"/>
                    <w:bottom w:val="single" w:color="auto" w:sz="4" w:space="0"/>
                    <w:right w:val="single" w:color="auto" w:sz="4" w:space="0"/>
                  </w:tcBorders>
                  <w:noWrap/>
                  <w:vAlign w:val="center"/>
                </w:tcPr>
                <w:p w14:paraId="000CE2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34630357.13</w:t>
                  </w:r>
                </w:p>
              </w:tc>
              <w:tc>
                <w:tcPr>
                  <w:tcW w:w="1118" w:type="dxa"/>
                  <w:tcBorders>
                    <w:top w:val="nil"/>
                    <w:left w:val="nil"/>
                    <w:bottom w:val="single" w:color="auto" w:sz="4" w:space="0"/>
                    <w:right w:val="single" w:color="auto" w:sz="4" w:space="0"/>
                  </w:tcBorders>
                  <w:noWrap/>
                  <w:vAlign w:val="center"/>
                </w:tcPr>
                <w:p w14:paraId="3BE790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2811270.26</w:t>
                  </w:r>
                </w:p>
              </w:tc>
              <w:tc>
                <w:tcPr>
                  <w:tcW w:w="1254" w:type="dxa"/>
                  <w:tcBorders>
                    <w:top w:val="nil"/>
                    <w:left w:val="nil"/>
                    <w:bottom w:val="single" w:color="auto" w:sz="4" w:space="0"/>
                    <w:right w:val="single" w:color="auto" w:sz="4" w:space="0"/>
                  </w:tcBorders>
                  <w:noWrap/>
                  <w:vAlign w:val="center"/>
                </w:tcPr>
                <w:p w14:paraId="0235E8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34630468.57</w:t>
                  </w:r>
                </w:p>
              </w:tc>
              <w:tc>
                <w:tcPr>
                  <w:tcW w:w="1473" w:type="dxa"/>
                  <w:tcBorders>
                    <w:top w:val="nil"/>
                    <w:left w:val="nil"/>
                    <w:bottom w:val="single" w:color="auto" w:sz="4" w:space="0"/>
                    <w:right w:val="single" w:color="auto" w:sz="4" w:space="0"/>
                  </w:tcBorders>
                  <w:noWrap/>
                  <w:vAlign w:val="center"/>
                </w:tcPr>
                <w:p w14:paraId="59B53B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103°17′47.731″</w:t>
                  </w:r>
                </w:p>
              </w:tc>
              <w:tc>
                <w:tcPr>
                  <w:tcW w:w="1343" w:type="dxa"/>
                  <w:tcBorders>
                    <w:top w:val="nil"/>
                    <w:left w:val="nil"/>
                    <w:bottom w:val="single" w:color="auto" w:sz="4" w:space="0"/>
                    <w:right w:val="single" w:color="auto" w:sz="4" w:space="0"/>
                  </w:tcBorders>
                  <w:noWrap/>
                  <w:vAlign w:val="center"/>
                </w:tcPr>
                <w:p w14:paraId="1704EA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25°24′08.852″</w:t>
                  </w:r>
                </w:p>
              </w:tc>
            </w:tr>
            <w:tr w14:paraId="6C21FED5">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7F8630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矿9</w:t>
                  </w:r>
                </w:p>
              </w:tc>
              <w:tc>
                <w:tcPr>
                  <w:tcW w:w="1124" w:type="dxa"/>
                  <w:tcBorders>
                    <w:top w:val="nil"/>
                    <w:left w:val="nil"/>
                    <w:bottom w:val="single" w:color="auto" w:sz="4" w:space="0"/>
                    <w:right w:val="single" w:color="auto" w:sz="4" w:space="0"/>
                  </w:tcBorders>
                  <w:noWrap/>
                  <w:vAlign w:val="center"/>
                </w:tcPr>
                <w:p w14:paraId="62AF1B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2811281.78</w:t>
                  </w:r>
                </w:p>
              </w:tc>
              <w:tc>
                <w:tcPr>
                  <w:tcW w:w="1241" w:type="dxa"/>
                  <w:tcBorders>
                    <w:top w:val="nil"/>
                    <w:left w:val="nil"/>
                    <w:bottom w:val="single" w:color="auto" w:sz="4" w:space="0"/>
                    <w:right w:val="single" w:color="auto" w:sz="4" w:space="0"/>
                  </w:tcBorders>
                  <w:noWrap/>
                  <w:vAlign w:val="center"/>
                </w:tcPr>
                <w:p w14:paraId="5304B1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34630393.13</w:t>
                  </w:r>
                </w:p>
              </w:tc>
              <w:tc>
                <w:tcPr>
                  <w:tcW w:w="1118" w:type="dxa"/>
                  <w:tcBorders>
                    <w:top w:val="nil"/>
                    <w:left w:val="nil"/>
                    <w:bottom w:val="single" w:color="auto" w:sz="4" w:space="0"/>
                    <w:right w:val="single" w:color="auto" w:sz="4" w:space="0"/>
                  </w:tcBorders>
                  <w:noWrap/>
                  <w:vAlign w:val="center"/>
                </w:tcPr>
                <w:p w14:paraId="12E0A0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2811289.26</w:t>
                  </w:r>
                </w:p>
              </w:tc>
              <w:tc>
                <w:tcPr>
                  <w:tcW w:w="1254" w:type="dxa"/>
                  <w:tcBorders>
                    <w:top w:val="nil"/>
                    <w:left w:val="nil"/>
                    <w:bottom w:val="single" w:color="auto" w:sz="4" w:space="0"/>
                    <w:right w:val="single" w:color="auto" w:sz="4" w:space="0"/>
                  </w:tcBorders>
                  <w:noWrap/>
                  <w:vAlign w:val="center"/>
                </w:tcPr>
                <w:p w14:paraId="0CA3BF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34630504.57</w:t>
                  </w:r>
                </w:p>
              </w:tc>
              <w:tc>
                <w:tcPr>
                  <w:tcW w:w="1473" w:type="dxa"/>
                  <w:tcBorders>
                    <w:top w:val="nil"/>
                    <w:left w:val="nil"/>
                    <w:bottom w:val="single" w:color="auto" w:sz="4" w:space="0"/>
                    <w:right w:val="single" w:color="auto" w:sz="4" w:space="0"/>
                  </w:tcBorders>
                  <w:noWrap/>
                  <w:vAlign w:val="center"/>
                </w:tcPr>
                <w:p w14:paraId="2C4169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103°17′49.025″</w:t>
                  </w:r>
                </w:p>
              </w:tc>
              <w:tc>
                <w:tcPr>
                  <w:tcW w:w="1343" w:type="dxa"/>
                  <w:tcBorders>
                    <w:top w:val="nil"/>
                    <w:left w:val="nil"/>
                    <w:bottom w:val="single" w:color="auto" w:sz="4" w:space="0"/>
                    <w:right w:val="single" w:color="auto" w:sz="4" w:space="0"/>
                  </w:tcBorders>
                  <w:noWrap/>
                  <w:vAlign w:val="center"/>
                </w:tcPr>
                <w:p w14:paraId="392114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25°24′09.458″</w:t>
                  </w:r>
                </w:p>
              </w:tc>
            </w:tr>
            <w:tr w14:paraId="0479B61C">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3EEEC8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矿10</w:t>
                  </w:r>
                </w:p>
              </w:tc>
              <w:tc>
                <w:tcPr>
                  <w:tcW w:w="1124" w:type="dxa"/>
                  <w:tcBorders>
                    <w:top w:val="nil"/>
                    <w:left w:val="nil"/>
                    <w:bottom w:val="single" w:color="auto" w:sz="4" w:space="0"/>
                    <w:right w:val="single" w:color="auto" w:sz="4" w:space="0"/>
                  </w:tcBorders>
                  <w:noWrap/>
                  <w:vAlign w:val="center"/>
                </w:tcPr>
                <w:p w14:paraId="52CD66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2811233.78</w:t>
                  </w:r>
                </w:p>
              </w:tc>
              <w:tc>
                <w:tcPr>
                  <w:tcW w:w="1241" w:type="dxa"/>
                  <w:tcBorders>
                    <w:top w:val="nil"/>
                    <w:left w:val="nil"/>
                    <w:bottom w:val="single" w:color="auto" w:sz="4" w:space="0"/>
                    <w:right w:val="single" w:color="auto" w:sz="4" w:space="0"/>
                  </w:tcBorders>
                  <w:noWrap/>
                  <w:vAlign w:val="center"/>
                </w:tcPr>
                <w:p w14:paraId="634F53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34630426.13</w:t>
                  </w:r>
                </w:p>
              </w:tc>
              <w:tc>
                <w:tcPr>
                  <w:tcW w:w="1118" w:type="dxa"/>
                  <w:tcBorders>
                    <w:top w:val="nil"/>
                    <w:left w:val="nil"/>
                    <w:bottom w:val="single" w:color="auto" w:sz="4" w:space="0"/>
                    <w:right w:val="single" w:color="auto" w:sz="4" w:space="0"/>
                  </w:tcBorders>
                  <w:noWrap/>
                  <w:vAlign w:val="center"/>
                </w:tcPr>
                <w:p w14:paraId="65F540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2811241.26</w:t>
                  </w:r>
                </w:p>
              </w:tc>
              <w:tc>
                <w:tcPr>
                  <w:tcW w:w="1254" w:type="dxa"/>
                  <w:tcBorders>
                    <w:top w:val="nil"/>
                    <w:left w:val="nil"/>
                    <w:bottom w:val="single" w:color="auto" w:sz="4" w:space="0"/>
                    <w:right w:val="single" w:color="auto" w:sz="4" w:space="0"/>
                  </w:tcBorders>
                  <w:noWrap/>
                  <w:vAlign w:val="center"/>
                </w:tcPr>
                <w:p w14:paraId="589C50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34630537.57</w:t>
                  </w:r>
                </w:p>
              </w:tc>
              <w:tc>
                <w:tcPr>
                  <w:tcW w:w="1473" w:type="dxa"/>
                  <w:tcBorders>
                    <w:top w:val="nil"/>
                    <w:left w:val="nil"/>
                    <w:bottom w:val="single" w:color="auto" w:sz="4" w:space="0"/>
                    <w:right w:val="single" w:color="auto" w:sz="4" w:space="0"/>
                  </w:tcBorders>
                  <w:noWrap/>
                  <w:vAlign w:val="center"/>
                </w:tcPr>
                <w:p w14:paraId="73E2A6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103°17′50.189″</w:t>
                  </w:r>
                </w:p>
              </w:tc>
              <w:tc>
                <w:tcPr>
                  <w:tcW w:w="1343" w:type="dxa"/>
                  <w:tcBorders>
                    <w:top w:val="nil"/>
                    <w:left w:val="nil"/>
                    <w:bottom w:val="single" w:color="auto" w:sz="4" w:space="0"/>
                    <w:right w:val="single" w:color="auto" w:sz="4" w:space="0"/>
                  </w:tcBorders>
                  <w:noWrap/>
                  <w:vAlign w:val="center"/>
                </w:tcPr>
                <w:p w14:paraId="7ECF32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25°24′07.888″</w:t>
                  </w:r>
                </w:p>
              </w:tc>
            </w:tr>
            <w:tr w14:paraId="522D1651">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1BD0C9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矿11</w:t>
                  </w:r>
                </w:p>
              </w:tc>
              <w:tc>
                <w:tcPr>
                  <w:tcW w:w="1124" w:type="dxa"/>
                  <w:tcBorders>
                    <w:top w:val="nil"/>
                    <w:left w:val="nil"/>
                    <w:bottom w:val="single" w:color="auto" w:sz="4" w:space="0"/>
                    <w:right w:val="single" w:color="auto" w:sz="4" w:space="0"/>
                  </w:tcBorders>
                  <w:noWrap/>
                  <w:vAlign w:val="center"/>
                </w:tcPr>
                <w:p w14:paraId="00B9B8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2811198.78</w:t>
                  </w:r>
                </w:p>
              </w:tc>
              <w:tc>
                <w:tcPr>
                  <w:tcW w:w="1241" w:type="dxa"/>
                  <w:tcBorders>
                    <w:top w:val="nil"/>
                    <w:left w:val="nil"/>
                    <w:bottom w:val="single" w:color="auto" w:sz="4" w:space="0"/>
                    <w:right w:val="single" w:color="auto" w:sz="4" w:space="0"/>
                  </w:tcBorders>
                  <w:noWrap/>
                  <w:vAlign w:val="center"/>
                </w:tcPr>
                <w:p w14:paraId="7637D4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34630420.13</w:t>
                  </w:r>
                </w:p>
              </w:tc>
              <w:tc>
                <w:tcPr>
                  <w:tcW w:w="1118" w:type="dxa"/>
                  <w:tcBorders>
                    <w:top w:val="nil"/>
                    <w:left w:val="nil"/>
                    <w:bottom w:val="single" w:color="auto" w:sz="4" w:space="0"/>
                    <w:right w:val="single" w:color="auto" w:sz="4" w:space="0"/>
                  </w:tcBorders>
                  <w:noWrap/>
                  <w:vAlign w:val="center"/>
                </w:tcPr>
                <w:p w14:paraId="0DC72E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2811206.26</w:t>
                  </w:r>
                </w:p>
              </w:tc>
              <w:tc>
                <w:tcPr>
                  <w:tcW w:w="1254" w:type="dxa"/>
                  <w:tcBorders>
                    <w:top w:val="nil"/>
                    <w:left w:val="nil"/>
                    <w:bottom w:val="single" w:color="auto" w:sz="4" w:space="0"/>
                    <w:right w:val="single" w:color="auto" w:sz="4" w:space="0"/>
                  </w:tcBorders>
                  <w:noWrap/>
                  <w:vAlign w:val="center"/>
                </w:tcPr>
                <w:p w14:paraId="09995F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34630531.57</w:t>
                  </w:r>
                </w:p>
              </w:tc>
              <w:tc>
                <w:tcPr>
                  <w:tcW w:w="1473" w:type="dxa"/>
                  <w:tcBorders>
                    <w:top w:val="nil"/>
                    <w:left w:val="nil"/>
                    <w:bottom w:val="single" w:color="auto" w:sz="4" w:space="0"/>
                    <w:right w:val="single" w:color="auto" w:sz="4" w:space="0"/>
                  </w:tcBorders>
                  <w:noWrap/>
                  <w:vAlign w:val="center"/>
                </w:tcPr>
                <w:p w14:paraId="519DBC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103°17′49.962″</w:t>
                  </w:r>
                </w:p>
              </w:tc>
              <w:tc>
                <w:tcPr>
                  <w:tcW w:w="1343" w:type="dxa"/>
                  <w:tcBorders>
                    <w:top w:val="nil"/>
                    <w:left w:val="nil"/>
                    <w:bottom w:val="single" w:color="auto" w:sz="4" w:space="0"/>
                    <w:right w:val="single" w:color="auto" w:sz="4" w:space="0"/>
                  </w:tcBorders>
                  <w:noWrap/>
                  <w:vAlign w:val="center"/>
                </w:tcPr>
                <w:p w14:paraId="14045E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25°24′06.753″</w:t>
                  </w:r>
                </w:p>
              </w:tc>
            </w:tr>
            <w:tr w14:paraId="24D95336">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7F23B9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矿12</w:t>
                  </w:r>
                </w:p>
              </w:tc>
              <w:tc>
                <w:tcPr>
                  <w:tcW w:w="1124" w:type="dxa"/>
                  <w:tcBorders>
                    <w:top w:val="nil"/>
                    <w:left w:val="nil"/>
                    <w:bottom w:val="single" w:color="auto" w:sz="4" w:space="0"/>
                    <w:right w:val="single" w:color="auto" w:sz="4" w:space="0"/>
                  </w:tcBorders>
                  <w:noWrap/>
                  <w:vAlign w:val="center"/>
                </w:tcPr>
                <w:p w14:paraId="329302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2811153.78</w:t>
                  </w:r>
                </w:p>
              </w:tc>
              <w:tc>
                <w:tcPr>
                  <w:tcW w:w="1241" w:type="dxa"/>
                  <w:tcBorders>
                    <w:top w:val="nil"/>
                    <w:left w:val="nil"/>
                    <w:bottom w:val="single" w:color="auto" w:sz="4" w:space="0"/>
                    <w:right w:val="single" w:color="auto" w:sz="4" w:space="0"/>
                  </w:tcBorders>
                  <w:noWrap/>
                  <w:vAlign w:val="center"/>
                </w:tcPr>
                <w:p w14:paraId="28E477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34630397.13</w:t>
                  </w:r>
                </w:p>
              </w:tc>
              <w:tc>
                <w:tcPr>
                  <w:tcW w:w="1118" w:type="dxa"/>
                  <w:tcBorders>
                    <w:top w:val="nil"/>
                    <w:left w:val="nil"/>
                    <w:bottom w:val="single" w:color="auto" w:sz="4" w:space="0"/>
                    <w:right w:val="single" w:color="auto" w:sz="4" w:space="0"/>
                  </w:tcBorders>
                  <w:noWrap/>
                  <w:vAlign w:val="center"/>
                </w:tcPr>
                <w:p w14:paraId="6FCB43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2811161.26</w:t>
                  </w:r>
                </w:p>
              </w:tc>
              <w:tc>
                <w:tcPr>
                  <w:tcW w:w="1254" w:type="dxa"/>
                  <w:tcBorders>
                    <w:top w:val="nil"/>
                    <w:left w:val="nil"/>
                    <w:bottom w:val="single" w:color="auto" w:sz="4" w:space="0"/>
                    <w:right w:val="single" w:color="auto" w:sz="4" w:space="0"/>
                  </w:tcBorders>
                  <w:noWrap/>
                  <w:vAlign w:val="center"/>
                </w:tcPr>
                <w:p w14:paraId="123690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34630508.57</w:t>
                  </w:r>
                </w:p>
              </w:tc>
              <w:tc>
                <w:tcPr>
                  <w:tcW w:w="1473" w:type="dxa"/>
                  <w:tcBorders>
                    <w:top w:val="nil"/>
                    <w:left w:val="nil"/>
                    <w:bottom w:val="single" w:color="auto" w:sz="4" w:space="0"/>
                    <w:right w:val="single" w:color="auto" w:sz="4" w:space="0"/>
                  </w:tcBorders>
                  <w:noWrap/>
                  <w:vAlign w:val="center"/>
                </w:tcPr>
                <w:p w14:paraId="648F7D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103°17′49.124″</w:t>
                  </w:r>
                </w:p>
              </w:tc>
              <w:tc>
                <w:tcPr>
                  <w:tcW w:w="1343" w:type="dxa"/>
                  <w:tcBorders>
                    <w:top w:val="nil"/>
                    <w:left w:val="nil"/>
                    <w:bottom w:val="single" w:color="auto" w:sz="4" w:space="0"/>
                    <w:right w:val="single" w:color="auto" w:sz="4" w:space="0"/>
                  </w:tcBorders>
                  <w:noWrap/>
                  <w:vAlign w:val="center"/>
                </w:tcPr>
                <w:p w14:paraId="7D5206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25°24′05.298″</w:t>
                  </w:r>
                </w:p>
              </w:tc>
            </w:tr>
            <w:tr w14:paraId="6BF00A6B">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57EE5A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矿13</w:t>
                  </w:r>
                </w:p>
              </w:tc>
              <w:tc>
                <w:tcPr>
                  <w:tcW w:w="1124" w:type="dxa"/>
                  <w:tcBorders>
                    <w:top w:val="nil"/>
                    <w:left w:val="nil"/>
                    <w:bottom w:val="single" w:color="auto" w:sz="4" w:space="0"/>
                    <w:right w:val="single" w:color="auto" w:sz="4" w:space="0"/>
                  </w:tcBorders>
                  <w:noWrap/>
                  <w:vAlign w:val="center"/>
                </w:tcPr>
                <w:p w14:paraId="6D8028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2811028.78</w:t>
                  </w:r>
                </w:p>
              </w:tc>
              <w:tc>
                <w:tcPr>
                  <w:tcW w:w="1241" w:type="dxa"/>
                  <w:tcBorders>
                    <w:top w:val="nil"/>
                    <w:left w:val="nil"/>
                    <w:bottom w:val="single" w:color="auto" w:sz="4" w:space="0"/>
                    <w:right w:val="single" w:color="auto" w:sz="4" w:space="0"/>
                  </w:tcBorders>
                  <w:noWrap/>
                  <w:vAlign w:val="center"/>
                </w:tcPr>
                <w:p w14:paraId="3AB41E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34630301.13</w:t>
                  </w:r>
                </w:p>
              </w:tc>
              <w:tc>
                <w:tcPr>
                  <w:tcW w:w="1118" w:type="dxa"/>
                  <w:tcBorders>
                    <w:top w:val="nil"/>
                    <w:left w:val="nil"/>
                    <w:bottom w:val="single" w:color="auto" w:sz="4" w:space="0"/>
                    <w:right w:val="single" w:color="auto" w:sz="4" w:space="0"/>
                  </w:tcBorders>
                  <w:noWrap/>
                  <w:vAlign w:val="center"/>
                </w:tcPr>
                <w:p w14:paraId="361C2E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2811036.26</w:t>
                  </w:r>
                </w:p>
              </w:tc>
              <w:tc>
                <w:tcPr>
                  <w:tcW w:w="1254" w:type="dxa"/>
                  <w:tcBorders>
                    <w:top w:val="nil"/>
                    <w:left w:val="nil"/>
                    <w:bottom w:val="single" w:color="auto" w:sz="4" w:space="0"/>
                    <w:right w:val="single" w:color="auto" w:sz="4" w:space="0"/>
                  </w:tcBorders>
                  <w:noWrap/>
                  <w:vAlign w:val="center"/>
                </w:tcPr>
                <w:p w14:paraId="5DE65F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34630412.57</w:t>
                  </w:r>
                </w:p>
              </w:tc>
              <w:tc>
                <w:tcPr>
                  <w:tcW w:w="1473" w:type="dxa"/>
                  <w:tcBorders>
                    <w:top w:val="nil"/>
                    <w:left w:val="nil"/>
                    <w:bottom w:val="single" w:color="auto" w:sz="4" w:space="0"/>
                    <w:right w:val="single" w:color="auto" w:sz="4" w:space="0"/>
                  </w:tcBorders>
                  <w:noWrap/>
                  <w:vAlign w:val="center"/>
                </w:tcPr>
                <w:p w14:paraId="5E564F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103°17′45.647″</w:t>
                  </w:r>
                </w:p>
              </w:tc>
              <w:tc>
                <w:tcPr>
                  <w:tcW w:w="1343" w:type="dxa"/>
                  <w:tcBorders>
                    <w:top w:val="nil"/>
                    <w:left w:val="nil"/>
                    <w:bottom w:val="single" w:color="auto" w:sz="4" w:space="0"/>
                    <w:right w:val="single" w:color="auto" w:sz="4" w:space="0"/>
                  </w:tcBorders>
                  <w:noWrap/>
                  <w:vAlign w:val="center"/>
                </w:tcPr>
                <w:p w14:paraId="759D1C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25°24′01.268″</w:t>
                  </w:r>
                </w:p>
              </w:tc>
            </w:tr>
            <w:tr w14:paraId="75362638">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166FBF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矿14</w:t>
                  </w:r>
                </w:p>
              </w:tc>
              <w:tc>
                <w:tcPr>
                  <w:tcW w:w="1124" w:type="dxa"/>
                  <w:tcBorders>
                    <w:top w:val="nil"/>
                    <w:left w:val="nil"/>
                    <w:bottom w:val="single" w:color="auto" w:sz="4" w:space="0"/>
                    <w:right w:val="single" w:color="auto" w:sz="4" w:space="0"/>
                  </w:tcBorders>
                  <w:noWrap/>
                  <w:vAlign w:val="center"/>
                </w:tcPr>
                <w:p w14:paraId="4E4FF7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2810990.78</w:t>
                  </w:r>
                </w:p>
              </w:tc>
              <w:tc>
                <w:tcPr>
                  <w:tcW w:w="1241" w:type="dxa"/>
                  <w:tcBorders>
                    <w:top w:val="nil"/>
                    <w:left w:val="nil"/>
                    <w:bottom w:val="single" w:color="auto" w:sz="4" w:space="0"/>
                    <w:right w:val="single" w:color="auto" w:sz="4" w:space="0"/>
                  </w:tcBorders>
                  <w:noWrap/>
                  <w:vAlign w:val="center"/>
                </w:tcPr>
                <w:p w14:paraId="3E67BE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34630285.13</w:t>
                  </w:r>
                </w:p>
              </w:tc>
              <w:tc>
                <w:tcPr>
                  <w:tcW w:w="1118" w:type="dxa"/>
                  <w:tcBorders>
                    <w:top w:val="nil"/>
                    <w:left w:val="nil"/>
                    <w:bottom w:val="single" w:color="auto" w:sz="4" w:space="0"/>
                    <w:right w:val="single" w:color="auto" w:sz="4" w:space="0"/>
                  </w:tcBorders>
                  <w:noWrap/>
                  <w:vAlign w:val="center"/>
                </w:tcPr>
                <w:p w14:paraId="20A77E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2810998.26</w:t>
                  </w:r>
                </w:p>
              </w:tc>
              <w:tc>
                <w:tcPr>
                  <w:tcW w:w="1254" w:type="dxa"/>
                  <w:tcBorders>
                    <w:top w:val="nil"/>
                    <w:left w:val="nil"/>
                    <w:bottom w:val="single" w:color="auto" w:sz="4" w:space="0"/>
                    <w:right w:val="single" w:color="auto" w:sz="4" w:space="0"/>
                  </w:tcBorders>
                  <w:noWrap/>
                  <w:vAlign w:val="center"/>
                </w:tcPr>
                <w:p w14:paraId="76BF7F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34630396.57</w:t>
                  </w:r>
                </w:p>
              </w:tc>
              <w:tc>
                <w:tcPr>
                  <w:tcW w:w="1473" w:type="dxa"/>
                  <w:tcBorders>
                    <w:top w:val="nil"/>
                    <w:left w:val="nil"/>
                    <w:bottom w:val="single" w:color="auto" w:sz="4" w:space="0"/>
                    <w:right w:val="single" w:color="auto" w:sz="4" w:space="0"/>
                  </w:tcBorders>
                  <w:noWrap/>
                  <w:vAlign w:val="center"/>
                </w:tcPr>
                <w:p w14:paraId="68D3B9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103°17′45.061″</w:t>
                  </w:r>
                </w:p>
              </w:tc>
              <w:tc>
                <w:tcPr>
                  <w:tcW w:w="1343" w:type="dxa"/>
                  <w:tcBorders>
                    <w:top w:val="nil"/>
                    <w:left w:val="nil"/>
                    <w:bottom w:val="single" w:color="auto" w:sz="4" w:space="0"/>
                    <w:right w:val="single" w:color="auto" w:sz="4" w:space="0"/>
                  </w:tcBorders>
                  <w:noWrap/>
                  <w:vAlign w:val="center"/>
                </w:tcPr>
                <w:p w14:paraId="0784A5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25°24′00.038″</w:t>
                  </w:r>
                </w:p>
              </w:tc>
            </w:tr>
            <w:tr w14:paraId="2E036702">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2CA862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矿15</w:t>
                  </w:r>
                </w:p>
              </w:tc>
              <w:tc>
                <w:tcPr>
                  <w:tcW w:w="1124" w:type="dxa"/>
                  <w:tcBorders>
                    <w:top w:val="nil"/>
                    <w:left w:val="nil"/>
                    <w:bottom w:val="single" w:color="auto" w:sz="4" w:space="0"/>
                    <w:right w:val="single" w:color="auto" w:sz="4" w:space="0"/>
                  </w:tcBorders>
                  <w:noWrap/>
                  <w:vAlign w:val="center"/>
                </w:tcPr>
                <w:p w14:paraId="768621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2810960.78</w:t>
                  </w:r>
                </w:p>
              </w:tc>
              <w:tc>
                <w:tcPr>
                  <w:tcW w:w="1241" w:type="dxa"/>
                  <w:tcBorders>
                    <w:top w:val="nil"/>
                    <w:left w:val="nil"/>
                    <w:bottom w:val="single" w:color="auto" w:sz="4" w:space="0"/>
                    <w:right w:val="single" w:color="auto" w:sz="4" w:space="0"/>
                  </w:tcBorders>
                  <w:noWrap/>
                  <w:vAlign w:val="center"/>
                </w:tcPr>
                <w:p w14:paraId="50939C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34630239.13</w:t>
                  </w:r>
                </w:p>
              </w:tc>
              <w:tc>
                <w:tcPr>
                  <w:tcW w:w="1118" w:type="dxa"/>
                  <w:tcBorders>
                    <w:top w:val="nil"/>
                    <w:left w:val="nil"/>
                    <w:bottom w:val="single" w:color="auto" w:sz="4" w:space="0"/>
                    <w:right w:val="single" w:color="auto" w:sz="4" w:space="0"/>
                  </w:tcBorders>
                  <w:noWrap/>
                  <w:vAlign w:val="center"/>
                </w:tcPr>
                <w:p w14:paraId="671E27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2810968.26</w:t>
                  </w:r>
                </w:p>
              </w:tc>
              <w:tc>
                <w:tcPr>
                  <w:tcW w:w="1254" w:type="dxa"/>
                  <w:tcBorders>
                    <w:top w:val="nil"/>
                    <w:left w:val="nil"/>
                    <w:bottom w:val="single" w:color="auto" w:sz="4" w:space="0"/>
                    <w:right w:val="single" w:color="auto" w:sz="4" w:space="0"/>
                  </w:tcBorders>
                  <w:noWrap/>
                  <w:vAlign w:val="center"/>
                </w:tcPr>
                <w:p w14:paraId="061CDC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34630350.57</w:t>
                  </w:r>
                </w:p>
              </w:tc>
              <w:tc>
                <w:tcPr>
                  <w:tcW w:w="1473" w:type="dxa"/>
                  <w:tcBorders>
                    <w:top w:val="nil"/>
                    <w:left w:val="nil"/>
                    <w:bottom w:val="single" w:color="auto" w:sz="4" w:space="0"/>
                    <w:right w:val="single" w:color="auto" w:sz="4" w:space="0"/>
                  </w:tcBorders>
                  <w:noWrap/>
                  <w:vAlign w:val="center"/>
                </w:tcPr>
                <w:p w14:paraId="5176E1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103°17′43.405″</w:t>
                  </w:r>
                </w:p>
              </w:tc>
              <w:tc>
                <w:tcPr>
                  <w:tcW w:w="1343" w:type="dxa"/>
                  <w:tcBorders>
                    <w:top w:val="nil"/>
                    <w:left w:val="nil"/>
                    <w:bottom w:val="single" w:color="auto" w:sz="4" w:space="0"/>
                    <w:right w:val="single" w:color="auto" w:sz="4" w:space="0"/>
                  </w:tcBorders>
                  <w:noWrap/>
                  <w:vAlign w:val="center"/>
                </w:tcPr>
                <w:p w14:paraId="53DCAB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25°23′59.078″</w:t>
                  </w:r>
                </w:p>
              </w:tc>
            </w:tr>
            <w:tr w14:paraId="3E3AE21F">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0D2044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矿16</w:t>
                  </w:r>
                </w:p>
              </w:tc>
              <w:tc>
                <w:tcPr>
                  <w:tcW w:w="1124" w:type="dxa"/>
                  <w:tcBorders>
                    <w:top w:val="nil"/>
                    <w:left w:val="nil"/>
                    <w:bottom w:val="single" w:color="auto" w:sz="4" w:space="0"/>
                    <w:right w:val="single" w:color="auto" w:sz="4" w:space="0"/>
                  </w:tcBorders>
                  <w:noWrap/>
                  <w:vAlign w:val="center"/>
                </w:tcPr>
                <w:p w14:paraId="141A93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2810932.78</w:t>
                  </w:r>
                </w:p>
              </w:tc>
              <w:tc>
                <w:tcPr>
                  <w:tcW w:w="1241" w:type="dxa"/>
                  <w:tcBorders>
                    <w:top w:val="nil"/>
                    <w:left w:val="nil"/>
                    <w:bottom w:val="single" w:color="auto" w:sz="4" w:space="0"/>
                    <w:right w:val="single" w:color="auto" w:sz="4" w:space="0"/>
                  </w:tcBorders>
                  <w:noWrap/>
                  <w:vAlign w:val="center"/>
                </w:tcPr>
                <w:p w14:paraId="5F9D42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34630239.13</w:t>
                  </w:r>
                </w:p>
              </w:tc>
              <w:tc>
                <w:tcPr>
                  <w:tcW w:w="1118" w:type="dxa"/>
                  <w:tcBorders>
                    <w:top w:val="nil"/>
                    <w:left w:val="nil"/>
                    <w:bottom w:val="single" w:color="auto" w:sz="4" w:space="0"/>
                    <w:right w:val="single" w:color="auto" w:sz="4" w:space="0"/>
                  </w:tcBorders>
                  <w:noWrap/>
                  <w:vAlign w:val="center"/>
                </w:tcPr>
                <w:p w14:paraId="075265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2810940.26</w:t>
                  </w:r>
                </w:p>
              </w:tc>
              <w:tc>
                <w:tcPr>
                  <w:tcW w:w="1254" w:type="dxa"/>
                  <w:tcBorders>
                    <w:top w:val="nil"/>
                    <w:left w:val="nil"/>
                    <w:bottom w:val="single" w:color="auto" w:sz="4" w:space="0"/>
                    <w:right w:val="single" w:color="auto" w:sz="4" w:space="0"/>
                  </w:tcBorders>
                  <w:noWrap/>
                  <w:vAlign w:val="center"/>
                </w:tcPr>
                <w:p w14:paraId="4C9EDE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34630350.57</w:t>
                  </w:r>
                </w:p>
              </w:tc>
              <w:tc>
                <w:tcPr>
                  <w:tcW w:w="1473" w:type="dxa"/>
                  <w:tcBorders>
                    <w:top w:val="nil"/>
                    <w:left w:val="nil"/>
                    <w:bottom w:val="single" w:color="auto" w:sz="4" w:space="0"/>
                    <w:right w:val="single" w:color="auto" w:sz="4" w:space="0"/>
                  </w:tcBorders>
                  <w:noWrap/>
                  <w:vAlign w:val="center"/>
                </w:tcPr>
                <w:p w14:paraId="6ED811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103°17′43.396″</w:t>
                  </w:r>
                </w:p>
              </w:tc>
              <w:tc>
                <w:tcPr>
                  <w:tcW w:w="1343" w:type="dxa"/>
                  <w:tcBorders>
                    <w:top w:val="nil"/>
                    <w:left w:val="nil"/>
                    <w:bottom w:val="single" w:color="auto" w:sz="4" w:space="0"/>
                    <w:right w:val="single" w:color="auto" w:sz="4" w:space="0"/>
                  </w:tcBorders>
                  <w:noWrap/>
                  <w:vAlign w:val="center"/>
                </w:tcPr>
                <w:p w14:paraId="3F3443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25°23′58.168″</w:t>
                  </w:r>
                </w:p>
              </w:tc>
            </w:tr>
            <w:tr w14:paraId="1448F600">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29775C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矿17</w:t>
                  </w:r>
                </w:p>
              </w:tc>
              <w:tc>
                <w:tcPr>
                  <w:tcW w:w="1124" w:type="dxa"/>
                  <w:tcBorders>
                    <w:top w:val="nil"/>
                    <w:left w:val="nil"/>
                    <w:bottom w:val="single" w:color="auto" w:sz="4" w:space="0"/>
                    <w:right w:val="single" w:color="auto" w:sz="4" w:space="0"/>
                  </w:tcBorders>
                  <w:noWrap/>
                  <w:vAlign w:val="center"/>
                </w:tcPr>
                <w:p w14:paraId="6D757D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2810914.78</w:t>
                  </w:r>
                </w:p>
              </w:tc>
              <w:tc>
                <w:tcPr>
                  <w:tcW w:w="1241" w:type="dxa"/>
                  <w:tcBorders>
                    <w:top w:val="nil"/>
                    <w:left w:val="nil"/>
                    <w:bottom w:val="single" w:color="auto" w:sz="4" w:space="0"/>
                    <w:right w:val="single" w:color="auto" w:sz="4" w:space="0"/>
                  </w:tcBorders>
                  <w:noWrap/>
                  <w:vAlign w:val="center"/>
                </w:tcPr>
                <w:p w14:paraId="60E601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34630210.13</w:t>
                  </w:r>
                </w:p>
              </w:tc>
              <w:tc>
                <w:tcPr>
                  <w:tcW w:w="1118" w:type="dxa"/>
                  <w:tcBorders>
                    <w:top w:val="nil"/>
                    <w:left w:val="nil"/>
                    <w:bottom w:val="single" w:color="auto" w:sz="4" w:space="0"/>
                    <w:right w:val="single" w:color="auto" w:sz="4" w:space="0"/>
                  </w:tcBorders>
                  <w:noWrap/>
                  <w:vAlign w:val="center"/>
                </w:tcPr>
                <w:p w14:paraId="37ECC6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2810922.26</w:t>
                  </w:r>
                </w:p>
              </w:tc>
              <w:tc>
                <w:tcPr>
                  <w:tcW w:w="1254" w:type="dxa"/>
                  <w:tcBorders>
                    <w:top w:val="nil"/>
                    <w:left w:val="nil"/>
                    <w:bottom w:val="single" w:color="auto" w:sz="4" w:space="0"/>
                    <w:right w:val="single" w:color="auto" w:sz="4" w:space="0"/>
                  </w:tcBorders>
                  <w:noWrap/>
                  <w:vAlign w:val="center"/>
                </w:tcPr>
                <w:p w14:paraId="7FAF8E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34630321.57</w:t>
                  </w:r>
                </w:p>
              </w:tc>
              <w:tc>
                <w:tcPr>
                  <w:tcW w:w="1473" w:type="dxa"/>
                  <w:tcBorders>
                    <w:top w:val="nil"/>
                    <w:left w:val="nil"/>
                    <w:bottom w:val="single" w:color="auto" w:sz="4" w:space="0"/>
                    <w:right w:val="single" w:color="auto" w:sz="4" w:space="0"/>
                  </w:tcBorders>
                  <w:noWrap/>
                  <w:vAlign w:val="center"/>
                </w:tcPr>
                <w:p w14:paraId="6A8844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103°17′42.352″</w:t>
                  </w:r>
                </w:p>
              </w:tc>
              <w:tc>
                <w:tcPr>
                  <w:tcW w:w="1343" w:type="dxa"/>
                  <w:tcBorders>
                    <w:top w:val="nil"/>
                    <w:left w:val="nil"/>
                    <w:bottom w:val="single" w:color="auto" w:sz="4" w:space="0"/>
                    <w:right w:val="single" w:color="auto" w:sz="4" w:space="0"/>
                  </w:tcBorders>
                  <w:noWrap/>
                  <w:vAlign w:val="center"/>
                </w:tcPr>
                <w:p w14:paraId="62BEC6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25°23′57.592″</w:t>
                  </w:r>
                </w:p>
              </w:tc>
            </w:tr>
            <w:tr w14:paraId="2DE4AFD9">
              <w:tblPrEx>
                <w:tblCellMar>
                  <w:top w:w="0" w:type="dxa"/>
                  <w:left w:w="108" w:type="dxa"/>
                  <w:bottom w:w="0" w:type="dxa"/>
                  <w:right w:w="108" w:type="dxa"/>
                </w:tblCellMar>
              </w:tblPrEx>
              <w:trPr>
                <w:jc w:val="center"/>
              </w:trPr>
              <w:tc>
                <w:tcPr>
                  <w:tcW w:w="663" w:type="dxa"/>
                  <w:tcBorders>
                    <w:top w:val="nil"/>
                    <w:left w:val="single" w:color="auto" w:sz="4" w:space="0"/>
                    <w:bottom w:val="single" w:color="auto" w:sz="4" w:space="0"/>
                    <w:right w:val="single" w:color="auto" w:sz="4" w:space="0"/>
                  </w:tcBorders>
                  <w:noWrap/>
                  <w:vAlign w:val="center"/>
                </w:tcPr>
                <w:p w14:paraId="5BD8A4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矿18</w:t>
                  </w:r>
                </w:p>
              </w:tc>
              <w:tc>
                <w:tcPr>
                  <w:tcW w:w="1124" w:type="dxa"/>
                  <w:tcBorders>
                    <w:top w:val="nil"/>
                    <w:left w:val="nil"/>
                    <w:bottom w:val="single" w:color="auto" w:sz="4" w:space="0"/>
                    <w:right w:val="single" w:color="auto" w:sz="4" w:space="0"/>
                  </w:tcBorders>
                  <w:noWrap/>
                  <w:vAlign w:val="center"/>
                </w:tcPr>
                <w:p w14:paraId="764035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2810896.78</w:t>
                  </w:r>
                </w:p>
              </w:tc>
              <w:tc>
                <w:tcPr>
                  <w:tcW w:w="1241" w:type="dxa"/>
                  <w:tcBorders>
                    <w:top w:val="nil"/>
                    <w:left w:val="nil"/>
                    <w:bottom w:val="single" w:color="auto" w:sz="4" w:space="0"/>
                    <w:right w:val="single" w:color="auto" w:sz="4" w:space="0"/>
                  </w:tcBorders>
                  <w:noWrap/>
                  <w:vAlign w:val="center"/>
                </w:tcPr>
                <w:p w14:paraId="3A6C7D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34630196.13</w:t>
                  </w:r>
                </w:p>
              </w:tc>
              <w:tc>
                <w:tcPr>
                  <w:tcW w:w="1118" w:type="dxa"/>
                  <w:tcBorders>
                    <w:top w:val="nil"/>
                    <w:left w:val="nil"/>
                    <w:bottom w:val="single" w:color="auto" w:sz="4" w:space="0"/>
                    <w:right w:val="single" w:color="auto" w:sz="4" w:space="0"/>
                  </w:tcBorders>
                  <w:noWrap/>
                  <w:vAlign w:val="center"/>
                </w:tcPr>
                <w:p w14:paraId="16BF15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2810904.26</w:t>
                  </w:r>
                </w:p>
              </w:tc>
              <w:tc>
                <w:tcPr>
                  <w:tcW w:w="1254" w:type="dxa"/>
                  <w:tcBorders>
                    <w:top w:val="nil"/>
                    <w:left w:val="nil"/>
                    <w:bottom w:val="single" w:color="auto" w:sz="4" w:space="0"/>
                    <w:right w:val="single" w:color="auto" w:sz="4" w:space="0"/>
                  </w:tcBorders>
                  <w:noWrap/>
                  <w:vAlign w:val="center"/>
                </w:tcPr>
                <w:p w14:paraId="6C9DAE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34630307.57</w:t>
                  </w:r>
                </w:p>
              </w:tc>
              <w:tc>
                <w:tcPr>
                  <w:tcW w:w="1473" w:type="dxa"/>
                  <w:tcBorders>
                    <w:top w:val="nil"/>
                    <w:left w:val="nil"/>
                    <w:bottom w:val="single" w:color="auto" w:sz="4" w:space="0"/>
                    <w:right w:val="single" w:color="auto" w:sz="4" w:space="0"/>
                  </w:tcBorders>
                  <w:noWrap/>
                  <w:vAlign w:val="center"/>
                </w:tcPr>
                <w:p w14:paraId="0A9143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103°17′41.845″</w:t>
                  </w:r>
                </w:p>
              </w:tc>
              <w:tc>
                <w:tcPr>
                  <w:tcW w:w="1343" w:type="dxa"/>
                  <w:tcBorders>
                    <w:top w:val="nil"/>
                    <w:left w:val="nil"/>
                    <w:bottom w:val="single" w:color="auto" w:sz="4" w:space="0"/>
                    <w:right w:val="single" w:color="auto" w:sz="4" w:space="0"/>
                  </w:tcBorders>
                  <w:noWrap/>
                  <w:vAlign w:val="center"/>
                </w:tcPr>
                <w:p w14:paraId="515816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25°23′57.012″</w:t>
                  </w:r>
                </w:p>
              </w:tc>
            </w:tr>
            <w:tr w14:paraId="50C9E1B4">
              <w:tblPrEx>
                <w:tblCellMar>
                  <w:top w:w="0" w:type="dxa"/>
                  <w:left w:w="108" w:type="dxa"/>
                  <w:bottom w:w="0" w:type="dxa"/>
                  <w:right w:w="108" w:type="dxa"/>
                </w:tblCellMar>
              </w:tblPrEx>
              <w:trPr>
                <w:jc w:val="center"/>
              </w:trPr>
              <w:tc>
                <w:tcPr>
                  <w:tcW w:w="1787" w:type="dxa"/>
                  <w:gridSpan w:val="2"/>
                  <w:tcBorders>
                    <w:top w:val="single" w:color="auto" w:sz="4" w:space="0"/>
                    <w:left w:val="single" w:color="auto" w:sz="4" w:space="0"/>
                    <w:bottom w:val="single" w:color="auto" w:sz="4" w:space="0"/>
                    <w:right w:val="single" w:color="auto" w:sz="4" w:space="0"/>
                  </w:tcBorders>
                  <w:noWrap/>
                  <w:vAlign w:val="center"/>
                </w:tcPr>
                <w:p w14:paraId="7C727D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矿区面积</w:t>
                  </w:r>
                </w:p>
              </w:tc>
              <w:tc>
                <w:tcPr>
                  <w:tcW w:w="6429" w:type="dxa"/>
                  <w:gridSpan w:val="5"/>
                  <w:tcBorders>
                    <w:top w:val="single" w:color="auto" w:sz="4" w:space="0"/>
                    <w:left w:val="nil"/>
                    <w:bottom w:val="single" w:color="auto" w:sz="4" w:space="0"/>
                    <w:right w:val="single" w:color="auto" w:sz="4" w:space="0"/>
                  </w:tcBorders>
                  <w:noWrap/>
                  <w:vAlign w:val="center"/>
                </w:tcPr>
                <w:p w14:paraId="10A514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0.0619km</w:t>
                  </w:r>
                  <w:r>
                    <w:rPr>
                      <w:rFonts w:hint="default" w:ascii="Times New Roman" w:hAnsi="Times New Roman" w:eastAsia="宋体" w:cs="Times New Roman"/>
                      <w:color w:val="000000" w:themeColor="text1"/>
                      <w:w w:val="90"/>
                      <w:kern w:val="0"/>
                      <w:sz w:val="21"/>
                      <w:szCs w:val="21"/>
                      <w:vertAlign w:val="superscript"/>
                      <w14:textFill>
                        <w14:solidFill>
                          <w14:schemeClr w14:val="tx1"/>
                        </w14:solidFill>
                      </w14:textFill>
                    </w:rPr>
                    <w:t>2</w:t>
                  </w:r>
                </w:p>
              </w:tc>
            </w:tr>
            <w:tr w14:paraId="3C1066E8">
              <w:tblPrEx>
                <w:tblCellMar>
                  <w:top w:w="0" w:type="dxa"/>
                  <w:left w:w="108" w:type="dxa"/>
                  <w:bottom w:w="0" w:type="dxa"/>
                  <w:right w:w="108" w:type="dxa"/>
                </w:tblCellMar>
              </w:tblPrEx>
              <w:trPr>
                <w:jc w:val="center"/>
              </w:trPr>
              <w:tc>
                <w:tcPr>
                  <w:tcW w:w="1787" w:type="dxa"/>
                  <w:gridSpan w:val="2"/>
                  <w:tcBorders>
                    <w:top w:val="single" w:color="auto" w:sz="4" w:space="0"/>
                    <w:left w:val="single" w:color="auto" w:sz="4" w:space="0"/>
                    <w:bottom w:val="single" w:color="auto" w:sz="4" w:space="0"/>
                    <w:right w:val="single" w:color="auto" w:sz="4" w:space="0"/>
                  </w:tcBorders>
                  <w:noWrap/>
                  <w:vAlign w:val="center"/>
                </w:tcPr>
                <w:p w14:paraId="407533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拟设开采标高</w:t>
                  </w:r>
                </w:p>
              </w:tc>
              <w:tc>
                <w:tcPr>
                  <w:tcW w:w="6429" w:type="dxa"/>
                  <w:gridSpan w:val="5"/>
                  <w:tcBorders>
                    <w:top w:val="single" w:color="auto" w:sz="4" w:space="0"/>
                    <w:left w:val="single" w:color="auto" w:sz="4" w:space="0"/>
                    <w:bottom w:val="single" w:color="auto" w:sz="4" w:space="0"/>
                    <w:right w:val="single" w:color="auto" w:sz="4" w:space="0"/>
                  </w:tcBorders>
                  <w:noWrap w:val="0"/>
                  <w:vAlign w:val="center"/>
                </w:tcPr>
                <w:p w14:paraId="554297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w w:val="90"/>
                      <w:kern w:val="0"/>
                      <w:sz w:val="21"/>
                      <w:szCs w:val="21"/>
                      <w14:textFill>
                        <w14:solidFill>
                          <w14:schemeClr w14:val="tx1"/>
                        </w14:solidFill>
                      </w14:textFill>
                    </w:rPr>
                  </w:pPr>
                  <w:r>
                    <w:rPr>
                      <w:rFonts w:hint="default" w:ascii="Times New Roman" w:hAnsi="Times New Roman" w:eastAsia="宋体" w:cs="Times New Roman"/>
                      <w:color w:val="000000" w:themeColor="text1"/>
                      <w:w w:val="90"/>
                      <w:kern w:val="0"/>
                      <w:sz w:val="21"/>
                      <w:szCs w:val="21"/>
                      <w14:textFill>
                        <w14:solidFill>
                          <w14:schemeClr w14:val="tx1"/>
                        </w14:solidFill>
                      </w14:textFill>
                    </w:rPr>
                    <w:t>2140-2076m</w:t>
                  </w:r>
                </w:p>
              </w:tc>
            </w:tr>
          </w:tbl>
          <w:p w14:paraId="6597F40C">
            <w:pP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项目于2022年取得环评批复后开始建设，后于2024年停产至今。</w:t>
            </w:r>
          </w:p>
          <w:p w14:paraId="3D55CEBB">
            <w:pPr>
              <w:keepNext w:val="0"/>
              <w:keepLines w:val="0"/>
              <w:pageBreakBefore w:val="0"/>
              <w:widowControl/>
              <w:kinsoku/>
              <w:wordWrap/>
              <w:overflowPunct/>
              <w:topLinePunct w:val="0"/>
              <w:autoSpaceDE/>
              <w:autoSpaceDN/>
              <w:bidi w:val="0"/>
              <w:adjustRightInd w:val="0"/>
              <w:snapToGrid w:val="0"/>
              <w:ind w:left="0" w:leftChars="0" w:firstLine="482" w:firstLineChars="200"/>
              <w:jc w:val="left"/>
              <w:textAlignment w:val="auto"/>
              <w:rPr>
                <w:rFonts w:hint="default" w:ascii="Times New Roman" w:hAnsi="Times New Roman" w:eastAsia="宋体" w:cs="Times New Roman"/>
                <w:b/>
                <w:bCs/>
                <w:color w:val="000000" w:themeColor="text1"/>
                <w:kern w:val="0"/>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lang w:val="en-US" w:eastAsia="zh-CN" w:bidi="ar"/>
                <w14:textFill>
                  <w14:solidFill>
                    <w14:schemeClr w14:val="tx1"/>
                  </w14:solidFill>
                </w14:textFill>
              </w:rPr>
              <w:t>二、现存主要环境问题</w:t>
            </w:r>
          </w:p>
          <w:p w14:paraId="5A57B12E">
            <w:pPr>
              <w:keepNext w:val="0"/>
              <w:keepLines w:val="0"/>
              <w:pageBreakBefore w:val="0"/>
              <w:widowControl/>
              <w:kinsoku/>
              <w:wordWrap/>
              <w:overflowPunct/>
              <w:topLinePunct w:val="0"/>
              <w:autoSpaceDE/>
              <w:autoSpaceDN/>
              <w:bidi w:val="0"/>
              <w:adjustRightInd w:val="0"/>
              <w:snapToGrid w:val="0"/>
              <w:ind w:left="0" w:lef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根据现场调查，</w:t>
            </w:r>
            <w:r>
              <w:rPr>
                <w:rFonts w:hint="eastAsia" w:cs="Times New Roman"/>
                <w:color w:val="000000" w:themeColor="text1"/>
                <w:kern w:val="0"/>
                <w:lang w:val="en-US" w:eastAsia="zh-CN" w:bidi="ar"/>
                <w14:textFill>
                  <w14:solidFill>
                    <w14:schemeClr w14:val="tx1"/>
                  </w14:solidFill>
                </w14:textFill>
              </w:rPr>
              <w:t>令友</w:t>
            </w:r>
            <w:r>
              <w:rPr>
                <w:rFonts w:hint="default" w:ascii="Times New Roman" w:hAnsi="Times New Roman" w:eastAsia="宋体" w:cs="Times New Roman"/>
                <w:color w:val="000000" w:themeColor="text1"/>
                <w:kern w:val="0"/>
                <w:lang w:bidi="ar"/>
                <w14:textFill>
                  <w14:solidFill>
                    <w14:schemeClr w14:val="tx1"/>
                  </w14:solidFill>
                </w14:textFill>
              </w:rPr>
              <w:t>采石场现存主要环境问题如下：</w:t>
            </w:r>
          </w:p>
          <w:p w14:paraId="27F6A7A5">
            <w:pPr>
              <w:keepNext w:val="0"/>
              <w:keepLines w:val="0"/>
              <w:pageBreakBefore w:val="0"/>
              <w:widowControl/>
              <w:kinsoku/>
              <w:wordWrap/>
              <w:overflowPunct/>
              <w:topLinePunct w:val="0"/>
              <w:autoSpaceDE/>
              <w:autoSpaceDN/>
              <w:bidi w:val="0"/>
              <w:adjustRightInd w:val="0"/>
              <w:snapToGrid w:val="0"/>
              <w:ind w:left="0" w:leftChars="0" w:firstLine="482" w:firstLineChars="200"/>
              <w:jc w:val="left"/>
              <w:textAlignment w:val="auto"/>
              <w:rPr>
                <w:rFonts w:hint="default" w:ascii="Times New Roman" w:hAnsi="Times New Roman" w:eastAsia="宋体" w:cs="Times New Roman"/>
                <w:b/>
                <w:bCs/>
                <w:color w:val="000000" w:themeColor="text1"/>
                <w:kern w:val="0"/>
                <w:lang w:val="en-US" w:eastAsia="zh-CN" w:bidi="ar"/>
                <w14:textFill>
                  <w14:solidFill>
                    <w14:schemeClr w14:val="tx1"/>
                  </w14:solidFill>
                </w14:textFill>
              </w:rPr>
            </w:pPr>
            <w:r>
              <w:rPr>
                <w:rFonts w:hint="default" w:ascii="Times New Roman" w:hAnsi="Times New Roman" w:cs="Times New Roman"/>
                <w:b/>
                <w:bCs/>
                <w:color w:val="000000" w:themeColor="text1"/>
                <w:kern w:val="0"/>
                <w:lang w:val="en-US" w:eastAsia="zh-CN" w:bidi="ar"/>
                <w14:textFill>
                  <w14:solidFill>
                    <w14:schemeClr w14:val="tx1"/>
                  </w14:solidFill>
                </w14:textFill>
              </w:rPr>
              <w:t>1、矿山地址安全隐患</w:t>
            </w:r>
          </w:p>
          <w:p w14:paraId="505E7889">
            <w:pPr>
              <w:snapToGrid w:val="0"/>
              <w:ind w:right="-1"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本矿山已停采多年，现状调查未发现崩塌、滑坡、泥石流、地面塌陷、地裂缝等地质灾害分布。受矿山开采影响，露天采场边坡存在3处不稳定边坡，详述如下：</w:t>
            </w:r>
          </w:p>
          <w:p w14:paraId="273368B5">
            <w:pPr>
              <w:snapToGrid w:val="0"/>
              <w:ind w:right="-1"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（1）不稳定边坡BW1</w:t>
            </w:r>
          </w:p>
          <w:p w14:paraId="7E0EE72B">
            <w:pPr>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①分布及特征：</w:t>
            </w:r>
          </w:p>
          <w:p w14:paraId="4E9C2009">
            <w:pPr>
              <w:widowControl/>
              <w:adjustRightInd w:val="0"/>
              <w:spacing w:line="440" w:lineRule="exact"/>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于采石场矿坑西侧，坡顶高程2075.8m，坡脚高程2044.0m，高度约31.0m，坡面倾向79°，总体边坡角65°。坡体地层主要为中风化灰岩③层，为岩质边坡。岩层产状60°∠24°，发育两组节理，第一组节理（J1）265°∠70°，第二组节理（J2）182°∠80°。未见稳定地下水。</w:t>
            </w:r>
          </w:p>
          <w:p w14:paraId="088E0FA0">
            <w:pPr>
              <w:snapToGrid w:val="0"/>
              <w:ind w:right="-1"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（2）不稳定边坡BW2</w:t>
            </w:r>
          </w:p>
          <w:p w14:paraId="570A4B67">
            <w:pPr>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①分布及特征：</w:t>
            </w:r>
          </w:p>
          <w:p w14:paraId="19756890">
            <w:pPr>
              <w:widowControl/>
              <w:adjustRightInd w:val="0"/>
              <w:spacing w:line="440" w:lineRule="exact"/>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于采石场矿坑北面，坡顶高程2108m，坡脚高程2045m，高度约63m，坡面倾向238°，总体边坡角约42°。该段边坡分为上段和下段，下段坡角约为37°，高约15m，上段坡角约为59°，高约40m。坡体地层主要为中风化灰岩③层，为岩质边坡。岩层产状68°∠24°，发育两组节理，第一组节理（J1）268°∠66°，第二组节理（J2）137°∠86°。未见稳定地下水。</w:t>
            </w:r>
          </w:p>
          <w:p w14:paraId="10B426DB">
            <w:pPr>
              <w:snapToGrid w:val="0"/>
              <w:ind w:right="-1"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（3）不稳定边坡BW3</w:t>
            </w:r>
          </w:p>
          <w:p w14:paraId="104A5701">
            <w:pPr>
              <w:keepNext w:val="0"/>
              <w:keepLines w:val="0"/>
              <w:pageBreakBefore w:val="0"/>
              <w:widowControl/>
              <w:kinsoku/>
              <w:wordWrap/>
              <w:overflowPunct/>
              <w:topLinePunct w:val="0"/>
              <w:autoSpaceDE/>
              <w:autoSpaceDN/>
              <w:bidi w:val="0"/>
              <w:adjustRightInd w:val="0"/>
              <w:snapToGrid w:val="0"/>
              <w:ind w:left="0" w:leftChars="0" w:firstLine="480" w:firstLineChars="200"/>
              <w:jc w:val="left"/>
              <w:textAlignment w:val="auto"/>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于采石场矿坑东面，坡顶高程2102m，坡脚高程2049m，高度约53m，坡面倾向247°，总体边坡角约23°。坡体地层主要为中风化灰岩③层，为岩质边坡。岩层产状59°∠32°，发育两组节理，第一组节理（J1）265°∠60°，第二组节理（J2）145°∠81°。未见稳定地下水。</w:t>
            </w:r>
          </w:p>
          <w:tbl>
            <w:tblPr>
              <w:tblStyle w:val="41"/>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97"/>
              <w:gridCol w:w="3929"/>
            </w:tblGrid>
            <w:tr w14:paraId="26CB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57" w:type="pct"/>
                  <w:vAlign w:val="top"/>
                </w:tcPr>
                <w:p w14:paraId="7D40A3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421255" cy="1323975"/>
                        <wp:effectExtent l="0" t="0" r="1714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2421255" cy="1323975"/>
                                </a:xfrm>
                                <a:prstGeom prst="rect">
                                  <a:avLst/>
                                </a:prstGeom>
                                <a:noFill/>
                                <a:ln>
                                  <a:noFill/>
                                </a:ln>
                              </pic:spPr>
                            </pic:pic>
                          </a:graphicData>
                        </a:graphic>
                      </wp:inline>
                    </w:drawing>
                  </w:r>
                </w:p>
              </w:tc>
              <w:tc>
                <w:tcPr>
                  <w:tcW w:w="2542" w:type="pct"/>
                  <w:vAlign w:val="top"/>
                </w:tcPr>
                <w:p w14:paraId="304B55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489200" cy="1301750"/>
                        <wp:effectExtent l="0" t="0" r="635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2489200" cy="1301750"/>
                                </a:xfrm>
                                <a:prstGeom prst="rect">
                                  <a:avLst/>
                                </a:prstGeom>
                                <a:noFill/>
                                <a:ln>
                                  <a:noFill/>
                                </a:ln>
                              </pic:spPr>
                            </pic:pic>
                          </a:graphicData>
                        </a:graphic>
                      </wp:inline>
                    </w:drawing>
                  </w:r>
                </w:p>
              </w:tc>
            </w:tr>
            <w:tr w14:paraId="0DCA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vAlign w:val="top"/>
                </w:tcPr>
                <w:p w14:paraId="7D7CFE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993005" cy="2634615"/>
                        <wp:effectExtent l="0" t="0" r="1714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993005" cy="2634615"/>
                                </a:xfrm>
                                <a:prstGeom prst="rect">
                                  <a:avLst/>
                                </a:prstGeom>
                                <a:noFill/>
                                <a:ln>
                                  <a:noFill/>
                                </a:ln>
                              </pic:spPr>
                            </pic:pic>
                          </a:graphicData>
                        </a:graphic>
                      </wp:inline>
                    </w:drawing>
                  </w:r>
                </w:p>
              </w:tc>
            </w:tr>
          </w:tbl>
          <w:p w14:paraId="7C0DF401">
            <w:pPr>
              <w:ind w:firstLine="211" w:firstLineChars="100"/>
              <w:jc w:val="center"/>
              <w:rPr>
                <w:rFonts w:hint="default" w:ascii="Times New Roman" w:hAnsi="Times New Roman" w:eastAsia="宋体" w:cs="Times New Roman"/>
                <w:b/>
                <w:bCs w:val="0"/>
                <w:color w:val="000000" w:themeColor="text1"/>
                <w:sz w:val="21"/>
                <w:lang w:val="en-US" w:eastAsia="zh-CN"/>
                <w14:textFill>
                  <w14:solidFill>
                    <w14:schemeClr w14:val="tx1"/>
                  </w14:solidFill>
                </w14:textFill>
              </w:rPr>
            </w:pPr>
            <w:r>
              <w:rPr>
                <w:rFonts w:hint="default" w:ascii="Times New Roman" w:hAnsi="Times New Roman" w:cs="Times New Roman"/>
                <w:b/>
                <w:bCs w:val="0"/>
                <w:color w:val="000000" w:themeColor="text1"/>
                <w:sz w:val="21"/>
                <w14:textFill>
                  <w14:solidFill>
                    <w14:schemeClr w14:val="tx1"/>
                  </w14:solidFill>
                </w14:textFill>
              </w:rPr>
              <w:t>图3-2  项目区</w:t>
            </w:r>
            <w:r>
              <w:rPr>
                <w:rFonts w:hint="default" w:ascii="Times New Roman" w:hAnsi="Times New Roman" w:cs="Times New Roman"/>
                <w:b/>
                <w:bCs w:val="0"/>
                <w:color w:val="000000" w:themeColor="text1"/>
                <w:sz w:val="21"/>
                <w:lang w:val="en-US" w:eastAsia="zh-CN"/>
                <w14:textFill>
                  <w14:solidFill>
                    <w14:schemeClr w14:val="tx1"/>
                  </w14:solidFill>
                </w14:textFill>
              </w:rPr>
              <w:t>不稳定边坡</w:t>
            </w:r>
          </w:p>
          <w:p w14:paraId="713512F7">
            <w:pPr>
              <w:keepNext w:val="0"/>
              <w:keepLines w:val="0"/>
              <w:pageBreakBefore w:val="0"/>
              <w:widowControl/>
              <w:kinsoku/>
              <w:wordWrap/>
              <w:overflowPunct/>
              <w:topLinePunct w:val="0"/>
              <w:autoSpaceDE/>
              <w:autoSpaceDN/>
              <w:bidi w:val="0"/>
              <w:adjustRightInd w:val="0"/>
              <w:snapToGrid w:val="0"/>
              <w:ind w:left="0" w:leftChars="0" w:firstLine="482" w:firstLineChars="200"/>
              <w:jc w:val="left"/>
              <w:textAlignment w:val="auto"/>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b/>
                <w:bCs/>
                <w:color w:val="000000" w:themeColor="text1"/>
                <w:kern w:val="0"/>
                <w:lang w:val="en-US" w:eastAsia="zh-CN" w:bidi="ar"/>
                <w14:textFill>
                  <w14:solidFill>
                    <w14:schemeClr w14:val="tx1"/>
                  </w14:solidFill>
                </w14:textFill>
              </w:rPr>
              <w:t>2</w:t>
            </w:r>
            <w:r>
              <w:rPr>
                <w:rFonts w:hint="default" w:ascii="Times New Roman" w:hAnsi="Times New Roman" w:cs="Times New Roman"/>
                <w:b/>
                <w:bCs/>
                <w:color w:val="000000" w:themeColor="text1"/>
                <w:kern w:val="0"/>
                <w:lang w:bidi="ar"/>
                <w14:textFill>
                  <w14:solidFill>
                    <w14:schemeClr w14:val="tx1"/>
                  </w14:solidFill>
                </w14:textFill>
              </w:rPr>
              <w:t>、矿山生态破坏</w:t>
            </w:r>
          </w:p>
          <w:p w14:paraId="1C258518">
            <w:pPr>
              <w:keepNext w:val="0"/>
              <w:keepLines w:val="0"/>
              <w:pageBreakBefore w:val="0"/>
              <w:widowControl/>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1）土地与植被占压与破坏</w:t>
            </w:r>
          </w:p>
          <w:p w14:paraId="666FAAD4">
            <w:pPr>
              <w:keepNext w:val="0"/>
              <w:keepLines w:val="0"/>
              <w:pageBreakBefore w:val="0"/>
              <w:widowControl/>
              <w:kinsoku/>
              <w:wordWrap/>
              <w:overflowPunct/>
              <w:topLinePunct w:val="0"/>
              <w:autoSpaceDE/>
              <w:autoSpaceDN/>
              <w:bidi w:val="0"/>
              <w:adjustRightInd w:val="0"/>
              <w:snapToGrid w:val="0"/>
              <w:ind w:left="0" w:leftChars="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矿区经过多年开采，形成高陡边坡。矿山范围内由于多年开采，露天采坑范围内土地</w:t>
            </w:r>
            <w:r>
              <w:rPr>
                <w:rFonts w:hint="default" w:ascii="Times New Roman" w:hAnsi="Times New Roman" w:cs="Times New Roman"/>
                <w:color w:val="000000" w:themeColor="text1"/>
                <w:kern w:val="0"/>
                <w:lang w:val="en-US" w:eastAsia="zh-CN" w:bidi="ar"/>
                <w14:textFill>
                  <w14:solidFill>
                    <w14:schemeClr w14:val="tx1"/>
                  </w14:solidFill>
                </w14:textFill>
              </w:rPr>
              <w:t>主要以挖损为主</w:t>
            </w:r>
            <w:r>
              <w:rPr>
                <w:rFonts w:hint="default" w:ascii="Times New Roman" w:hAnsi="Times New Roman" w:cs="Times New Roman"/>
                <w:color w:val="000000" w:themeColor="text1"/>
                <w:kern w:val="0"/>
                <w:lang w:bidi="ar"/>
                <w14:textFill>
                  <w14:solidFill>
                    <w14:schemeClr w14:val="tx1"/>
                  </w14:solidFill>
                </w14:textFill>
              </w:rPr>
              <w:t>，废石堆场等区域土地资源破坏以压占为主。植被的破坏主要来自露天采场、堆土场、矿山道路等建设活动，对地表植被造成大面积的破坏，使该区域内地表大部分植被消失。</w:t>
            </w:r>
          </w:p>
          <w:p w14:paraId="0D4C3014">
            <w:pPr>
              <w:widowControl/>
              <w:ind w:firstLine="240" w:firstLineChars="1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3）水土流失</w:t>
            </w:r>
          </w:p>
          <w:p w14:paraId="5ABD7152">
            <w:pPr>
              <w:widowControl/>
              <w:ind w:firstLine="480" w:firstLineChars="200"/>
              <w:jc w:val="left"/>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矿区及周边水土流失类型以降雨和地表径流冲刷引起的水力侵蚀为主，主要形式为坡面面蚀。因矿业活动改变了地表形态形成新的人造地形地貌、露天开采破坏了植被加剧水土流失、弃土废石的露天堆放极易受冲刷产生更严重的水土流失。</w:t>
            </w:r>
          </w:p>
        </w:tc>
      </w:tr>
      <w:tr w14:paraId="6659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8" w:hRule="atLeast"/>
        </w:trPr>
        <w:tc>
          <w:tcPr>
            <w:tcW w:w="456" w:type="dxa"/>
            <w:vAlign w:val="center"/>
          </w:tcPr>
          <w:p w14:paraId="184D260B">
            <w:pPr>
              <w:adjustRightInd w:val="0"/>
              <w:snapToGrid w:val="0"/>
              <w:spacing w:line="240" w:lineRule="auto"/>
              <w:ind w:firstLine="0" w:firstLineChars="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生态环境保护目标</w:t>
            </w:r>
          </w:p>
        </w:tc>
        <w:tc>
          <w:tcPr>
            <w:tcW w:w="7977" w:type="dxa"/>
            <w:vAlign w:val="center"/>
          </w:tcPr>
          <w:p w14:paraId="62B92F90">
            <w:pPr>
              <w:widowControl/>
              <w:ind w:firstLine="480"/>
              <w:jc w:val="left"/>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根据《建设项目环境影响报告表编制技术指南（生态影响类）（试行）》， 按照环境影响评价相关技术导则要求确定评价范围并识别环境保护目标。</w:t>
            </w:r>
          </w:p>
          <w:p w14:paraId="756290A9">
            <w:pPr>
              <w:widowControl/>
              <w:ind w:firstLine="480"/>
              <w:jc w:val="left"/>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1、大气环境保护目标</w:t>
            </w:r>
          </w:p>
          <w:p w14:paraId="6F20BBED">
            <w:pPr>
              <w:ind w:firstLine="480" w:firstLineChars="200"/>
              <w:outlineLvl w:val="9"/>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根据《环境影响评价技术导则大气环境》（HJ2.2-2018）规定，</w:t>
            </w:r>
            <w:r>
              <w:rPr>
                <w:rFonts w:hint="default" w:ascii="Times New Roman" w:hAnsi="Times New Roman" w:cs="Times New Roman"/>
                <w:color w:val="000000" w:themeColor="text1"/>
                <w:szCs w:val="22"/>
                <w14:textFill>
                  <w14:solidFill>
                    <w14:schemeClr w14:val="tx1"/>
                  </w14:solidFill>
                </w14:textFill>
              </w:rPr>
              <w:t>项目生态修复区场界外500米范围内</w:t>
            </w:r>
            <w:r>
              <w:rPr>
                <w:rFonts w:hint="default" w:ascii="Times New Roman" w:hAnsi="Times New Roman" w:cs="Times New Roman"/>
                <w:color w:val="000000" w:themeColor="text1"/>
                <w:szCs w:val="22"/>
                <w:lang w:val="en-US" w:eastAsia="zh-CN"/>
                <w14:textFill>
                  <w14:solidFill>
                    <w14:schemeClr w14:val="tx1"/>
                  </w14:solidFill>
                </w14:textFill>
              </w:rPr>
              <w:t>无</w:t>
            </w:r>
            <w:r>
              <w:rPr>
                <w:rFonts w:hint="default" w:ascii="Times New Roman" w:hAnsi="Times New Roman" w:cs="Times New Roman"/>
                <w:color w:val="000000" w:themeColor="text1"/>
                <w:szCs w:val="22"/>
                <w14:textFill>
                  <w14:solidFill>
                    <w14:schemeClr w14:val="tx1"/>
                  </w14:solidFill>
                </w14:textFill>
              </w:rPr>
              <w:t>大气环境保护目标</w:t>
            </w:r>
            <w:r>
              <w:rPr>
                <w:rFonts w:hint="default" w:ascii="Times New Roman" w:hAnsi="Times New Roman" w:cs="Times New Roman"/>
                <w:color w:val="000000" w:themeColor="text1"/>
                <w:szCs w:val="22"/>
                <w:lang w:val="en-US" w:eastAsia="zh-CN"/>
                <w14:textFill>
                  <w14:solidFill>
                    <w14:schemeClr w14:val="tx1"/>
                  </w14:solidFill>
                </w14:textFill>
              </w:rPr>
              <w:t>分布</w:t>
            </w:r>
            <w:r>
              <w:rPr>
                <w:rFonts w:hint="default" w:ascii="Times New Roman" w:hAnsi="Times New Roman" w:cs="Times New Roman"/>
                <w:color w:val="000000" w:themeColor="text1"/>
                <w:szCs w:val="22"/>
                <w14:textFill>
                  <w14:solidFill>
                    <w14:schemeClr w14:val="tx1"/>
                  </w14:solidFill>
                </w14:textFill>
              </w:rPr>
              <w:t>。</w:t>
            </w:r>
          </w:p>
          <w:p w14:paraId="2D31AAF6">
            <w:pPr>
              <w:widowControl/>
              <w:ind w:firstLine="480"/>
              <w:jc w:val="left"/>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2、声环境保护目标</w:t>
            </w:r>
          </w:p>
          <w:p w14:paraId="789F3DAF">
            <w:pPr>
              <w:ind w:firstLine="480" w:firstLineChars="200"/>
              <w:outlineLvl w:val="9"/>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项目噪声主要为矿坑生态修复施工设备噪声，项目位于2类声环境功能区，故项目声环境评价工作等级为二级，根据《环境影响评价技术导则 声环境》（HJ2.4-2021），确定本项目声环境评价范围为</w:t>
            </w:r>
            <w:r>
              <w:rPr>
                <w:rFonts w:hint="default" w:ascii="Times New Roman" w:hAnsi="Times New Roman" w:cs="Times New Roman"/>
                <w:color w:val="000000" w:themeColor="text1"/>
                <w:kern w:val="0"/>
                <w:lang w:val="en-US" w:eastAsia="zh-CN" w:bidi="ar"/>
                <w14:textFill>
                  <w14:solidFill>
                    <w14:schemeClr w14:val="tx1"/>
                  </w14:solidFill>
                </w14:textFill>
              </w:rPr>
              <w:t>50</w:t>
            </w:r>
            <w:r>
              <w:rPr>
                <w:rFonts w:hint="default" w:ascii="Times New Roman" w:hAnsi="Times New Roman" w:cs="Times New Roman"/>
                <w:color w:val="000000" w:themeColor="text1"/>
                <w:kern w:val="0"/>
                <w:lang w:bidi="ar"/>
                <w14:textFill>
                  <w14:solidFill>
                    <w14:schemeClr w14:val="tx1"/>
                  </w14:solidFill>
                </w14:textFill>
              </w:rPr>
              <w:t>m。</w:t>
            </w:r>
            <w:r>
              <w:rPr>
                <w:rFonts w:hint="default" w:ascii="Times New Roman" w:hAnsi="Times New Roman" w:cs="Times New Roman"/>
                <w:color w:val="000000" w:themeColor="text1"/>
                <w:szCs w:val="22"/>
                <w14:textFill>
                  <w14:solidFill>
                    <w14:schemeClr w14:val="tx1"/>
                  </w14:solidFill>
                </w14:textFill>
              </w:rPr>
              <w:t>项目</w:t>
            </w:r>
            <w:r>
              <w:rPr>
                <w:rFonts w:hint="default" w:ascii="Times New Roman" w:hAnsi="Times New Roman" w:cs="Times New Roman"/>
                <w:color w:val="000000" w:themeColor="text1"/>
                <w:szCs w:val="22"/>
                <w:lang w:val="en-US" w:eastAsia="zh-CN"/>
                <w14:textFill>
                  <w14:solidFill>
                    <w14:schemeClr w14:val="tx1"/>
                  </w14:solidFill>
                </w14:textFill>
              </w:rPr>
              <w:t>修复区</w:t>
            </w:r>
            <w:r>
              <w:rPr>
                <w:rFonts w:hint="default" w:ascii="Times New Roman" w:hAnsi="Times New Roman" w:cs="Times New Roman"/>
                <w:color w:val="000000" w:themeColor="text1"/>
                <w:szCs w:val="22"/>
                <w14:textFill>
                  <w14:solidFill>
                    <w14:schemeClr w14:val="tx1"/>
                  </w14:solidFill>
                </w14:textFill>
              </w:rPr>
              <w:t>外延50m范围内的</w:t>
            </w:r>
            <w:r>
              <w:rPr>
                <w:rFonts w:hint="default" w:ascii="Times New Roman" w:hAnsi="Times New Roman" w:cs="Times New Roman"/>
                <w:color w:val="000000" w:themeColor="text1"/>
                <w:szCs w:val="22"/>
                <w:lang w:val="en-US" w:eastAsia="zh-CN"/>
                <w14:textFill>
                  <w14:solidFill>
                    <w14:schemeClr w14:val="tx1"/>
                  </w14:solidFill>
                </w14:textFill>
              </w:rPr>
              <w:t>无</w:t>
            </w:r>
            <w:r>
              <w:rPr>
                <w:rFonts w:hint="default" w:ascii="Times New Roman" w:hAnsi="Times New Roman" w:cs="Times New Roman"/>
                <w:color w:val="000000" w:themeColor="text1"/>
                <w:szCs w:val="22"/>
                <w14:textFill>
                  <w14:solidFill>
                    <w14:schemeClr w14:val="tx1"/>
                  </w14:solidFill>
                </w14:textFill>
              </w:rPr>
              <w:t>声环境保护目标</w:t>
            </w:r>
            <w:r>
              <w:rPr>
                <w:rFonts w:hint="default" w:ascii="Times New Roman" w:hAnsi="Times New Roman" w:cs="Times New Roman"/>
                <w:color w:val="000000" w:themeColor="text1"/>
                <w:szCs w:val="22"/>
                <w:lang w:val="en-US" w:eastAsia="zh-CN"/>
                <w14:textFill>
                  <w14:solidFill>
                    <w14:schemeClr w14:val="tx1"/>
                  </w14:solidFill>
                </w14:textFill>
              </w:rPr>
              <w:t>分布</w:t>
            </w:r>
            <w:r>
              <w:rPr>
                <w:rFonts w:hint="default" w:ascii="Times New Roman" w:hAnsi="Times New Roman" w:cs="Times New Roman"/>
                <w:color w:val="000000" w:themeColor="text1"/>
                <w:szCs w:val="22"/>
                <w14:textFill>
                  <w14:solidFill>
                    <w14:schemeClr w14:val="tx1"/>
                  </w14:solidFill>
                </w14:textFill>
              </w:rPr>
              <w:t>。</w:t>
            </w:r>
          </w:p>
          <w:p w14:paraId="551A4E1D">
            <w:pPr>
              <w:widowControl/>
              <w:ind w:firstLine="480"/>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b/>
                <w:bCs/>
                <w:color w:val="000000" w:themeColor="text1"/>
                <w:kern w:val="0"/>
                <w:lang w:bidi="ar"/>
                <w14:textFill>
                  <w14:solidFill>
                    <w14:schemeClr w14:val="tx1"/>
                  </w14:solidFill>
                </w14:textFill>
              </w:rPr>
              <w:t>3、生态环境保护目标</w:t>
            </w:r>
          </w:p>
          <w:p w14:paraId="31C12153">
            <w:pPr>
              <w:widowControl/>
              <w:ind w:firstLine="48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本项目为废弃矿坑生态修复项目，项目占地面积</w:t>
            </w:r>
            <w:r>
              <w:rPr>
                <w:rFonts w:hint="default" w:ascii="Times New Roman" w:hAnsi="Times New Roman" w:cs="Times New Roman"/>
                <w:color w:val="000000" w:themeColor="text1"/>
                <w:kern w:val="0"/>
                <w:lang w:val="en-US" w:eastAsia="zh-CN" w:bidi="ar"/>
                <w14:textFill>
                  <w14:solidFill>
                    <w14:schemeClr w14:val="tx1"/>
                  </w14:solidFill>
                </w14:textFill>
              </w:rPr>
              <w:t>63132</w:t>
            </w:r>
            <w:r>
              <w:rPr>
                <w:rFonts w:hint="default" w:ascii="Times New Roman" w:hAnsi="Times New Roman" w:cs="Times New Roman"/>
                <w:color w:val="000000" w:themeColor="text1"/>
                <w:kern w:val="0"/>
                <w:lang w:bidi="ar"/>
                <w14:textFill>
                  <w14:solidFill>
                    <w14:schemeClr w14:val="tx1"/>
                  </w14:solidFill>
                </w14:textFill>
              </w:rPr>
              <w:t>m</w:t>
            </w:r>
            <w:r>
              <w:rPr>
                <w:rFonts w:hint="default" w:ascii="Times New Roman" w:hAnsi="Times New Roman" w:cs="Times New Roman"/>
                <w:color w:val="000000" w:themeColor="text1"/>
                <w:kern w:val="0"/>
                <w:vertAlign w:val="superscript"/>
                <w:lang w:bidi="ar"/>
                <w14:textFill>
                  <w14:solidFill>
                    <w14:schemeClr w14:val="tx1"/>
                  </w14:solidFill>
                </w14:textFill>
              </w:rPr>
              <w:t>2</w:t>
            </w:r>
            <w:r>
              <w:rPr>
                <w:rFonts w:hint="default" w:ascii="Times New Roman" w:hAnsi="Times New Roman" w:cs="Times New Roman"/>
                <w:color w:val="000000" w:themeColor="text1"/>
                <w:kern w:val="0"/>
                <w:lang w:bidi="ar"/>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项目修复范围</w:t>
            </w:r>
            <w:r>
              <w:rPr>
                <w:rFonts w:hint="default" w:ascii="Times New Roman" w:hAnsi="Times New Roman" w:cs="Times New Roman"/>
                <w:color w:val="000000" w:themeColor="text1"/>
                <w:highlight w:val="none"/>
                <w:lang w:val="en-US" w:eastAsia="zh-CN"/>
                <w14:textFill>
                  <w14:solidFill>
                    <w14:schemeClr w14:val="tx1"/>
                  </w14:solidFill>
                </w14:textFill>
              </w:rPr>
              <w:t>内占地类型为</w:t>
            </w:r>
            <w:r>
              <w:rPr>
                <w:rFonts w:hint="default" w:ascii="Times New Roman" w:hAnsi="Times New Roman" w:cs="Times New Roman"/>
                <w:color w:val="000000" w:themeColor="text1"/>
                <w:highlight w:val="none"/>
                <w14:textFill>
                  <w14:solidFill>
                    <w14:schemeClr w14:val="tx1"/>
                  </w14:solidFill>
                </w14:textFill>
              </w:rPr>
              <w:t>采矿用地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项目修复范围均在矿山开采遗留用地内进行修复，未新增占地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项目修复区</w:t>
            </w:r>
            <w:r>
              <w:rPr>
                <w:rFonts w:hint="default" w:ascii="Times New Roman" w:hAnsi="Times New Roman" w:cs="Times New Roman"/>
                <w:color w:val="000000" w:themeColor="text1"/>
                <w:highlight w:val="none"/>
                <w14:textFill>
                  <w14:solidFill>
                    <w14:schemeClr w14:val="tx1"/>
                  </w14:solidFill>
                </w14:textFill>
              </w:rPr>
              <w:t>复垦方向初步是林地</w:t>
            </w:r>
            <w:r>
              <w:rPr>
                <w:rFonts w:hint="default" w:ascii="Times New Roman" w:hAnsi="Times New Roman" w:cs="Times New Roman"/>
                <w:color w:val="000000" w:themeColor="text1"/>
                <w:highlight w:val="none"/>
                <w:lang w:val="en-US" w:eastAsia="zh-CN"/>
                <w14:textFill>
                  <w14:solidFill>
                    <w14:schemeClr w14:val="tx1"/>
                  </w14:solidFill>
                </w14:textFill>
              </w:rPr>
              <w:t>和</w:t>
            </w:r>
            <w:r>
              <w:rPr>
                <w:rFonts w:hint="default" w:ascii="Times New Roman" w:hAnsi="Times New Roman" w:cs="Times New Roman"/>
                <w:color w:val="000000" w:themeColor="text1"/>
                <w:highlight w:val="none"/>
                <w14:textFill>
                  <w14:solidFill>
                    <w14:schemeClr w14:val="tx1"/>
                  </w14:solidFill>
                </w14:textFill>
              </w:rPr>
              <w:t>，具体复垦方向后期按评审过的生态修复方案为主。</w:t>
            </w:r>
          </w:p>
          <w:p w14:paraId="7C53B209">
            <w:pPr>
              <w:widowControl/>
              <w:ind w:firstLine="480"/>
              <w:jc w:val="left"/>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default" w:ascii="Times New Roman" w:hAnsi="Times New Roman" w:cs="Times New Roman"/>
                <w:color w:val="000000" w:themeColor="text1"/>
                <w:kern w:val="0"/>
                <w:lang w:val="en-US" w:eastAsia="zh-CN" w:bidi="ar"/>
                <w14:textFill>
                  <w14:solidFill>
                    <w14:schemeClr w14:val="tx1"/>
                  </w14:solidFill>
                </w14:textFill>
              </w:rPr>
              <w:t>根据《建设项目环境影响报告表编制技术指南（生态影响类）》（试行），按照环境影响评价相关技术导则要求确定评价范围并识别环境保护目标。根据《环境影响评价技术导则 生态影响》（HJ19-2022）6.2规定，本项目生态环境保护目标为项目占地范围内及修复范围线外延300m范围内的动植物。</w:t>
            </w:r>
          </w:p>
          <w:p w14:paraId="6D00BCAC">
            <w:pPr>
              <w:widowControl/>
              <w:ind w:firstLine="48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4、地下水环境保护目标</w:t>
            </w:r>
          </w:p>
          <w:p w14:paraId="5053166F">
            <w:pPr>
              <w:widowControl/>
              <w:ind w:firstLine="480"/>
              <w:jc w:val="left"/>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根据《环境影响评价技术导则 地下水环境》（HJ610-2016）评价等级划分依据，建设项目评价等级由项目类别和环境敏感程度共同判定：</w:t>
            </w:r>
          </w:p>
          <w:p w14:paraId="1E907538">
            <w:pPr>
              <w:widowControl/>
              <w:ind w:firstLine="480"/>
              <w:jc w:val="left"/>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①地下水环境影响评价项目类别：本项目为废弃矿坑生态修复项目，根据《环境影响评价技术导则 地下水环境》（HJ610-2016）附录 A“地下水环境影响评价行业分类表”，参照相近行业类别“污染场地治理修复工程”，属于Ⅲ类建设项目。</w:t>
            </w:r>
          </w:p>
          <w:p w14:paraId="26EDB778">
            <w:pPr>
              <w:ind w:firstLine="533"/>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②建设项目场地的地下水环境敏感程度：</w:t>
            </w:r>
            <w:r>
              <w:rPr>
                <w:rFonts w:hint="default" w:ascii="Times New Roman" w:hAnsi="Times New Roman" w:cs="Times New Roman"/>
                <w:color w:val="000000" w:themeColor="text1"/>
                <w:kern w:val="0"/>
                <w:lang w:val="en-US" w:eastAsia="zh-CN" w:bidi="ar"/>
                <w14:textFill>
                  <w14:solidFill>
                    <w14:schemeClr w14:val="tx1"/>
                  </w14:solidFill>
                </w14:textFill>
              </w:rPr>
              <w:t>根据现场</w:t>
            </w:r>
            <w:r>
              <w:rPr>
                <w:rFonts w:hint="default" w:ascii="Times New Roman" w:hAnsi="Times New Roman" w:cs="Times New Roman"/>
                <w:color w:val="000000" w:themeColor="text1"/>
                <w:kern w:val="0"/>
                <w:lang w:eastAsia="zh-CN" w:bidi="ar"/>
                <w14:textFill>
                  <w14:solidFill>
                    <w14:schemeClr w14:val="tx1"/>
                  </w14:solidFill>
                </w14:textFill>
              </w:rPr>
              <w:t>调查，</w:t>
            </w:r>
            <w:r>
              <w:rPr>
                <w:rFonts w:hint="default" w:ascii="Times New Roman" w:hAnsi="Times New Roman" w:cs="Times New Roman"/>
                <w:color w:val="000000" w:themeColor="text1"/>
                <w:kern w:val="0"/>
                <w:lang w:val="en-US" w:eastAsia="zh-CN" w:bidi="ar"/>
                <w14:textFill>
                  <w14:solidFill>
                    <w14:schemeClr w14:val="tx1"/>
                  </w14:solidFill>
                </w14:textFill>
              </w:rPr>
              <w:t>水文地质调查报告以及</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《昆明市寻甸县塘子街道石板河水库饮用水水源保护区划分方案（报批稿）》（2019年12月）</w:t>
            </w:r>
            <w:r>
              <w:rPr>
                <w:rFonts w:hint="default" w:ascii="Times New Roman" w:hAnsi="Times New Roman" w:cs="Times New Roman"/>
                <w:color w:val="000000" w:themeColor="text1"/>
                <w:kern w:val="0"/>
                <w:lang w:eastAsia="zh-CN" w:bidi="ar"/>
                <w14:textFill>
                  <w14:solidFill>
                    <w14:schemeClr w14:val="tx1"/>
                  </w14:solidFill>
                </w14:textFill>
              </w:rPr>
              <w:t>，项目</w:t>
            </w:r>
            <w:r>
              <w:rPr>
                <w:rFonts w:hint="default" w:ascii="Times New Roman" w:hAnsi="Times New Roman" w:cs="Times New Roman"/>
                <w:color w:val="000000" w:themeColor="text1"/>
                <w:kern w:val="0"/>
                <w:lang w:val="en-US" w:eastAsia="zh-CN" w:bidi="ar"/>
                <w14:textFill>
                  <w14:solidFill>
                    <w14:schemeClr w14:val="tx1"/>
                  </w14:solidFill>
                </w14:textFill>
              </w:rPr>
              <w:t>地下水评价范围内</w:t>
            </w:r>
            <w:r>
              <w:rPr>
                <w:rFonts w:hint="default" w:ascii="Times New Roman" w:hAnsi="Times New Roman" w:cs="Times New Roman"/>
                <w:color w:val="000000" w:themeColor="text1"/>
                <w:kern w:val="0"/>
                <w:lang w:eastAsia="zh-CN" w:bidi="ar"/>
                <w14:textFill>
                  <w14:solidFill>
                    <w14:schemeClr w14:val="tx1"/>
                  </w14:solidFill>
                </w14:textFill>
              </w:rPr>
              <w:t>涉及</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石板河水库饮用水水源</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二级</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保护区</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，以及</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下游八角洞村2口民用水井MJ1、MJ2，龙潭村建设1口民用水井MJ3，</w:t>
            </w:r>
            <w:r>
              <w:rPr>
                <w:rFonts w:hint="default" w:ascii="Times New Roman" w:hAnsi="Times New Roman" w:cs="Times New Roman"/>
                <w:color w:val="000000" w:themeColor="text1"/>
                <w:highlight w:val="none"/>
                <w:lang w:val="en-US" w:eastAsia="zh-CN"/>
                <w14:textFill>
                  <w14:solidFill>
                    <w14:schemeClr w14:val="tx1"/>
                  </w14:solidFill>
                </w14:textFill>
              </w:rPr>
              <w:t>以及龙潭村的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Q1泉点</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Q1泉点及M</w:t>
            </w:r>
            <w:r>
              <w:rPr>
                <w:rFonts w:hint="default" w:ascii="Times New Roman" w:hAnsi="Times New Roman" w:eastAsia="宋体" w:cs="Times New Roman"/>
                <w:color w:val="000000" w:themeColor="text1"/>
                <w:szCs w:val="21"/>
                <w:highlight w:val="none"/>
                <w14:textFill>
                  <w14:solidFill>
                    <w14:schemeClr w14:val="tx1"/>
                  </w14:solidFill>
                </w14:textFill>
              </w:rPr>
              <w:t>J</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MJ3</w:t>
            </w:r>
            <w:r>
              <w:rPr>
                <w:rFonts w:hint="default" w:ascii="Times New Roman" w:hAnsi="Times New Roman" w:eastAsia="宋体" w:cs="Times New Roman"/>
                <w:color w:val="000000" w:themeColor="text1"/>
                <w:szCs w:val="21"/>
                <w:highlight w:val="none"/>
                <w14:textFill>
                  <w14:solidFill>
                    <w14:schemeClr w14:val="tx1"/>
                  </w14:solidFill>
                </w14:textFill>
              </w:rPr>
              <w:t>水井</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具有饮用水功能，均不在当地集中式饮用水保护区及村镇饮用水水源点保护区范围内</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kern w:val="0"/>
                <w:lang w:bidi="ar"/>
                <w14:textFill>
                  <w14:solidFill>
                    <w14:schemeClr w14:val="tx1"/>
                  </w14:solidFill>
                </w14:textFill>
              </w:rPr>
              <w:t>因此地下水环境敏感程度为“敏感”。</w:t>
            </w:r>
          </w:p>
          <w:p w14:paraId="08A42D12">
            <w:pPr>
              <w:widowControl/>
              <w:ind w:firstLine="480"/>
              <w:jc w:val="left"/>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对照《环境影响评价技术导则 地下水环境》（HJ610-2016）建设项目评价工作等级分级表可知，本项目地下水评价工作等级为</w:t>
            </w:r>
            <w:r>
              <w:rPr>
                <w:rFonts w:hint="default" w:ascii="Times New Roman" w:hAnsi="Times New Roman" w:cs="Times New Roman"/>
                <w:color w:val="000000" w:themeColor="text1"/>
                <w:kern w:val="0"/>
                <w:lang w:val="en-US" w:eastAsia="zh-CN" w:bidi="ar"/>
                <w14:textFill>
                  <w14:solidFill>
                    <w14:schemeClr w14:val="tx1"/>
                  </w14:solidFill>
                </w14:textFill>
              </w:rPr>
              <w:t>二级</w:t>
            </w:r>
            <w:r>
              <w:rPr>
                <w:rFonts w:hint="default" w:ascii="Times New Roman" w:hAnsi="Times New Roman" w:cs="Times New Roman"/>
                <w:color w:val="000000" w:themeColor="text1"/>
                <w:kern w:val="0"/>
                <w:lang w:bidi="ar"/>
                <w14:textFill>
                  <w14:solidFill>
                    <w14:schemeClr w14:val="tx1"/>
                  </w14:solidFill>
                </w14:textFill>
              </w:rPr>
              <w:t>。</w:t>
            </w:r>
          </w:p>
          <w:p w14:paraId="487C1A1C">
            <w:pPr>
              <w:widowControl/>
              <w:ind w:firstLine="480"/>
              <w:jc w:val="left"/>
              <w:rPr>
                <w:rFonts w:hint="default" w:ascii="Times New Roman" w:hAnsi="Times New Roman" w:eastAsia="宋体" w:cs="Times New Roman"/>
                <w:color w:val="000000" w:themeColor="text1"/>
                <w:kern w:val="0"/>
                <w:lang w:eastAsia="zh-CN"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根据《环境影响评价技术导则 地下水环境》（HJ610-2016）和项目区水文地质单元划分，结合项目区周边地下水开发利用情况，项目地下水环境保护目标主要为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石板河水库饮用水水源保护区</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八角洞村</w:t>
            </w:r>
            <w:r>
              <w:rPr>
                <w:rFonts w:hint="default" w:ascii="Times New Roman" w:hAnsi="Times New Roman" w:cs="Times New Roman"/>
                <w:color w:val="000000" w:themeColor="text1"/>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2口民用水井MJ1、MJ2，龙潭村</w:t>
            </w:r>
            <w:r>
              <w:rPr>
                <w:rFonts w:hint="default" w:ascii="Times New Roman" w:hAnsi="Times New Roman" w:cs="Times New Roman"/>
                <w:color w:val="000000" w:themeColor="text1"/>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1口民用水井MJ3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Q1泉点</w:t>
            </w:r>
            <w:r>
              <w:rPr>
                <w:rFonts w:hint="default" w:ascii="Times New Roman" w:hAnsi="Times New Roman" w:cs="Times New Roman"/>
                <w:color w:val="000000" w:themeColor="text1"/>
                <w:kern w:val="0"/>
                <w:lang w:bidi="ar"/>
                <w14:textFill>
                  <w14:solidFill>
                    <w14:schemeClr w14:val="tx1"/>
                  </w14:solidFill>
                </w14:textFill>
              </w:rPr>
              <w:t>以及项目评价范围内可能受建设项目影响且具有饮用水开发利用价值的</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下古生界志留系上统妙高组（S3m）</w:t>
            </w:r>
            <w:r>
              <w:rPr>
                <w:rFonts w:hint="default" w:ascii="Times New Roman" w:hAnsi="Times New Roman" w:cs="Times New Roman"/>
                <w:color w:val="000000" w:themeColor="text1"/>
                <w:kern w:val="0"/>
                <w:lang w:bidi="ar"/>
                <w14:textFill>
                  <w14:solidFill>
                    <w14:schemeClr w14:val="tx1"/>
                  </w14:solidFill>
                </w14:textFill>
              </w:rPr>
              <w:t>第四系松散岩类孔隙含水层、</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下古生界志留系上统妙高组（S3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g</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）碎屑岩与碳酸盐岩互层裂隙含水层</w:t>
            </w:r>
            <w:r>
              <w:rPr>
                <w:rFonts w:hint="default" w:ascii="Times New Roman" w:hAnsi="Times New Roman" w:cs="Times New Roman"/>
                <w:color w:val="000000" w:themeColor="text1"/>
                <w:kern w:val="0"/>
                <w:lang w:eastAsia="zh-CN" w:bidi="ar"/>
                <w14:textFill>
                  <w14:solidFill>
                    <w14:schemeClr w14:val="tx1"/>
                  </w14:solidFill>
                </w14:textFill>
              </w:rPr>
              <w:t>。</w:t>
            </w:r>
          </w:p>
          <w:p w14:paraId="4243B66C">
            <w:pPr>
              <w:keepNext w:val="0"/>
              <w:keepLines w:val="0"/>
              <w:pageBreakBefore w:val="0"/>
              <w:widowControl/>
              <w:kinsoku w:val="0"/>
              <w:wordWrap/>
              <w:overflowPunct/>
              <w:topLinePunct w:val="0"/>
              <w:autoSpaceDE w:val="0"/>
              <w:autoSpaceDN w:val="0"/>
              <w:bidi w:val="0"/>
              <w:adjustRightInd w:val="0"/>
              <w:snapToGrid w:val="0"/>
              <w:spacing w:before="158" w:beforeLines="50" w:line="240" w:lineRule="auto"/>
              <w:ind w:firstLine="0" w:firstLineChars="0"/>
              <w:jc w:val="center"/>
              <w:textAlignment w:val="baseline"/>
              <w:rPr>
                <w:rFonts w:hint="default" w:ascii="Times New Roman" w:hAnsi="Times New Roman" w:eastAsia="宋体" w:cs="Times New Roman"/>
                <w:b/>
                <w:bCs/>
                <w:snapToGrid w:val="0"/>
                <w:color w:val="000000" w:themeColor="text1"/>
                <w:spacing w:val="8"/>
                <w:ker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8"/>
                <w:kern w:val="0"/>
                <w:szCs w:val="21"/>
                <w:highlight w:val="none"/>
                <w14:textFill>
                  <w14:solidFill>
                    <w14:schemeClr w14:val="tx1"/>
                  </w14:solidFill>
                </w14:textFill>
              </w:rPr>
              <w:t>表</w:t>
            </w:r>
            <w:r>
              <w:rPr>
                <w:rFonts w:hint="default" w:ascii="Times New Roman" w:hAnsi="Times New Roman" w:eastAsia="宋体" w:cs="Times New Roman"/>
                <w:b/>
                <w:bCs/>
                <w:snapToGrid w:val="0"/>
                <w:color w:val="000000" w:themeColor="text1"/>
                <w:spacing w:val="8"/>
                <w:kern w:val="0"/>
                <w:szCs w:val="21"/>
                <w:highlight w:val="none"/>
                <w:lang w:val="en-US" w:eastAsia="zh-CN"/>
                <w14:textFill>
                  <w14:solidFill>
                    <w14:schemeClr w14:val="tx1"/>
                  </w14:solidFill>
                </w14:textFill>
              </w:rPr>
              <w:t>3-15</w:t>
            </w:r>
            <w:r>
              <w:rPr>
                <w:rFonts w:hint="default" w:ascii="Times New Roman" w:hAnsi="Times New Roman" w:eastAsia="宋体" w:cs="Times New Roman"/>
                <w:b/>
                <w:bCs/>
                <w:snapToGrid w:val="0"/>
                <w:color w:val="000000" w:themeColor="text1"/>
                <w:spacing w:val="8"/>
                <w:kern w:val="0"/>
                <w:szCs w:val="21"/>
                <w:highlight w:val="none"/>
                <w14:textFill>
                  <w14:solidFill>
                    <w14:schemeClr w14:val="tx1"/>
                  </w14:solidFill>
                </w14:textFill>
              </w:rPr>
              <w:t xml:space="preserve">  地下水敏感目标一览表</w:t>
            </w:r>
          </w:p>
          <w:tbl>
            <w:tblPr>
              <w:tblStyle w:val="40"/>
              <w:tblW w:w="4998"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3"/>
              <w:gridCol w:w="1335"/>
              <w:gridCol w:w="1099"/>
              <w:gridCol w:w="537"/>
              <w:gridCol w:w="808"/>
              <w:gridCol w:w="1036"/>
              <w:gridCol w:w="1005"/>
              <w:gridCol w:w="1051"/>
            </w:tblGrid>
            <w:tr w14:paraId="6BC6D14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270" w:hRule="atLeast"/>
                <w:jc w:val="center"/>
              </w:trPr>
              <w:tc>
                <w:tcPr>
                  <w:tcW w:w="563" w:type="pct"/>
                  <w:vMerge w:val="restart"/>
                  <w:noWrap w:val="0"/>
                  <w:vAlign w:val="center"/>
                </w:tcPr>
                <w:p w14:paraId="5572EAE2">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编号</w:t>
                  </w:r>
                </w:p>
              </w:tc>
              <w:tc>
                <w:tcPr>
                  <w:tcW w:w="1571" w:type="pct"/>
                  <w:gridSpan w:val="2"/>
                  <w:noWrap w:val="0"/>
                  <w:vAlign w:val="center"/>
                </w:tcPr>
                <w:p w14:paraId="3C014065">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坐标位置</w:t>
                  </w:r>
                </w:p>
              </w:tc>
              <w:tc>
                <w:tcPr>
                  <w:tcW w:w="346" w:type="pct"/>
                  <w:vMerge w:val="restart"/>
                  <w:noWrap w:val="0"/>
                  <w:vAlign w:val="center"/>
                </w:tcPr>
                <w:p w14:paraId="45676E4A">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井深</w:t>
                  </w:r>
                </w:p>
                <w:p w14:paraId="3ED64A53">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w:t>
                  </w:r>
                </w:p>
              </w:tc>
              <w:tc>
                <w:tcPr>
                  <w:tcW w:w="521" w:type="pct"/>
                  <w:vMerge w:val="restart"/>
                  <w:noWrap w:val="0"/>
                  <w:vAlign w:val="center"/>
                </w:tcPr>
                <w:p w14:paraId="08C67104">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地面高程（m）</w:t>
                  </w:r>
                </w:p>
              </w:tc>
              <w:tc>
                <w:tcPr>
                  <w:tcW w:w="668" w:type="pct"/>
                  <w:vMerge w:val="restart"/>
                  <w:noWrap w:val="0"/>
                  <w:vAlign w:val="center"/>
                </w:tcPr>
                <w:p w14:paraId="5178C084">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水位高程（m）</w:t>
                  </w:r>
                </w:p>
              </w:tc>
              <w:tc>
                <w:tcPr>
                  <w:tcW w:w="648" w:type="pct"/>
                  <w:vMerge w:val="restart"/>
                  <w:noWrap w:val="0"/>
                  <w:vAlign w:val="center"/>
                </w:tcPr>
                <w:p w14:paraId="74C1D3CA">
                  <w:pPr>
                    <w:pStyle w:val="96"/>
                    <w:framePr w:wrap="auto" w:vAnchor="margin" w:hAnchor="text" w:xAlign="left" w:yAlign="in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和本项目位置关系</w:t>
                  </w:r>
                </w:p>
              </w:tc>
              <w:tc>
                <w:tcPr>
                  <w:tcW w:w="678" w:type="pct"/>
                  <w:vMerge w:val="restart"/>
                  <w:shd w:val="clear" w:color="auto" w:fill="auto"/>
                  <w:noWrap w:val="0"/>
                  <w:vAlign w:val="center"/>
                </w:tcPr>
                <w:p w14:paraId="70CFEA9E">
                  <w:pPr>
                    <w:pStyle w:val="65"/>
                    <w:spacing w:line="240" w:lineRule="auto"/>
                    <w:ind w:left="0" w:leftChars="0" w:firstLine="0" w:firstLine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保护级别</w:t>
                  </w:r>
                </w:p>
              </w:tc>
            </w:tr>
            <w:tr w14:paraId="21029F5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63" w:type="pct"/>
                  <w:vMerge w:val="continue"/>
                  <w:noWrap w:val="0"/>
                  <w:vAlign w:val="center"/>
                </w:tcPr>
                <w:p w14:paraId="77070810">
                  <w:pPr>
                    <w:pStyle w:val="96"/>
                    <w:framePr w:wrap="auto" w:vAnchor="margin" w:hAnchor="text" w:xAlign="left" w:yAlign="inline"/>
                    <w:rPr>
                      <w:rFonts w:hint="default" w:ascii="Times New Roman" w:hAnsi="Times New Roman" w:cs="Times New Roman"/>
                      <w:b/>
                      <w:color w:val="000000" w:themeColor="text1"/>
                      <w:sz w:val="18"/>
                      <w:szCs w:val="18"/>
                      <w14:textFill>
                        <w14:solidFill>
                          <w14:schemeClr w14:val="tx1"/>
                        </w14:solidFill>
                      </w14:textFill>
                    </w:rPr>
                  </w:pPr>
                </w:p>
              </w:tc>
              <w:tc>
                <w:tcPr>
                  <w:tcW w:w="861" w:type="pct"/>
                  <w:noWrap w:val="0"/>
                  <w:vAlign w:val="center"/>
                </w:tcPr>
                <w:p w14:paraId="19EA54A1">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经度</w:t>
                  </w:r>
                </w:p>
                <w:p w14:paraId="296D8212">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（度分秒）</w:t>
                  </w:r>
                </w:p>
              </w:tc>
              <w:tc>
                <w:tcPr>
                  <w:tcW w:w="709" w:type="pct"/>
                  <w:noWrap w:val="0"/>
                  <w:vAlign w:val="center"/>
                </w:tcPr>
                <w:p w14:paraId="043338D6">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纬度</w:t>
                  </w:r>
                </w:p>
                <w:p w14:paraId="050010AB">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（度分秒）</w:t>
                  </w:r>
                </w:p>
              </w:tc>
              <w:tc>
                <w:tcPr>
                  <w:tcW w:w="346" w:type="pct"/>
                  <w:vMerge w:val="continue"/>
                  <w:noWrap w:val="0"/>
                  <w:vAlign w:val="center"/>
                </w:tcPr>
                <w:p w14:paraId="17B34AF8">
                  <w:pPr>
                    <w:pStyle w:val="96"/>
                    <w:framePr w:wrap="auto" w:vAnchor="margin" w:hAnchor="text" w:xAlign="left" w:yAlign="inline"/>
                    <w:rPr>
                      <w:rFonts w:hint="default" w:ascii="Times New Roman" w:hAnsi="Times New Roman" w:cs="Times New Roman"/>
                      <w:b/>
                      <w:color w:val="000000" w:themeColor="text1"/>
                      <w:sz w:val="18"/>
                      <w:szCs w:val="18"/>
                      <w14:textFill>
                        <w14:solidFill>
                          <w14:schemeClr w14:val="tx1"/>
                        </w14:solidFill>
                      </w14:textFill>
                    </w:rPr>
                  </w:pPr>
                </w:p>
              </w:tc>
              <w:tc>
                <w:tcPr>
                  <w:tcW w:w="521" w:type="pct"/>
                  <w:vMerge w:val="continue"/>
                  <w:noWrap w:val="0"/>
                  <w:vAlign w:val="center"/>
                </w:tcPr>
                <w:p w14:paraId="3969840C">
                  <w:pPr>
                    <w:pStyle w:val="96"/>
                    <w:framePr w:wrap="auto" w:vAnchor="margin" w:hAnchor="text" w:xAlign="left" w:yAlign="inline"/>
                    <w:rPr>
                      <w:rFonts w:hint="default" w:ascii="Times New Roman" w:hAnsi="Times New Roman" w:cs="Times New Roman"/>
                      <w:b/>
                      <w:color w:val="000000" w:themeColor="text1"/>
                      <w:sz w:val="18"/>
                      <w:szCs w:val="18"/>
                      <w14:textFill>
                        <w14:solidFill>
                          <w14:schemeClr w14:val="tx1"/>
                        </w14:solidFill>
                      </w14:textFill>
                    </w:rPr>
                  </w:pPr>
                </w:p>
              </w:tc>
              <w:tc>
                <w:tcPr>
                  <w:tcW w:w="668" w:type="pct"/>
                  <w:vMerge w:val="continue"/>
                  <w:noWrap w:val="0"/>
                  <w:vAlign w:val="center"/>
                </w:tcPr>
                <w:p w14:paraId="3032118E">
                  <w:pPr>
                    <w:pStyle w:val="96"/>
                    <w:framePr w:wrap="auto" w:vAnchor="margin" w:hAnchor="text" w:xAlign="left" w:yAlign="inline"/>
                    <w:rPr>
                      <w:rFonts w:hint="default" w:ascii="Times New Roman" w:hAnsi="Times New Roman" w:cs="Times New Roman"/>
                      <w:b/>
                      <w:color w:val="000000" w:themeColor="text1"/>
                      <w:sz w:val="18"/>
                      <w:szCs w:val="18"/>
                      <w14:textFill>
                        <w14:solidFill>
                          <w14:schemeClr w14:val="tx1"/>
                        </w14:solidFill>
                      </w14:textFill>
                    </w:rPr>
                  </w:pPr>
                </w:p>
              </w:tc>
              <w:tc>
                <w:tcPr>
                  <w:tcW w:w="648" w:type="pct"/>
                  <w:vMerge w:val="continue"/>
                  <w:noWrap w:val="0"/>
                  <w:vAlign w:val="center"/>
                </w:tcPr>
                <w:p w14:paraId="22C73E04">
                  <w:pPr>
                    <w:pStyle w:val="96"/>
                    <w:framePr w:wrap="auto" w:vAnchor="margin" w:hAnchor="text" w:xAlign="left" w:yAlign="inline"/>
                    <w:rPr>
                      <w:rFonts w:hint="default" w:ascii="Times New Roman" w:hAnsi="Times New Roman" w:cs="Times New Roman"/>
                      <w:b/>
                      <w:color w:val="000000" w:themeColor="text1"/>
                      <w:sz w:val="18"/>
                      <w:szCs w:val="18"/>
                      <w:highlight w:val="none"/>
                      <w14:textFill>
                        <w14:solidFill>
                          <w14:schemeClr w14:val="tx1"/>
                        </w14:solidFill>
                      </w14:textFill>
                    </w:rPr>
                  </w:pPr>
                </w:p>
              </w:tc>
              <w:tc>
                <w:tcPr>
                  <w:tcW w:w="678" w:type="pct"/>
                  <w:vMerge w:val="continue"/>
                  <w:noWrap w:val="0"/>
                  <w:vAlign w:val="center"/>
                </w:tcPr>
                <w:p w14:paraId="2C37473D">
                  <w:pPr>
                    <w:pStyle w:val="96"/>
                    <w:framePr w:wrap="auto" w:vAnchor="margin" w:hAnchor="text" w:xAlign="left" w:yAlign="inline"/>
                    <w:rPr>
                      <w:rFonts w:hint="default" w:ascii="Times New Roman" w:hAnsi="Times New Roman" w:cs="Times New Roman"/>
                      <w:b/>
                      <w:color w:val="000000" w:themeColor="text1"/>
                      <w:sz w:val="18"/>
                      <w:szCs w:val="18"/>
                      <w14:textFill>
                        <w14:solidFill>
                          <w14:schemeClr w14:val="tx1"/>
                        </w14:solidFill>
                      </w14:textFill>
                    </w:rPr>
                  </w:pPr>
                </w:p>
              </w:tc>
            </w:tr>
            <w:tr w14:paraId="7A91E11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63" w:type="pct"/>
                  <w:noWrap w:val="0"/>
                  <w:vAlign w:val="center"/>
                </w:tcPr>
                <w:p w14:paraId="7BFB4929">
                  <w:pPr>
                    <w:pStyle w:val="96"/>
                    <w:framePr w:wrap="auto" w:vAnchor="margin" w:hAnchor="text" w:xAlign="left" w:yAlign="inline"/>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kern w:val="0"/>
                      <w:sz w:val="18"/>
                      <w:szCs w:val="18"/>
                      <w:lang w:val="en-US" w:eastAsia="zh-CN" w:bidi="ar"/>
                      <w14:textFill>
                        <w14:solidFill>
                          <w14:schemeClr w14:val="tx1"/>
                        </w14:solidFill>
                      </w14:textFill>
                    </w:rPr>
                    <w:t>MJ1</w:t>
                  </w:r>
                </w:p>
              </w:tc>
              <w:tc>
                <w:tcPr>
                  <w:tcW w:w="861" w:type="pct"/>
                  <w:noWrap w:val="0"/>
                  <w:vAlign w:val="center"/>
                </w:tcPr>
                <w:p w14:paraId="46CDA9D8">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103°18'35.48"</w:t>
                  </w:r>
                </w:p>
              </w:tc>
              <w:tc>
                <w:tcPr>
                  <w:tcW w:w="709" w:type="pct"/>
                  <w:noWrap w:val="0"/>
                  <w:vAlign w:val="center"/>
                </w:tcPr>
                <w:p w14:paraId="3CB1A4F6">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25°23'36.72"</w:t>
                  </w:r>
                </w:p>
              </w:tc>
              <w:tc>
                <w:tcPr>
                  <w:tcW w:w="346" w:type="pct"/>
                  <w:noWrap w:val="0"/>
                  <w:vAlign w:val="center"/>
                </w:tcPr>
                <w:p w14:paraId="77D85BF6">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80</w:t>
                  </w:r>
                </w:p>
              </w:tc>
              <w:tc>
                <w:tcPr>
                  <w:tcW w:w="521" w:type="pct"/>
                  <w:noWrap w:val="0"/>
                  <w:vAlign w:val="center"/>
                </w:tcPr>
                <w:p w14:paraId="53A6C01B">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1960.20</w:t>
                  </w:r>
                </w:p>
              </w:tc>
              <w:tc>
                <w:tcPr>
                  <w:tcW w:w="668" w:type="pct"/>
                  <w:noWrap w:val="0"/>
                  <w:vAlign w:val="center"/>
                </w:tcPr>
                <w:p w14:paraId="619025B9">
                  <w:pPr>
                    <w:pStyle w:val="96"/>
                    <w:framePr w:wrap="auto" w:vAnchor="margin" w:hAnchor="text" w:xAlign="left" w:yAlign="inline"/>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1880.20</w:t>
                  </w:r>
                </w:p>
              </w:tc>
              <w:tc>
                <w:tcPr>
                  <w:tcW w:w="648" w:type="pct"/>
                  <w:shd w:val="clear" w:color="auto" w:fill="auto"/>
                  <w:noWrap w:val="0"/>
                  <w:vAlign w:val="center"/>
                </w:tcPr>
                <w:p w14:paraId="7E726EC8">
                  <w:pPr>
                    <w:pStyle w:val="106"/>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eastAsiaTheme="minorEastAsia"/>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项目</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18"/>
                      <w:szCs w:val="18"/>
                      <w14:textFill>
                        <w14:solidFill>
                          <w14:schemeClr w14:val="tx1"/>
                        </w14:solidFill>
                      </w14:textFill>
                    </w:rPr>
                    <w:t>侧</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1418m</w:t>
                  </w:r>
                </w:p>
              </w:tc>
              <w:tc>
                <w:tcPr>
                  <w:tcW w:w="678" w:type="pct"/>
                  <w:vMerge w:val="restart"/>
                  <w:noWrap w:val="0"/>
                  <w:vAlign w:val="center"/>
                </w:tcPr>
                <w:p w14:paraId="0E0A9F7F">
                  <w:pPr>
                    <w:pStyle w:val="96"/>
                    <w:framePr w:wrap="auto" w:vAnchor="margin" w:hAnchor="text" w:xAlign="left" w:yAlign="inline"/>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《地下水质量标准》（GB/T14848-2017）Ⅲ类标准</w:t>
                  </w:r>
                </w:p>
              </w:tc>
            </w:tr>
            <w:tr w14:paraId="3C02481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63" w:type="pct"/>
                  <w:noWrap w:val="0"/>
                  <w:vAlign w:val="center"/>
                </w:tcPr>
                <w:p w14:paraId="46C3B2CA">
                  <w:pPr>
                    <w:pStyle w:val="96"/>
                    <w:framePr w:wrap="auto" w:vAnchor="margin" w:hAnchor="text" w:xAlign="left" w:yAlign="inline"/>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kern w:val="0"/>
                      <w:sz w:val="18"/>
                      <w:szCs w:val="18"/>
                      <w:lang w:val="en-US" w:eastAsia="zh-CN" w:bidi="ar"/>
                      <w14:textFill>
                        <w14:solidFill>
                          <w14:schemeClr w14:val="tx1"/>
                        </w14:solidFill>
                      </w14:textFill>
                    </w:rPr>
                    <w:t>MJ2</w:t>
                  </w:r>
                </w:p>
              </w:tc>
              <w:tc>
                <w:tcPr>
                  <w:tcW w:w="861" w:type="pct"/>
                  <w:noWrap w:val="0"/>
                  <w:vAlign w:val="center"/>
                </w:tcPr>
                <w:p w14:paraId="0B624AD2">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103°18'39.77"</w:t>
                  </w:r>
                </w:p>
              </w:tc>
              <w:tc>
                <w:tcPr>
                  <w:tcW w:w="709" w:type="pct"/>
                  <w:noWrap w:val="0"/>
                  <w:vAlign w:val="center"/>
                </w:tcPr>
                <w:p w14:paraId="02F79B4D">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25°23'26.65"</w:t>
                  </w:r>
                </w:p>
              </w:tc>
              <w:tc>
                <w:tcPr>
                  <w:tcW w:w="346" w:type="pct"/>
                  <w:noWrap w:val="0"/>
                  <w:vAlign w:val="center"/>
                </w:tcPr>
                <w:p w14:paraId="6A47B41C">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70</w:t>
                  </w:r>
                </w:p>
              </w:tc>
              <w:tc>
                <w:tcPr>
                  <w:tcW w:w="521" w:type="pct"/>
                  <w:noWrap w:val="0"/>
                  <w:vAlign w:val="center"/>
                </w:tcPr>
                <w:p w14:paraId="5B6F5D68">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1959.21</w:t>
                  </w:r>
                </w:p>
              </w:tc>
              <w:tc>
                <w:tcPr>
                  <w:tcW w:w="668" w:type="pct"/>
                  <w:noWrap w:val="0"/>
                  <w:vAlign w:val="center"/>
                </w:tcPr>
                <w:p w14:paraId="3B1C54D7">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889</w:t>
                  </w:r>
                  <w:r>
                    <w:rPr>
                      <w:rFonts w:hint="default" w:ascii="Times New Roman" w:hAnsi="Times New Roman" w:eastAsia="宋体" w:cs="Times New Roman"/>
                      <w:color w:val="000000" w:themeColor="text1"/>
                      <w:lang w:val="en-US" w:eastAsia="zh-CN"/>
                      <w14:textFill>
                        <w14:solidFill>
                          <w14:schemeClr w14:val="tx1"/>
                        </w14:solidFill>
                      </w14:textFill>
                    </w:rPr>
                    <w:t>.21</w:t>
                  </w:r>
                </w:p>
              </w:tc>
              <w:tc>
                <w:tcPr>
                  <w:tcW w:w="648" w:type="pct"/>
                  <w:noWrap w:val="0"/>
                  <w:vAlign w:val="center"/>
                </w:tcPr>
                <w:p w14:paraId="3DD4CF2B">
                  <w:pPr>
                    <w:pStyle w:val="96"/>
                    <w:keepNext w:val="0"/>
                    <w:keepLines w:val="0"/>
                    <w:pageBreakBefore w:val="0"/>
                    <w:framePr w:wrap="auto" w:vAnchor="margin" w:hAnchor="text" w:xAlign="left" w:yAlign="inline"/>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项目</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18"/>
                      <w:szCs w:val="18"/>
                      <w14:textFill>
                        <w14:solidFill>
                          <w14:schemeClr w14:val="tx1"/>
                        </w14:solidFill>
                      </w14:textFill>
                    </w:rPr>
                    <w:t>侧</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1540m</w:t>
                  </w:r>
                </w:p>
              </w:tc>
              <w:tc>
                <w:tcPr>
                  <w:tcW w:w="678" w:type="pct"/>
                  <w:vMerge w:val="continue"/>
                  <w:noWrap w:val="0"/>
                  <w:vAlign w:val="center"/>
                </w:tcPr>
                <w:p w14:paraId="1E6C437A">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p>
              </w:tc>
            </w:tr>
            <w:tr w14:paraId="4CC2983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63" w:type="pct"/>
                  <w:noWrap w:val="0"/>
                  <w:vAlign w:val="center"/>
                </w:tcPr>
                <w:p w14:paraId="3F99C252">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kern w:val="0"/>
                      <w:sz w:val="18"/>
                      <w:szCs w:val="18"/>
                      <w:lang w:val="en-US" w:eastAsia="zh-CN" w:bidi="ar"/>
                      <w14:textFill>
                        <w14:solidFill>
                          <w14:schemeClr w14:val="tx1"/>
                        </w14:solidFill>
                      </w14:textFill>
                    </w:rPr>
                    <w:t>MJ3</w:t>
                  </w:r>
                </w:p>
              </w:tc>
              <w:tc>
                <w:tcPr>
                  <w:tcW w:w="861" w:type="pct"/>
                  <w:noWrap w:val="0"/>
                  <w:vAlign w:val="center"/>
                </w:tcPr>
                <w:p w14:paraId="61D6A43F">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103°19'10.68"</w:t>
                  </w:r>
                </w:p>
              </w:tc>
              <w:tc>
                <w:tcPr>
                  <w:tcW w:w="709" w:type="pct"/>
                  <w:noWrap w:val="0"/>
                  <w:vAlign w:val="center"/>
                </w:tcPr>
                <w:p w14:paraId="3A3B596A">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25°23'52.88"</w:t>
                  </w:r>
                </w:p>
              </w:tc>
              <w:tc>
                <w:tcPr>
                  <w:tcW w:w="346" w:type="pct"/>
                  <w:noWrap w:val="0"/>
                  <w:vAlign w:val="center"/>
                </w:tcPr>
                <w:p w14:paraId="1A1506FB">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110</w:t>
                  </w:r>
                </w:p>
              </w:tc>
              <w:tc>
                <w:tcPr>
                  <w:tcW w:w="521" w:type="pct"/>
                  <w:noWrap w:val="0"/>
                  <w:vAlign w:val="center"/>
                </w:tcPr>
                <w:p w14:paraId="341AB9ED">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1925.80</w:t>
                  </w:r>
                </w:p>
              </w:tc>
              <w:tc>
                <w:tcPr>
                  <w:tcW w:w="668" w:type="pct"/>
                  <w:noWrap w:val="0"/>
                  <w:vAlign w:val="center"/>
                </w:tcPr>
                <w:p w14:paraId="1272C02F">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181</w:t>
                  </w:r>
                  <w:r>
                    <w:rPr>
                      <w:rFonts w:hint="default" w:ascii="Times New Roman" w:hAnsi="Times New Roman" w:eastAsia="宋体" w:cs="Times New Roman"/>
                      <w:color w:val="000000" w:themeColor="text1"/>
                      <w:lang w:val="en-US" w:eastAsia="zh-CN"/>
                      <w14:textFill>
                        <w14:solidFill>
                          <w14:schemeClr w14:val="tx1"/>
                        </w14:solidFill>
                      </w14:textFill>
                    </w:rPr>
                    <w:t>5.80</w:t>
                  </w:r>
                </w:p>
              </w:tc>
              <w:tc>
                <w:tcPr>
                  <w:tcW w:w="648" w:type="pct"/>
                  <w:noWrap w:val="0"/>
                  <w:vAlign w:val="center"/>
                </w:tcPr>
                <w:p w14:paraId="474B55A8">
                  <w:pPr>
                    <w:pStyle w:val="96"/>
                    <w:keepNext w:val="0"/>
                    <w:keepLines w:val="0"/>
                    <w:pageBreakBefore w:val="0"/>
                    <w:framePr w:wrap="auto" w:vAnchor="margin" w:hAnchor="text" w:xAlign="left" w:yAlign="inline"/>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项目</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18"/>
                      <w:szCs w:val="18"/>
                      <w14:textFill>
                        <w14:solidFill>
                          <w14:schemeClr w14:val="tx1"/>
                        </w14:solidFill>
                      </w14:textFill>
                    </w:rPr>
                    <w:t>侧</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2438m</w:t>
                  </w:r>
                </w:p>
              </w:tc>
              <w:tc>
                <w:tcPr>
                  <w:tcW w:w="678" w:type="pct"/>
                  <w:vMerge w:val="continue"/>
                  <w:noWrap w:val="0"/>
                  <w:vAlign w:val="center"/>
                </w:tcPr>
                <w:p w14:paraId="60F86E9C">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p>
              </w:tc>
            </w:tr>
            <w:tr w14:paraId="6B12A24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63" w:type="pct"/>
                  <w:noWrap w:val="0"/>
                  <w:vAlign w:val="center"/>
                </w:tcPr>
                <w:p w14:paraId="682D47D9">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Q1</w:t>
                  </w:r>
                </w:p>
              </w:tc>
              <w:tc>
                <w:tcPr>
                  <w:tcW w:w="861" w:type="pct"/>
                  <w:noWrap w:val="0"/>
                  <w:vAlign w:val="center"/>
                </w:tcPr>
                <w:p w14:paraId="36BF9963">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103°18'23.88"</w:t>
                  </w:r>
                </w:p>
              </w:tc>
              <w:tc>
                <w:tcPr>
                  <w:tcW w:w="709" w:type="pct"/>
                  <w:noWrap w:val="0"/>
                  <w:vAlign w:val="center"/>
                </w:tcPr>
                <w:p w14:paraId="67E5DBDF">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25°23'46.90"</w:t>
                  </w:r>
                </w:p>
              </w:tc>
              <w:tc>
                <w:tcPr>
                  <w:tcW w:w="346" w:type="pct"/>
                  <w:noWrap w:val="0"/>
                  <w:vAlign w:val="center"/>
                </w:tcPr>
                <w:p w14:paraId="367D950C">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21" w:type="pct"/>
                  <w:noWrap w:val="0"/>
                  <w:vAlign w:val="center"/>
                </w:tcPr>
                <w:p w14:paraId="4D94B044">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2005.0</w:t>
                  </w:r>
                </w:p>
              </w:tc>
              <w:tc>
                <w:tcPr>
                  <w:tcW w:w="668" w:type="pct"/>
                  <w:noWrap w:val="0"/>
                  <w:vAlign w:val="center"/>
                </w:tcPr>
                <w:p w14:paraId="7D43969E">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2005.0</w:t>
                  </w:r>
                </w:p>
              </w:tc>
              <w:tc>
                <w:tcPr>
                  <w:tcW w:w="648" w:type="pct"/>
                  <w:noWrap w:val="0"/>
                  <w:vAlign w:val="center"/>
                </w:tcPr>
                <w:p w14:paraId="5F8D7E67">
                  <w:pPr>
                    <w:pStyle w:val="96"/>
                    <w:keepNext w:val="0"/>
                    <w:keepLines w:val="0"/>
                    <w:pageBreakBefore w:val="0"/>
                    <w:framePr w:wrap="auto" w:vAnchor="margin" w:hAnchor="text" w:xAlign="left" w:yAlign="inline"/>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项目</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18"/>
                      <w:szCs w:val="18"/>
                      <w14:textFill>
                        <w14:solidFill>
                          <w14:schemeClr w14:val="tx1"/>
                        </w14:solidFill>
                      </w14:textFill>
                    </w:rPr>
                    <w:t>侧</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2300m</w:t>
                  </w:r>
                </w:p>
              </w:tc>
              <w:tc>
                <w:tcPr>
                  <w:tcW w:w="678" w:type="pct"/>
                  <w:vMerge w:val="continue"/>
                  <w:noWrap w:val="0"/>
                  <w:vAlign w:val="center"/>
                </w:tcPr>
                <w:p w14:paraId="08980A7B">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p>
              </w:tc>
            </w:tr>
            <w:tr w14:paraId="0393A6B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63" w:type="pct"/>
                  <w:noWrap w:val="0"/>
                  <w:vAlign w:val="center"/>
                </w:tcPr>
                <w:p w14:paraId="60863013">
                  <w:pPr>
                    <w:pStyle w:val="96"/>
                    <w:framePr w:wrap="auto" w:vAnchor="margin" w:hAnchor="text" w:xAlign="left" w:yAlign="in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石板河水库饮用水水源保护区</w:t>
                  </w:r>
                </w:p>
              </w:tc>
              <w:tc>
                <w:tcPr>
                  <w:tcW w:w="861" w:type="pct"/>
                  <w:noWrap w:val="0"/>
                  <w:vAlign w:val="center"/>
                </w:tcPr>
                <w:p w14:paraId="6E6EB3F8">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103°17'54.95"</w:t>
                  </w:r>
                </w:p>
              </w:tc>
              <w:tc>
                <w:tcPr>
                  <w:tcW w:w="709" w:type="pct"/>
                  <w:noWrap w:val="0"/>
                  <w:vAlign w:val="center"/>
                </w:tcPr>
                <w:p w14:paraId="70627ED3">
                  <w:pPr>
                    <w:pStyle w:val="96"/>
                    <w:framePr w:wrap="auto" w:vAnchor="margin" w:hAnchor="text" w:xAlign="left" w:yAlign="inline"/>
                    <w:jc w:val="both"/>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25°27'22.15"</w:t>
                  </w:r>
                </w:p>
              </w:tc>
              <w:tc>
                <w:tcPr>
                  <w:tcW w:w="346" w:type="pct"/>
                  <w:noWrap w:val="0"/>
                  <w:vAlign w:val="center"/>
                </w:tcPr>
                <w:p w14:paraId="0DD20003">
                  <w:pPr>
                    <w:ind w:firstLine="480" w:firstLineChars="200"/>
                    <w:jc w:val="both"/>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521" w:type="pct"/>
                  <w:noWrap w:val="0"/>
                  <w:vAlign w:val="center"/>
                </w:tcPr>
                <w:p w14:paraId="62E56FC0">
                  <w:pPr>
                    <w:ind w:firstLine="480" w:firstLineChars="20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668" w:type="pct"/>
                  <w:noWrap w:val="0"/>
                  <w:vAlign w:val="center"/>
                </w:tcPr>
                <w:p w14:paraId="0224B242">
                  <w:pPr>
                    <w:ind w:firstLine="480" w:firstLineChars="20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648" w:type="pct"/>
                  <w:noWrap w:val="0"/>
                  <w:vAlign w:val="center"/>
                </w:tcPr>
                <w:p w14:paraId="4B018B61">
                  <w:pPr>
                    <w:pStyle w:val="96"/>
                    <w:keepNext w:val="0"/>
                    <w:keepLines w:val="0"/>
                    <w:pageBreakBefore w:val="0"/>
                    <w:framePr w:wrap="auto" w:vAnchor="margin" w:hAnchor="text" w:xAlign="left" w:yAlign="inline"/>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项目西侧</w:t>
                  </w: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5m</w:t>
                  </w:r>
                </w:p>
              </w:tc>
              <w:tc>
                <w:tcPr>
                  <w:tcW w:w="678" w:type="pct"/>
                  <w:vMerge w:val="continue"/>
                  <w:noWrap w:val="0"/>
                  <w:vAlign w:val="center"/>
                </w:tcPr>
                <w:p w14:paraId="4667700F">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p>
              </w:tc>
            </w:tr>
            <w:tr w14:paraId="40B3670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8"/>
                  <w:noWrap w:val="0"/>
                  <w:vAlign w:val="center"/>
                </w:tcPr>
                <w:p w14:paraId="07BF5AE7">
                  <w:pPr>
                    <w:pStyle w:val="96"/>
                    <w:framePr w:wrap="auto" w:vAnchor="margin" w:hAnchor="text" w:xAlign="left" w:yAlign="inline"/>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项目评价范围内可能受建设项目影响且具有饮用水开发利用价值的</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下古生界志留系上统妙高组（S3m）</w:t>
                  </w:r>
                  <w:r>
                    <w:rPr>
                      <w:rFonts w:hint="default" w:ascii="Times New Roman" w:hAnsi="Times New Roman" w:cs="Times New Roman"/>
                      <w:color w:val="000000" w:themeColor="text1"/>
                      <w:kern w:val="0"/>
                      <w:sz w:val="21"/>
                      <w:szCs w:val="21"/>
                      <w:lang w:bidi="ar"/>
                      <w14:textFill>
                        <w14:solidFill>
                          <w14:schemeClr w14:val="tx1"/>
                        </w14:solidFill>
                      </w14:textFill>
                    </w:rPr>
                    <w:t>第四系松散岩类孔隙含水层、</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下古生界志留系上统妙高组（S3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g</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）碎屑岩与碳酸盐岩互层裂隙含水层</w:t>
                  </w:r>
                </w:p>
              </w:tc>
            </w:tr>
          </w:tbl>
          <w:p w14:paraId="4A376AA2">
            <w:pPr>
              <w:widowControl/>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5、土壤环境保护目标</w:t>
            </w:r>
          </w:p>
          <w:p w14:paraId="4B02A610">
            <w:pPr>
              <w:widowControl/>
              <w:spacing w:line="336" w:lineRule="auto"/>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本项目为历史开采遗留矿坑生态修复项目，根据《环境影响评价技术导则 土壤环境》（HJ964-2018）（试行）附录 A.1，项目行业类别其他行业，项目类别为“Ⅳ类”项目，可不开展土壤环境影响评价。项目周边主要为耕地</w:t>
            </w:r>
            <w:r>
              <w:rPr>
                <w:rFonts w:hint="default" w:ascii="Times New Roman" w:hAnsi="Times New Roman" w:cs="Times New Roman"/>
                <w:color w:val="000000" w:themeColor="text1"/>
                <w:kern w:val="0"/>
                <w:lang w:eastAsia="zh-CN" w:bidi="ar"/>
                <w14:textFill>
                  <w14:solidFill>
                    <w14:schemeClr w14:val="tx1"/>
                  </w14:solidFill>
                </w14:textFill>
              </w:rPr>
              <w:t>、</w:t>
            </w:r>
            <w:r>
              <w:rPr>
                <w:rFonts w:hint="default" w:ascii="Times New Roman" w:hAnsi="Times New Roman" w:cs="Times New Roman"/>
                <w:color w:val="000000" w:themeColor="text1"/>
                <w:kern w:val="0"/>
                <w:lang w:val="en-US" w:eastAsia="zh-CN" w:bidi="ar"/>
                <w14:textFill>
                  <w14:solidFill>
                    <w14:schemeClr w14:val="tx1"/>
                  </w14:solidFill>
                </w14:textFill>
              </w:rPr>
              <w:t>林地</w:t>
            </w:r>
            <w:r>
              <w:rPr>
                <w:rFonts w:hint="default" w:ascii="Times New Roman" w:hAnsi="Times New Roman" w:cs="Times New Roman"/>
                <w:color w:val="000000" w:themeColor="text1"/>
                <w:kern w:val="0"/>
                <w:lang w:bidi="ar"/>
                <w14:textFill>
                  <w14:solidFill>
                    <w14:schemeClr w14:val="tx1"/>
                  </w14:solidFill>
                </w14:textFill>
              </w:rPr>
              <w:t>，土壤环境保护目标为项目修复区范围内的土壤及周边耕地</w:t>
            </w:r>
            <w:r>
              <w:rPr>
                <w:rFonts w:hint="default" w:ascii="Times New Roman" w:hAnsi="Times New Roman" w:cs="Times New Roman"/>
                <w:color w:val="000000" w:themeColor="text1"/>
                <w:kern w:val="0"/>
                <w:lang w:eastAsia="zh-CN" w:bidi="ar"/>
                <w14:textFill>
                  <w14:solidFill>
                    <w14:schemeClr w14:val="tx1"/>
                  </w14:solidFill>
                </w14:textFill>
              </w:rPr>
              <w:t>、</w:t>
            </w:r>
            <w:r>
              <w:rPr>
                <w:rFonts w:hint="default" w:ascii="Times New Roman" w:hAnsi="Times New Roman" w:cs="Times New Roman"/>
                <w:color w:val="000000" w:themeColor="text1"/>
                <w:kern w:val="0"/>
                <w:lang w:val="en-US" w:eastAsia="zh-CN" w:bidi="ar"/>
                <w14:textFill>
                  <w14:solidFill>
                    <w14:schemeClr w14:val="tx1"/>
                  </w14:solidFill>
                </w14:textFill>
              </w:rPr>
              <w:t>林地</w:t>
            </w:r>
            <w:r>
              <w:rPr>
                <w:rFonts w:hint="default" w:ascii="Times New Roman" w:hAnsi="Times New Roman" w:cs="Times New Roman"/>
                <w:color w:val="000000" w:themeColor="text1"/>
                <w:kern w:val="0"/>
                <w:lang w:bidi="ar"/>
                <w14:textFill>
                  <w14:solidFill>
                    <w14:schemeClr w14:val="tx1"/>
                  </w14:solidFill>
                </w14:textFill>
              </w:rPr>
              <w:t>。</w:t>
            </w:r>
          </w:p>
          <w:p w14:paraId="3FA98C27">
            <w:pPr>
              <w:widowControl/>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6、地表水环境保护目标</w:t>
            </w:r>
          </w:p>
          <w:p w14:paraId="089225AA">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根据《昆明市和滇中产业新区水功能区划》（2011～2030年），</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寻甸凤龙湾水库开发利用区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：属省级区划。全库，水库位于寻甸县七星镇大塘村委会附近的马过河上，总库容2056万m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，兴利库容1325万m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，目前主要供周边工矿企业用水及下游2.3万亩农田灌溉，水资源开发利用程度高，设计年供水量789万m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。现状水质为Ⅲ类，规划水平年水质保护目标按水功能二级区划执行。</w:t>
            </w:r>
          </w:p>
          <w:p w14:paraId="65DEC42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根据现场调查，项目周边最近地表水体为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项目西侧1060m石板桥河</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以及项目东侧2380m的龙潭河。</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石板桥河</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、龙潭河均</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位</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于</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寻甸凤龙湾水库的上游，</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执行《地表水环境质量标准》（GB3838-2002）Ⅲ类水质标准。</w:t>
            </w:r>
          </w:p>
          <w:p w14:paraId="57DF827B">
            <w:pPr>
              <w:pStyle w:val="71"/>
              <w:rPr>
                <w:rFonts w:hint="default" w:ascii="Times New Roman" w:hAnsi="Times New Roman" w:cs="Times New Roman"/>
                <w:color w:val="000000" w:themeColor="text1"/>
                <w:sz w:val="24"/>
                <w:szCs w:val="24"/>
                <w:lang w:val="en-US" w:bidi="ar"/>
                <w14:textFill>
                  <w14:solidFill>
                    <w14:schemeClr w14:val="tx1"/>
                  </w14:solidFill>
                </w14:textFill>
              </w:rPr>
            </w:pPr>
            <w:r>
              <w:rPr>
                <w:rFonts w:hint="default" w:ascii="Times New Roman" w:hAnsi="Times New Roman" w:cs="Times New Roman"/>
                <w:color w:val="000000" w:themeColor="text1"/>
                <w:sz w:val="24"/>
                <w:szCs w:val="24"/>
                <w:lang w:val="en-US" w:bidi="ar"/>
                <w14:textFill>
                  <w14:solidFill>
                    <w14:schemeClr w14:val="tx1"/>
                  </w14:solidFill>
                </w14:textFill>
              </w:rPr>
              <w:t>表3-1</w:t>
            </w:r>
            <w:r>
              <w:rPr>
                <w:rFonts w:hint="default" w:ascii="Times New Roman" w:hAnsi="Times New Roman" w:cs="Times New Roman"/>
                <w:color w:val="000000" w:themeColor="text1"/>
                <w:sz w:val="24"/>
                <w:szCs w:val="24"/>
                <w:lang w:val="en-US" w:eastAsia="zh-CN" w:bidi="ar"/>
                <w14:textFill>
                  <w14:solidFill>
                    <w14:schemeClr w14:val="tx1"/>
                  </w14:solidFill>
                </w14:textFill>
              </w:rPr>
              <w:t>6</w:t>
            </w:r>
            <w:r>
              <w:rPr>
                <w:rFonts w:hint="default" w:ascii="Times New Roman" w:hAnsi="Times New Roman" w:cs="Times New Roman"/>
                <w:color w:val="000000" w:themeColor="text1"/>
                <w:sz w:val="24"/>
                <w:szCs w:val="24"/>
                <w:lang w:val="en-US" w:bidi="ar"/>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bidi="ar"/>
                <w14:textFill>
                  <w14:solidFill>
                    <w14:schemeClr w14:val="tx1"/>
                  </w14:solidFill>
                </w14:textFill>
              </w:rPr>
              <w:t xml:space="preserve"> 地表水</w:t>
            </w:r>
            <w:r>
              <w:rPr>
                <w:rFonts w:hint="default" w:ascii="Times New Roman" w:hAnsi="Times New Roman" w:cs="Times New Roman"/>
                <w:color w:val="000000" w:themeColor="text1"/>
                <w:sz w:val="24"/>
                <w:szCs w:val="24"/>
                <w:lang w:val="en-US" w:bidi="ar"/>
                <w14:textFill>
                  <w14:solidFill>
                    <w14:schemeClr w14:val="tx1"/>
                  </w14:solidFill>
                </w14:textFill>
              </w:rPr>
              <w:t>环境保护目标</w:t>
            </w:r>
            <w:bookmarkStart w:id="25" w:name="_Hlk201522857"/>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017"/>
              <w:gridCol w:w="1876"/>
              <w:gridCol w:w="719"/>
              <w:gridCol w:w="991"/>
              <w:gridCol w:w="690"/>
              <w:gridCol w:w="1755"/>
            </w:tblGrid>
            <w:tr w14:paraId="5B82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5" w:hRule="atLeast"/>
              </w:trPr>
              <w:tc>
                <w:tcPr>
                  <w:tcW w:w="450" w:type="pct"/>
                  <w:vAlign w:val="center"/>
                </w:tcPr>
                <w:p w14:paraId="349D8A9E">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环境要素</w:t>
                  </w:r>
                </w:p>
              </w:tc>
              <w:tc>
                <w:tcPr>
                  <w:tcW w:w="656" w:type="pct"/>
                  <w:vAlign w:val="center"/>
                </w:tcPr>
                <w:p w14:paraId="1ADB9263">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名称</w:t>
                  </w:r>
                </w:p>
              </w:tc>
              <w:tc>
                <w:tcPr>
                  <w:tcW w:w="1210" w:type="pct"/>
                  <w:vAlign w:val="center"/>
                </w:tcPr>
                <w:p w14:paraId="640AA3F2">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坐标</w:t>
                  </w:r>
                </w:p>
              </w:tc>
              <w:tc>
                <w:tcPr>
                  <w:tcW w:w="464" w:type="pct"/>
                  <w:vAlign w:val="center"/>
                </w:tcPr>
                <w:p w14:paraId="07406CF5">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环境功能区</w:t>
                  </w:r>
                </w:p>
              </w:tc>
              <w:tc>
                <w:tcPr>
                  <w:tcW w:w="639" w:type="pct"/>
                  <w:vAlign w:val="center"/>
                </w:tcPr>
                <w:p w14:paraId="4DA0B803">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相对项目边界方位</w:t>
                  </w:r>
                </w:p>
              </w:tc>
              <w:tc>
                <w:tcPr>
                  <w:tcW w:w="445" w:type="pct"/>
                  <w:vAlign w:val="center"/>
                </w:tcPr>
                <w:p w14:paraId="29C03018">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相对项目边界距离/m</w:t>
                  </w:r>
                </w:p>
              </w:tc>
              <w:tc>
                <w:tcPr>
                  <w:tcW w:w="1132" w:type="pct"/>
                  <w:vAlign w:val="center"/>
                </w:tcPr>
                <w:p w14:paraId="4D01DCDD">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执行标准</w:t>
                  </w:r>
                </w:p>
              </w:tc>
            </w:tr>
            <w:tr w14:paraId="0879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50" w:type="pct"/>
                  <w:vMerge w:val="restart"/>
                  <w:vAlign w:val="center"/>
                </w:tcPr>
                <w:p w14:paraId="1F8FD12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w:t>
                  </w:r>
                </w:p>
              </w:tc>
              <w:tc>
                <w:tcPr>
                  <w:tcW w:w="656" w:type="pct"/>
                  <w:vAlign w:val="center"/>
                </w:tcPr>
                <w:p w14:paraId="6B56DA65">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石板桥河</w:t>
                  </w:r>
                </w:p>
              </w:tc>
              <w:tc>
                <w:tcPr>
                  <w:tcW w:w="1210" w:type="pct"/>
                  <w:vAlign w:val="center"/>
                </w:tcPr>
                <w:p w14:paraId="7E0534B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103°16′59.62681″，25°24′6.26204″</w:t>
                  </w:r>
                </w:p>
              </w:tc>
              <w:tc>
                <w:tcPr>
                  <w:tcW w:w="464" w:type="pct"/>
                  <w:vMerge w:val="restart"/>
                  <w:vAlign w:val="center"/>
                </w:tcPr>
                <w:p w14:paraId="28C57E7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方正仿宋_GB2312" w:cs="Times New Roman"/>
                      <w:color w:val="000000" w:themeColor="text1"/>
                      <w:sz w:val="24"/>
                      <w:szCs w:val="36"/>
                      <w14:textFill>
                        <w14:solidFill>
                          <w14:schemeClr w14:val="tx1"/>
                        </w14:solidFill>
                      </w14:textFill>
                    </w:rPr>
                    <w:t>Ⅲ</w:t>
                  </w:r>
                  <w:r>
                    <w:rPr>
                      <w:rFonts w:hint="default" w:ascii="Times New Roman" w:hAnsi="Times New Roman" w:cs="Times New Roman"/>
                      <w:color w:val="000000" w:themeColor="text1"/>
                      <w14:textFill>
                        <w14:solidFill>
                          <w14:schemeClr w14:val="tx1"/>
                        </w14:solidFill>
                      </w14:textFill>
                    </w:rPr>
                    <w:t>类功能区</w:t>
                  </w:r>
                </w:p>
              </w:tc>
              <w:tc>
                <w:tcPr>
                  <w:tcW w:w="639" w:type="pct"/>
                  <w:vAlign w:val="center"/>
                </w:tcPr>
                <w:p w14:paraId="3B929266">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p>
              </w:tc>
              <w:tc>
                <w:tcPr>
                  <w:tcW w:w="445" w:type="pct"/>
                  <w:vAlign w:val="center"/>
                </w:tcPr>
                <w:p w14:paraId="010718BE">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1060</w:t>
                  </w:r>
                </w:p>
              </w:tc>
              <w:tc>
                <w:tcPr>
                  <w:tcW w:w="1132" w:type="pct"/>
                  <w:vMerge w:val="restart"/>
                  <w:vAlign w:val="center"/>
                </w:tcPr>
                <w:p w14:paraId="084CE1A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《地表水环境质量标准》（GB3838-2002）</w:t>
                  </w:r>
                  <w:r>
                    <w:rPr>
                      <w:rFonts w:hint="default" w:ascii="Times New Roman" w:hAnsi="Times New Roman" w:eastAsia="方正仿宋_GB2312" w:cs="Times New Roman"/>
                      <w:color w:val="000000" w:themeColor="text1"/>
                      <w14:textFill>
                        <w14:solidFill>
                          <w14:schemeClr w14:val="tx1"/>
                        </w14:solidFill>
                      </w14:textFill>
                    </w:rPr>
                    <w:t>Ⅲ</w:t>
                  </w:r>
                  <w:r>
                    <w:rPr>
                      <w:rFonts w:hint="default" w:ascii="Times New Roman" w:hAnsi="Times New Roman" w:cs="Times New Roman"/>
                      <w:color w:val="000000" w:themeColor="text1"/>
                      <w14:textFill>
                        <w14:solidFill>
                          <w14:schemeClr w14:val="tx1"/>
                        </w14:solidFill>
                      </w14:textFill>
                    </w:rPr>
                    <w:t>类标准</w:t>
                  </w:r>
                </w:p>
              </w:tc>
            </w:tr>
            <w:tr w14:paraId="6D2A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450" w:type="pct"/>
                  <w:vMerge w:val="continue"/>
                  <w:vAlign w:val="center"/>
                </w:tcPr>
                <w:p w14:paraId="3BF2C908">
                  <w:pPr>
                    <w:pStyle w:val="87"/>
                    <w:rPr>
                      <w:rFonts w:hint="default" w:ascii="Times New Roman" w:hAnsi="Times New Roman" w:cs="Times New Roman"/>
                      <w:color w:val="000000" w:themeColor="text1"/>
                      <w14:textFill>
                        <w14:solidFill>
                          <w14:schemeClr w14:val="tx1"/>
                        </w14:solidFill>
                      </w14:textFill>
                    </w:rPr>
                  </w:pPr>
                </w:p>
              </w:tc>
              <w:tc>
                <w:tcPr>
                  <w:tcW w:w="656" w:type="pct"/>
                  <w:vAlign w:val="center"/>
                </w:tcPr>
                <w:p w14:paraId="6C17068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龙潭</w:t>
                  </w:r>
                  <w:r>
                    <w:rPr>
                      <w:rFonts w:hint="default" w:ascii="Times New Roman" w:hAnsi="Times New Roman" w:cs="Times New Roman"/>
                      <w:color w:val="000000" w:themeColor="text1"/>
                      <w14:textFill>
                        <w14:solidFill>
                          <w14:schemeClr w14:val="tx1"/>
                        </w14:solidFill>
                      </w14:textFill>
                    </w:rPr>
                    <w:t>河</w:t>
                  </w:r>
                </w:p>
              </w:tc>
              <w:tc>
                <w:tcPr>
                  <w:tcW w:w="1210" w:type="pct"/>
                  <w:vAlign w:val="center"/>
                </w:tcPr>
                <w:p w14:paraId="4A62E15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103°18′54.70645″，25°23′17.69260″</w:t>
                  </w:r>
                </w:p>
              </w:tc>
              <w:tc>
                <w:tcPr>
                  <w:tcW w:w="464" w:type="pct"/>
                  <w:vMerge w:val="continue"/>
                  <w:vAlign w:val="center"/>
                </w:tcPr>
                <w:p w14:paraId="4E6C3866">
                  <w:pPr>
                    <w:pStyle w:val="87"/>
                    <w:rPr>
                      <w:rFonts w:hint="default" w:ascii="Times New Roman" w:hAnsi="Times New Roman" w:cs="Times New Roman"/>
                      <w:color w:val="000000" w:themeColor="text1"/>
                      <w14:textFill>
                        <w14:solidFill>
                          <w14:schemeClr w14:val="tx1"/>
                        </w14:solidFill>
                      </w14:textFill>
                    </w:rPr>
                  </w:pPr>
                </w:p>
              </w:tc>
              <w:tc>
                <w:tcPr>
                  <w:tcW w:w="639" w:type="pct"/>
                  <w:vAlign w:val="center"/>
                </w:tcPr>
                <w:p w14:paraId="28BC80D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w:t>
                  </w:r>
                  <w:r>
                    <w:rPr>
                      <w:rFonts w:hint="default" w:ascii="Times New Roman" w:hAnsi="Times New Roman" w:cs="Times New Roman"/>
                      <w:color w:val="000000" w:themeColor="text1"/>
                      <w14:textFill>
                        <w14:solidFill>
                          <w14:schemeClr w14:val="tx1"/>
                        </w14:solidFill>
                      </w14:textFill>
                    </w:rPr>
                    <w:t>侧</w:t>
                  </w:r>
                </w:p>
              </w:tc>
              <w:tc>
                <w:tcPr>
                  <w:tcW w:w="445" w:type="pct"/>
                  <w:vAlign w:val="center"/>
                </w:tcPr>
                <w:p w14:paraId="62A68AA5">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2380</w:t>
                  </w:r>
                </w:p>
              </w:tc>
              <w:tc>
                <w:tcPr>
                  <w:tcW w:w="1132" w:type="pct"/>
                  <w:vMerge w:val="continue"/>
                  <w:vAlign w:val="center"/>
                </w:tcPr>
                <w:p w14:paraId="2A21C90A">
                  <w:pPr>
                    <w:pStyle w:val="87"/>
                    <w:rPr>
                      <w:rFonts w:hint="default" w:ascii="Times New Roman" w:hAnsi="Times New Roman" w:cs="Times New Roman"/>
                      <w:color w:val="000000" w:themeColor="text1"/>
                      <w14:textFill>
                        <w14:solidFill>
                          <w14:schemeClr w14:val="tx1"/>
                        </w14:solidFill>
                      </w14:textFill>
                    </w:rPr>
                  </w:pPr>
                </w:p>
              </w:tc>
            </w:tr>
            <w:bookmarkEnd w:id="25"/>
          </w:tbl>
          <w:p w14:paraId="43E15C4F">
            <w:pPr>
              <w:widowControl/>
              <w:ind w:firstLine="480"/>
              <w:jc w:val="left"/>
              <w:rPr>
                <w:rFonts w:hint="default" w:ascii="Times New Roman" w:hAnsi="Times New Roman" w:cs="Times New Roman"/>
                <w:color w:val="000000" w:themeColor="text1"/>
                <w:lang w:val="en-US" w:eastAsia="zh-CN" w:bidi="ar"/>
                <w14:textFill>
                  <w14:solidFill>
                    <w14:schemeClr w14:val="tx1"/>
                  </w14:solidFill>
                </w14:textFill>
              </w:rPr>
            </w:pPr>
            <w:r>
              <w:rPr>
                <w:rFonts w:hint="default" w:ascii="Times New Roman" w:hAnsi="Times New Roman" w:cs="Times New Roman"/>
                <w:color w:val="000000" w:themeColor="text1"/>
                <w:sz w:val="24"/>
                <w:szCs w:val="24"/>
                <w:lang w:val="en-US" w:eastAsia="zh-CN" w:bidi="ar"/>
                <w14:textFill>
                  <w14:solidFill>
                    <w14:schemeClr w14:val="tx1"/>
                  </w14:solidFill>
                </w14:textFill>
              </w:rPr>
              <w:t>7、</w:t>
            </w:r>
            <w:r>
              <w:rPr>
                <w:rFonts w:hint="default" w:ascii="Times New Roman" w:hAnsi="Times New Roman" w:cs="Times New Roman"/>
                <w:color w:val="000000" w:themeColor="text1"/>
                <w:lang w:val="en-US" w:eastAsia="zh-CN" w:bidi="ar"/>
                <w14:textFill>
                  <w14:solidFill>
                    <w14:schemeClr w14:val="tx1"/>
                  </w14:solidFill>
                </w14:textFill>
              </w:rPr>
              <w:t>项目运输路线周边的保护目标详见下表。</w:t>
            </w:r>
          </w:p>
          <w:p w14:paraId="03951AB1">
            <w:pPr>
              <w:pStyle w:val="71"/>
              <w:rPr>
                <w:rFonts w:hint="default" w:ascii="Times New Roman" w:hAnsi="Times New Roman" w:cs="Times New Roman"/>
                <w:color w:val="000000" w:themeColor="text1"/>
                <w:sz w:val="24"/>
                <w:szCs w:val="24"/>
                <w:lang w:val="en-US" w:bidi="ar"/>
                <w14:textFill>
                  <w14:solidFill>
                    <w14:schemeClr w14:val="tx1"/>
                  </w14:solidFill>
                </w14:textFill>
              </w:rPr>
            </w:pPr>
            <w:r>
              <w:rPr>
                <w:rFonts w:hint="default" w:ascii="Times New Roman" w:hAnsi="Times New Roman" w:cs="Times New Roman"/>
                <w:color w:val="000000" w:themeColor="text1"/>
                <w:sz w:val="24"/>
                <w:szCs w:val="24"/>
                <w:lang w:val="en-US" w:bidi="ar"/>
                <w14:textFill>
                  <w14:solidFill>
                    <w14:schemeClr w14:val="tx1"/>
                  </w14:solidFill>
                </w14:textFill>
              </w:rPr>
              <w:t>表3-1</w:t>
            </w:r>
            <w:r>
              <w:rPr>
                <w:rFonts w:hint="default" w:ascii="Times New Roman" w:hAnsi="Times New Roman" w:cs="Times New Roman"/>
                <w:color w:val="000000" w:themeColor="text1"/>
                <w:sz w:val="24"/>
                <w:szCs w:val="24"/>
                <w:lang w:val="en-US" w:eastAsia="zh-CN" w:bidi="ar"/>
                <w14:textFill>
                  <w14:solidFill>
                    <w14:schemeClr w14:val="tx1"/>
                  </w14:solidFill>
                </w14:textFill>
              </w:rPr>
              <w:t>7</w:t>
            </w:r>
            <w:r>
              <w:rPr>
                <w:rFonts w:hint="default" w:ascii="Times New Roman" w:hAnsi="Times New Roman" w:cs="Times New Roman"/>
                <w:color w:val="000000" w:themeColor="text1"/>
                <w:sz w:val="24"/>
                <w:szCs w:val="24"/>
                <w:lang w:val="en-US" w:bidi="ar"/>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bidi="ar"/>
                <w14:textFill>
                  <w14:solidFill>
                    <w14:schemeClr w14:val="tx1"/>
                  </w14:solidFill>
                </w14:textFill>
              </w:rPr>
              <w:t xml:space="preserve"> 运输路线</w:t>
            </w:r>
            <w:r>
              <w:rPr>
                <w:rFonts w:hint="default" w:ascii="Times New Roman" w:hAnsi="Times New Roman" w:cs="Times New Roman"/>
                <w:color w:val="000000" w:themeColor="text1"/>
                <w:sz w:val="24"/>
                <w:szCs w:val="24"/>
                <w:lang w:val="en-US" w:bidi="ar"/>
                <w14:textFill>
                  <w14:solidFill>
                    <w14:schemeClr w14:val="tx1"/>
                  </w14:solidFill>
                </w14:textFill>
              </w:rPr>
              <w:t>生态环境保护目标</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80"/>
              <w:gridCol w:w="2656"/>
              <w:gridCol w:w="720"/>
              <w:gridCol w:w="614"/>
              <w:gridCol w:w="794"/>
              <w:gridCol w:w="600"/>
              <w:gridCol w:w="1071"/>
            </w:tblGrid>
            <w:tr w14:paraId="5C8C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268" w:type="pct"/>
                  <w:vAlign w:val="center"/>
                </w:tcPr>
                <w:p w14:paraId="33DBB5F9">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环境要素</w:t>
                  </w:r>
                </w:p>
              </w:tc>
              <w:tc>
                <w:tcPr>
                  <w:tcW w:w="567" w:type="pct"/>
                  <w:vAlign w:val="center"/>
                </w:tcPr>
                <w:p w14:paraId="39BA4858">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名称</w:t>
                  </w:r>
                </w:p>
              </w:tc>
              <w:tc>
                <w:tcPr>
                  <w:tcW w:w="1713" w:type="pct"/>
                  <w:vAlign w:val="center"/>
                </w:tcPr>
                <w:p w14:paraId="1D31553B">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坐标</w:t>
                  </w:r>
                </w:p>
              </w:tc>
              <w:tc>
                <w:tcPr>
                  <w:tcW w:w="464" w:type="pct"/>
                  <w:vAlign w:val="center"/>
                </w:tcPr>
                <w:p w14:paraId="34376481">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保护对象</w:t>
                  </w:r>
                </w:p>
              </w:tc>
              <w:tc>
                <w:tcPr>
                  <w:tcW w:w="396" w:type="pct"/>
                  <w:vAlign w:val="center"/>
                </w:tcPr>
                <w:p w14:paraId="3E9618A5">
                  <w:pPr>
                    <w:pStyle w:val="87"/>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保护内容</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人</w:t>
                  </w:r>
                  <w:r>
                    <w:rPr>
                      <w:rFonts w:hint="default" w:ascii="Times New Roman" w:hAnsi="Times New Roman" w:cs="Times New Roman"/>
                      <w:b/>
                      <w:bCs/>
                      <w:color w:val="000000" w:themeColor="text1"/>
                      <w:lang w:eastAsia="zh-CN"/>
                      <w14:textFill>
                        <w14:solidFill>
                          <w14:schemeClr w14:val="tx1"/>
                        </w14:solidFill>
                      </w14:textFill>
                    </w:rPr>
                    <w:t>）</w:t>
                  </w:r>
                </w:p>
              </w:tc>
              <w:tc>
                <w:tcPr>
                  <w:tcW w:w="512" w:type="pct"/>
                  <w:vAlign w:val="center"/>
                </w:tcPr>
                <w:p w14:paraId="4023DD88">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相对</w:t>
                  </w:r>
                  <w:r>
                    <w:rPr>
                      <w:rFonts w:hint="default" w:ascii="Times New Roman" w:hAnsi="Times New Roman" w:cs="Times New Roman"/>
                      <w:b/>
                      <w:bCs/>
                      <w:color w:val="000000" w:themeColor="text1"/>
                      <w:lang w:val="en-US" w:eastAsia="zh-CN"/>
                      <w14:textFill>
                        <w14:solidFill>
                          <w14:schemeClr w14:val="tx1"/>
                        </w14:solidFill>
                      </w14:textFill>
                    </w:rPr>
                    <w:t>运输道路</w:t>
                  </w:r>
                  <w:r>
                    <w:rPr>
                      <w:rFonts w:hint="default" w:ascii="Times New Roman" w:hAnsi="Times New Roman" w:cs="Times New Roman"/>
                      <w:b/>
                      <w:bCs/>
                      <w:color w:val="000000" w:themeColor="text1"/>
                      <w14:textFill>
                        <w14:solidFill>
                          <w14:schemeClr w14:val="tx1"/>
                        </w14:solidFill>
                      </w14:textFill>
                    </w:rPr>
                    <w:t>方位</w:t>
                  </w:r>
                </w:p>
              </w:tc>
              <w:tc>
                <w:tcPr>
                  <w:tcW w:w="387" w:type="pct"/>
                  <w:vAlign w:val="center"/>
                </w:tcPr>
                <w:p w14:paraId="3FA99F3D">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相对</w:t>
                  </w:r>
                  <w:r>
                    <w:rPr>
                      <w:rFonts w:hint="default" w:ascii="Times New Roman" w:hAnsi="Times New Roman" w:cs="Times New Roman"/>
                      <w:b/>
                      <w:bCs/>
                      <w:color w:val="000000" w:themeColor="text1"/>
                      <w:lang w:val="en-US" w:eastAsia="zh-CN"/>
                      <w14:textFill>
                        <w14:solidFill>
                          <w14:schemeClr w14:val="tx1"/>
                        </w14:solidFill>
                      </w14:textFill>
                    </w:rPr>
                    <w:t>道路</w:t>
                  </w:r>
                  <w:r>
                    <w:rPr>
                      <w:rFonts w:hint="default" w:ascii="Times New Roman" w:hAnsi="Times New Roman" w:cs="Times New Roman"/>
                      <w:b/>
                      <w:bCs/>
                      <w:color w:val="000000" w:themeColor="text1"/>
                      <w14:textFill>
                        <w14:solidFill>
                          <w14:schemeClr w14:val="tx1"/>
                        </w14:solidFill>
                      </w14:textFill>
                    </w:rPr>
                    <w:t>距离/m</w:t>
                  </w:r>
                </w:p>
              </w:tc>
              <w:tc>
                <w:tcPr>
                  <w:tcW w:w="690" w:type="pct"/>
                  <w:vAlign w:val="center"/>
                </w:tcPr>
                <w:p w14:paraId="78713B9F">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执行标准</w:t>
                  </w:r>
                </w:p>
              </w:tc>
            </w:tr>
            <w:tr w14:paraId="555A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68" w:type="pct"/>
                  <w:vMerge w:val="restart"/>
                  <w:vAlign w:val="center"/>
                </w:tcPr>
                <w:p w14:paraId="1D8918F5">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声环境</w:t>
                  </w:r>
                </w:p>
                <w:p w14:paraId="64A4CF46">
                  <w:pPr>
                    <w:pStyle w:val="87"/>
                    <w:rPr>
                      <w:rFonts w:hint="default" w:ascii="Times New Roman" w:hAnsi="Times New Roman" w:cs="Times New Roman"/>
                      <w:color w:val="000000" w:themeColor="text1"/>
                      <w14:textFill>
                        <w14:solidFill>
                          <w14:schemeClr w14:val="tx1"/>
                        </w14:solidFill>
                      </w14:textFill>
                    </w:rPr>
                  </w:pPr>
                </w:p>
                <w:p w14:paraId="6599550A">
                  <w:pPr>
                    <w:rPr>
                      <w:rFonts w:hint="default" w:ascii="Times New Roman" w:hAnsi="Times New Roman" w:cs="Times New Roman"/>
                      <w:color w:val="000000" w:themeColor="text1"/>
                      <w14:textFill>
                        <w14:solidFill>
                          <w14:schemeClr w14:val="tx1"/>
                        </w14:solidFill>
                      </w14:textFill>
                    </w:rPr>
                  </w:pPr>
                </w:p>
                <w:p w14:paraId="71B33CF5">
                  <w:pPr>
                    <w:rPr>
                      <w:rFonts w:hint="default" w:ascii="Times New Roman" w:hAnsi="Times New Roman" w:cs="Times New Roman"/>
                      <w:color w:val="000000" w:themeColor="text1"/>
                      <w14:textFill>
                        <w14:solidFill>
                          <w14:schemeClr w14:val="tx1"/>
                        </w14:solidFill>
                      </w14:textFill>
                    </w:rPr>
                  </w:pPr>
                </w:p>
                <w:p w14:paraId="3AB8FEB3">
                  <w:pPr>
                    <w:rPr>
                      <w:rFonts w:hint="default" w:ascii="Times New Roman" w:hAnsi="Times New Roman" w:cs="Times New Roman"/>
                      <w:color w:val="000000" w:themeColor="text1"/>
                      <w14:textFill>
                        <w14:solidFill>
                          <w14:schemeClr w14:val="tx1"/>
                        </w14:solidFill>
                      </w14:textFill>
                    </w:rPr>
                  </w:pPr>
                </w:p>
              </w:tc>
              <w:tc>
                <w:tcPr>
                  <w:tcW w:w="567" w:type="pct"/>
                  <w:vAlign w:val="center"/>
                </w:tcPr>
                <w:p w14:paraId="36D4A0A6">
                  <w:pPr>
                    <w:pStyle w:val="87"/>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黑水井</w:t>
                  </w:r>
                </w:p>
              </w:tc>
              <w:tc>
                <w:tcPr>
                  <w:tcW w:w="1713" w:type="pct"/>
                  <w:vAlign w:val="center"/>
                </w:tcPr>
                <w:p w14:paraId="304AB29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w:t>
                  </w:r>
                  <w:r>
                    <w:rPr>
                      <w:rFonts w:hint="default" w:ascii="Times New Roman" w:hAnsi="Times New Roman" w:cs="Times New Roman"/>
                      <w:color w:val="000000" w:themeColor="text1"/>
                      <w14:textFill>
                        <w14:solidFill>
                          <w14:schemeClr w14:val="tx1"/>
                        </w14:solidFill>
                      </w14:textFill>
                    </w:rPr>
                    <w:t>103°17′0.47653″</w:t>
                  </w:r>
                </w:p>
                <w:p w14:paraId="66D0D78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25°23′45.52105″</w:t>
                  </w:r>
                </w:p>
              </w:tc>
              <w:tc>
                <w:tcPr>
                  <w:tcW w:w="464" w:type="pct"/>
                  <w:vAlign w:val="center"/>
                </w:tcPr>
                <w:p w14:paraId="48EAE1E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居民</w:t>
                  </w:r>
                </w:p>
              </w:tc>
              <w:tc>
                <w:tcPr>
                  <w:tcW w:w="396" w:type="pct"/>
                  <w:vAlign w:val="center"/>
                </w:tcPr>
                <w:p w14:paraId="23C74DFE">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w:t>
                  </w:r>
                </w:p>
              </w:tc>
              <w:tc>
                <w:tcPr>
                  <w:tcW w:w="512" w:type="pct"/>
                  <w:vAlign w:val="center"/>
                </w:tcPr>
                <w:p w14:paraId="33BBE35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东侧</w:t>
                  </w:r>
                </w:p>
              </w:tc>
              <w:tc>
                <w:tcPr>
                  <w:tcW w:w="387" w:type="pct"/>
                  <w:vAlign w:val="center"/>
                </w:tcPr>
                <w:p w14:paraId="62B52715">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1m</w:t>
                  </w:r>
                </w:p>
              </w:tc>
              <w:tc>
                <w:tcPr>
                  <w:tcW w:w="690" w:type="pct"/>
                  <w:vMerge w:val="restart"/>
                  <w:vAlign w:val="center"/>
                </w:tcPr>
                <w:p w14:paraId="0F7EDA5C">
                  <w:pPr>
                    <w:pStyle w:val="87"/>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《环境空气质量标准》（GB3095-2012）二级标准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《声环境质量标准》（GB3096-2008）中的2类标准</w:t>
                  </w:r>
                </w:p>
              </w:tc>
            </w:tr>
            <w:tr w14:paraId="2A46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68" w:type="pct"/>
                  <w:vMerge w:val="continue"/>
                  <w:vAlign w:val="center"/>
                </w:tcPr>
                <w:p w14:paraId="0FCDF671">
                  <w:pPr>
                    <w:rPr>
                      <w:rFonts w:hint="default" w:ascii="Times New Roman" w:hAnsi="Times New Roman" w:cs="Times New Roman"/>
                      <w:color w:val="000000" w:themeColor="text1"/>
                      <w14:textFill>
                        <w14:solidFill>
                          <w14:schemeClr w14:val="tx1"/>
                        </w14:solidFill>
                      </w14:textFill>
                    </w:rPr>
                  </w:pPr>
                </w:p>
              </w:tc>
              <w:tc>
                <w:tcPr>
                  <w:tcW w:w="567" w:type="pct"/>
                  <w:vAlign w:val="center"/>
                </w:tcPr>
                <w:p w14:paraId="5C83C300">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易隆社区</w:t>
                  </w:r>
                </w:p>
              </w:tc>
              <w:tc>
                <w:tcPr>
                  <w:tcW w:w="1713" w:type="pct"/>
                  <w:vAlign w:val="center"/>
                </w:tcPr>
                <w:p w14:paraId="3F23D5A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w:t>
                  </w:r>
                  <w:r>
                    <w:rPr>
                      <w:rFonts w:hint="default" w:ascii="Times New Roman" w:hAnsi="Times New Roman" w:cs="Times New Roman"/>
                      <w:color w:val="000000" w:themeColor="text1"/>
                      <w14:textFill>
                        <w14:solidFill>
                          <w14:schemeClr w14:val="tx1"/>
                        </w14:solidFill>
                      </w14:textFill>
                    </w:rPr>
                    <w:t>103°16′6.78944″</w:t>
                  </w:r>
                </w:p>
                <w:p w14:paraId="6455724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25°22′41.52140″</w:t>
                  </w:r>
                </w:p>
              </w:tc>
              <w:tc>
                <w:tcPr>
                  <w:tcW w:w="464" w:type="pct"/>
                  <w:vAlign w:val="center"/>
                </w:tcPr>
                <w:p w14:paraId="0B326815">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居民</w:t>
                  </w:r>
                </w:p>
              </w:tc>
              <w:tc>
                <w:tcPr>
                  <w:tcW w:w="396" w:type="pct"/>
                  <w:vAlign w:val="center"/>
                </w:tcPr>
                <w:p w14:paraId="476AECE5">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1772</w:t>
                  </w:r>
                </w:p>
              </w:tc>
              <w:tc>
                <w:tcPr>
                  <w:tcW w:w="512" w:type="pct"/>
                  <w:vAlign w:val="center"/>
                </w:tcPr>
                <w:p w14:paraId="76174FB6">
                  <w:pPr>
                    <w:pStyle w:val="87"/>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两侧</w:t>
                  </w:r>
                </w:p>
              </w:tc>
              <w:tc>
                <w:tcPr>
                  <w:tcW w:w="387" w:type="pct"/>
                  <w:vAlign w:val="center"/>
                </w:tcPr>
                <w:p w14:paraId="55BD0C3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1m</w:t>
                  </w:r>
                </w:p>
              </w:tc>
              <w:tc>
                <w:tcPr>
                  <w:tcW w:w="690" w:type="pct"/>
                  <w:vMerge w:val="continue"/>
                  <w:vAlign w:val="center"/>
                </w:tcPr>
                <w:p w14:paraId="745CB053">
                  <w:pPr>
                    <w:pStyle w:val="87"/>
                    <w:rPr>
                      <w:rFonts w:hint="default" w:ascii="Times New Roman" w:hAnsi="Times New Roman" w:cs="Times New Roman"/>
                      <w:color w:val="000000" w:themeColor="text1"/>
                      <w14:textFill>
                        <w14:solidFill>
                          <w14:schemeClr w14:val="tx1"/>
                        </w14:solidFill>
                      </w14:textFill>
                    </w:rPr>
                  </w:pPr>
                </w:p>
              </w:tc>
            </w:tr>
            <w:tr w14:paraId="7762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68" w:type="pct"/>
                  <w:vMerge w:val="continue"/>
                  <w:vAlign w:val="center"/>
                </w:tcPr>
                <w:p w14:paraId="666627A8">
                  <w:pPr>
                    <w:rPr>
                      <w:rFonts w:hint="default" w:ascii="Times New Roman" w:hAnsi="Times New Roman" w:cs="Times New Roman"/>
                      <w:color w:val="000000" w:themeColor="text1"/>
                      <w14:textFill>
                        <w14:solidFill>
                          <w14:schemeClr w14:val="tx1"/>
                        </w14:solidFill>
                      </w14:textFill>
                    </w:rPr>
                  </w:pPr>
                </w:p>
              </w:tc>
              <w:tc>
                <w:tcPr>
                  <w:tcW w:w="567" w:type="pct"/>
                  <w:vAlign w:val="center"/>
                </w:tcPr>
                <w:p w14:paraId="47CCA21E">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团团河</w:t>
                  </w:r>
                </w:p>
              </w:tc>
              <w:tc>
                <w:tcPr>
                  <w:tcW w:w="1713" w:type="pct"/>
                  <w:vAlign w:val="center"/>
                </w:tcPr>
                <w:p w14:paraId="092879D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w:t>
                  </w:r>
                  <w:r>
                    <w:rPr>
                      <w:rFonts w:hint="default" w:ascii="Times New Roman" w:hAnsi="Times New Roman" w:cs="Times New Roman"/>
                      <w:color w:val="000000" w:themeColor="text1"/>
                      <w14:textFill>
                        <w14:solidFill>
                          <w14:schemeClr w14:val="tx1"/>
                        </w14:solidFill>
                      </w14:textFill>
                    </w:rPr>
                    <w:t>103°16′8.02540″</w:t>
                  </w:r>
                </w:p>
                <w:p w14:paraId="4F2E5C5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25°23′57.84205″</w:t>
                  </w:r>
                </w:p>
              </w:tc>
              <w:tc>
                <w:tcPr>
                  <w:tcW w:w="464" w:type="pct"/>
                  <w:vAlign w:val="center"/>
                </w:tcPr>
                <w:p w14:paraId="56CDAE3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居民</w:t>
                  </w:r>
                </w:p>
              </w:tc>
              <w:tc>
                <w:tcPr>
                  <w:tcW w:w="396" w:type="pct"/>
                  <w:vAlign w:val="center"/>
                </w:tcPr>
                <w:p w14:paraId="2F10F781">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w:t>
                  </w:r>
                </w:p>
              </w:tc>
              <w:tc>
                <w:tcPr>
                  <w:tcW w:w="512" w:type="pct"/>
                  <w:vAlign w:val="center"/>
                </w:tcPr>
                <w:p w14:paraId="7C545BF0">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p>
              </w:tc>
              <w:tc>
                <w:tcPr>
                  <w:tcW w:w="387" w:type="pct"/>
                  <w:vAlign w:val="center"/>
                </w:tcPr>
                <w:p w14:paraId="2AEAA45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1m</w:t>
                  </w:r>
                </w:p>
              </w:tc>
              <w:tc>
                <w:tcPr>
                  <w:tcW w:w="690" w:type="pct"/>
                  <w:vMerge w:val="continue"/>
                  <w:vAlign w:val="center"/>
                </w:tcPr>
                <w:p w14:paraId="77A26CAB">
                  <w:pPr>
                    <w:pStyle w:val="87"/>
                    <w:rPr>
                      <w:rFonts w:hint="default" w:ascii="Times New Roman" w:hAnsi="Times New Roman" w:cs="Times New Roman"/>
                      <w:color w:val="000000" w:themeColor="text1"/>
                      <w14:textFill>
                        <w14:solidFill>
                          <w14:schemeClr w14:val="tx1"/>
                        </w14:solidFill>
                      </w14:textFill>
                    </w:rPr>
                  </w:pPr>
                </w:p>
              </w:tc>
            </w:tr>
            <w:tr w14:paraId="6999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68" w:type="pct"/>
                  <w:vMerge w:val="continue"/>
                  <w:vAlign w:val="center"/>
                </w:tcPr>
                <w:p w14:paraId="498B8DD1">
                  <w:pPr>
                    <w:rPr>
                      <w:rFonts w:hint="default" w:ascii="Times New Roman" w:hAnsi="Times New Roman" w:cs="Times New Roman"/>
                      <w:color w:val="000000" w:themeColor="text1"/>
                      <w14:textFill>
                        <w14:solidFill>
                          <w14:schemeClr w14:val="tx1"/>
                        </w14:solidFill>
                      </w14:textFill>
                    </w:rPr>
                  </w:pPr>
                </w:p>
              </w:tc>
              <w:tc>
                <w:tcPr>
                  <w:tcW w:w="567" w:type="pct"/>
                  <w:vAlign w:val="center"/>
                </w:tcPr>
                <w:p w14:paraId="7D517E0C">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下渣凹</w:t>
                  </w:r>
                </w:p>
              </w:tc>
              <w:tc>
                <w:tcPr>
                  <w:tcW w:w="1713" w:type="pct"/>
                  <w:vAlign w:val="center"/>
                </w:tcPr>
                <w:p w14:paraId="42FC78E7">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w:t>
                  </w:r>
                  <w:r>
                    <w:rPr>
                      <w:rFonts w:hint="default" w:ascii="Times New Roman" w:hAnsi="Times New Roman" w:cs="Times New Roman"/>
                      <w:color w:val="000000" w:themeColor="text1"/>
                      <w14:textFill>
                        <w14:solidFill>
                          <w14:schemeClr w14:val="tx1"/>
                        </w14:solidFill>
                      </w14:textFill>
                    </w:rPr>
                    <w:t>103°15′37.20360″</w:t>
                  </w:r>
                </w:p>
                <w:p w14:paraId="4813848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25°24′45.89007″</w:t>
                  </w:r>
                </w:p>
              </w:tc>
              <w:tc>
                <w:tcPr>
                  <w:tcW w:w="464" w:type="pct"/>
                  <w:vAlign w:val="center"/>
                </w:tcPr>
                <w:p w14:paraId="6240AC87">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居民</w:t>
                  </w:r>
                </w:p>
              </w:tc>
              <w:tc>
                <w:tcPr>
                  <w:tcW w:w="396" w:type="pct"/>
                  <w:vAlign w:val="center"/>
                </w:tcPr>
                <w:p w14:paraId="0329197A">
                  <w:pPr>
                    <w:pStyle w:val="87"/>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85</w:t>
                  </w:r>
                </w:p>
              </w:tc>
              <w:tc>
                <w:tcPr>
                  <w:tcW w:w="512" w:type="pct"/>
                  <w:vAlign w:val="center"/>
                </w:tcPr>
                <w:p w14:paraId="7971CAB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p>
              </w:tc>
              <w:tc>
                <w:tcPr>
                  <w:tcW w:w="387" w:type="pct"/>
                  <w:vAlign w:val="center"/>
                </w:tcPr>
                <w:p w14:paraId="38E93FD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1m</w:t>
                  </w:r>
                </w:p>
              </w:tc>
              <w:tc>
                <w:tcPr>
                  <w:tcW w:w="690" w:type="pct"/>
                  <w:vMerge w:val="continue"/>
                  <w:vAlign w:val="center"/>
                </w:tcPr>
                <w:p w14:paraId="08068C4B">
                  <w:pPr>
                    <w:pStyle w:val="87"/>
                    <w:rPr>
                      <w:rFonts w:hint="default" w:ascii="Times New Roman" w:hAnsi="Times New Roman" w:cs="Times New Roman"/>
                      <w:color w:val="000000" w:themeColor="text1"/>
                      <w14:textFill>
                        <w14:solidFill>
                          <w14:schemeClr w14:val="tx1"/>
                        </w14:solidFill>
                      </w14:textFill>
                    </w:rPr>
                  </w:pPr>
                </w:p>
              </w:tc>
            </w:tr>
          </w:tbl>
          <w:p w14:paraId="25E0E46F">
            <w:pPr>
              <w:pStyle w:val="6"/>
              <w:ind w:left="0" w:firstLine="0" w:firstLineChars="0"/>
              <w:rPr>
                <w:rFonts w:hint="default" w:ascii="Times New Roman" w:hAnsi="Times New Roman" w:cs="Times New Roman"/>
                <w:color w:val="000000" w:themeColor="text1"/>
                <w14:textFill>
                  <w14:solidFill>
                    <w14:schemeClr w14:val="tx1"/>
                  </w14:solidFill>
                </w14:textFill>
              </w:rPr>
            </w:pPr>
          </w:p>
        </w:tc>
      </w:tr>
      <w:tr w14:paraId="4C69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1" w:hRule="atLeast"/>
        </w:trPr>
        <w:tc>
          <w:tcPr>
            <w:tcW w:w="456" w:type="dxa"/>
            <w:vAlign w:val="center"/>
          </w:tcPr>
          <w:p w14:paraId="0F8E5478">
            <w:pPr>
              <w:adjustRightInd w:val="0"/>
              <w:snapToGrid w:val="0"/>
              <w:spacing w:line="240" w:lineRule="auto"/>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评价标准</w:t>
            </w:r>
          </w:p>
        </w:tc>
        <w:tc>
          <w:tcPr>
            <w:tcW w:w="7977" w:type="dxa"/>
            <w:vAlign w:val="center"/>
          </w:tcPr>
          <w:p w14:paraId="624B2C40">
            <w:pPr>
              <w:pStyle w:val="72"/>
              <w:adjustRightInd w:val="0"/>
              <w:ind w:firstLine="496" w:firstLineChars="0"/>
              <w:jc w:val="both"/>
              <w:rPr>
                <w:rFonts w:hint="default" w:ascii="Times New Roman" w:hAnsi="Times New Roman" w:cs="Times New Roman"/>
                <w:b/>
                <w:bCs/>
                <w:color w:val="000000" w:themeColor="text1"/>
                <w:kern w:val="0"/>
                <w:lang w:val="en-US" w:bidi="ar"/>
                <w14:textFill>
                  <w14:solidFill>
                    <w14:schemeClr w14:val="tx1"/>
                  </w14:solidFill>
                </w14:textFill>
              </w:rPr>
            </w:pPr>
            <w:r>
              <w:rPr>
                <w:rFonts w:hint="default" w:ascii="Times New Roman" w:hAnsi="Times New Roman" w:cs="Times New Roman"/>
                <w:b/>
                <w:bCs/>
                <w:color w:val="000000" w:themeColor="text1"/>
                <w:kern w:val="0"/>
                <w:lang w:val="en-US" w:bidi="ar"/>
                <w14:textFill>
                  <w14:solidFill>
                    <w14:schemeClr w14:val="tx1"/>
                  </w14:solidFill>
                </w14:textFill>
              </w:rPr>
              <w:t>1、环境质量标准</w:t>
            </w:r>
          </w:p>
          <w:p w14:paraId="78ED76FA">
            <w:pPr>
              <w:pStyle w:val="72"/>
              <w:adjustRightInd w:val="0"/>
              <w:ind w:firstLine="496" w:firstLineChars="0"/>
              <w:jc w:val="both"/>
              <w:rPr>
                <w:rFonts w:hint="default" w:ascii="Times New Roman" w:hAnsi="Times New Roman" w:cs="Times New Roman"/>
                <w:b/>
                <w:bCs/>
                <w:color w:val="000000" w:themeColor="text1"/>
                <w:kern w:val="0"/>
                <w:lang w:val="en-US" w:bidi="ar"/>
                <w14:textFill>
                  <w14:solidFill>
                    <w14:schemeClr w14:val="tx1"/>
                  </w14:solidFill>
                </w14:textFill>
              </w:rPr>
            </w:pPr>
            <w:r>
              <w:rPr>
                <w:rFonts w:hint="default" w:ascii="Times New Roman" w:hAnsi="Times New Roman" w:cs="Times New Roman"/>
                <w:b/>
                <w:bCs/>
                <w:color w:val="000000" w:themeColor="text1"/>
                <w:kern w:val="0"/>
                <w:lang w:val="en-US" w:bidi="ar"/>
                <w14:textFill>
                  <w14:solidFill>
                    <w14:schemeClr w14:val="tx1"/>
                  </w14:solidFill>
                </w14:textFill>
              </w:rPr>
              <w:t>（1）大气环境</w:t>
            </w:r>
          </w:p>
          <w:p w14:paraId="48FA4BF5">
            <w:pPr>
              <w:pStyle w:val="72"/>
              <w:adjustRightInd w:val="0"/>
              <w:ind w:firstLine="496" w:firstLineChars="0"/>
              <w:jc w:val="both"/>
              <w:rPr>
                <w:rFonts w:hint="default" w:ascii="Times New Roman" w:hAnsi="Times New Roman" w:cs="Times New Roman"/>
                <w:color w:val="000000" w:themeColor="text1"/>
                <w:kern w:val="0"/>
                <w:lang w:val="en-US" w:bidi="ar"/>
                <w14:textFill>
                  <w14:solidFill>
                    <w14:schemeClr w14:val="tx1"/>
                  </w14:solidFill>
                </w14:textFill>
              </w:rPr>
            </w:pPr>
            <w:r>
              <w:rPr>
                <w:rFonts w:hint="default" w:ascii="Times New Roman" w:hAnsi="Times New Roman" w:cs="Times New Roman"/>
                <w:color w:val="000000" w:themeColor="text1"/>
                <w:kern w:val="0"/>
                <w:lang w:val="en-US" w:bidi="ar"/>
                <w14:textFill>
                  <w14:solidFill>
                    <w14:schemeClr w14:val="tx1"/>
                  </w14:solidFill>
                </w14:textFill>
              </w:rPr>
              <w:t>项目位于农村地区，根据《环境空气质量标准》（GB3095-2012）及其修改单中关于环境空气功能区分类，项目区属于二类环境空气功能区，环境空气质量执行《环境空气质量标准》（GB3095-2012）及其修改单二级标准，五氧化二磷执行《环境影响评价技术导则 大气环境》（HJ2.2-2018）附录D标准，标准值见下表。</w:t>
            </w:r>
          </w:p>
          <w:p w14:paraId="615E6F8E">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表3-1</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8 </w:t>
            </w:r>
            <w:r>
              <w:rPr>
                <w:rFonts w:hint="default" w:ascii="Times New Roman" w:hAnsi="Times New Roman" w:cs="Times New Roman"/>
                <w:b/>
                <w:bCs/>
                <w:color w:val="000000" w:themeColor="text1"/>
                <w:sz w:val="24"/>
                <w:szCs w:val="24"/>
                <w:lang w:val="en-US"/>
                <w14:textFill>
                  <w14:solidFill>
                    <w14:schemeClr w14:val="tx1"/>
                  </w14:solidFill>
                </w14:textFill>
              </w:rPr>
              <w:t xml:space="preserve"> 环境空气质量标准</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339"/>
              <w:gridCol w:w="2185"/>
              <w:gridCol w:w="2469"/>
              <w:gridCol w:w="962"/>
            </w:tblGrid>
            <w:tr w14:paraId="6684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vMerge w:val="restart"/>
                  <w:vAlign w:val="center"/>
                </w:tcPr>
                <w:p w14:paraId="7EEA7FF6">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864" w:type="pct"/>
                  <w:vMerge w:val="restart"/>
                  <w:vAlign w:val="center"/>
                </w:tcPr>
                <w:p w14:paraId="053BF75B">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污染物项目</w:t>
                  </w:r>
                </w:p>
              </w:tc>
              <w:tc>
                <w:tcPr>
                  <w:tcW w:w="1410" w:type="pct"/>
                  <w:vMerge w:val="restart"/>
                  <w:vAlign w:val="center"/>
                </w:tcPr>
                <w:p w14:paraId="688D229E">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平均时间</w:t>
                  </w:r>
                </w:p>
              </w:tc>
              <w:tc>
                <w:tcPr>
                  <w:tcW w:w="1593" w:type="pct"/>
                  <w:vAlign w:val="center"/>
                </w:tcPr>
                <w:p w14:paraId="0975E8F5">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浓度值</w:t>
                  </w:r>
                </w:p>
              </w:tc>
              <w:tc>
                <w:tcPr>
                  <w:tcW w:w="621" w:type="pct"/>
                  <w:vMerge w:val="restart"/>
                  <w:vAlign w:val="center"/>
                </w:tcPr>
                <w:p w14:paraId="0B76C58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单位</w:t>
                  </w:r>
                </w:p>
              </w:tc>
            </w:tr>
            <w:tr w14:paraId="4AAD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510" w:type="pct"/>
                  <w:vMerge w:val="continue"/>
                  <w:vAlign w:val="center"/>
                </w:tcPr>
                <w:p w14:paraId="726D8EAC">
                  <w:pPr>
                    <w:pStyle w:val="87"/>
                    <w:rPr>
                      <w:rFonts w:hint="default" w:ascii="Times New Roman" w:hAnsi="Times New Roman" w:cs="Times New Roman"/>
                      <w:b/>
                      <w:bCs/>
                      <w:color w:val="000000" w:themeColor="text1"/>
                      <w14:textFill>
                        <w14:solidFill>
                          <w14:schemeClr w14:val="tx1"/>
                        </w14:solidFill>
                      </w14:textFill>
                    </w:rPr>
                  </w:pPr>
                </w:p>
              </w:tc>
              <w:tc>
                <w:tcPr>
                  <w:tcW w:w="864" w:type="pct"/>
                  <w:vMerge w:val="continue"/>
                  <w:vAlign w:val="center"/>
                </w:tcPr>
                <w:p w14:paraId="70076381">
                  <w:pPr>
                    <w:pStyle w:val="87"/>
                    <w:rPr>
                      <w:rFonts w:hint="default" w:ascii="Times New Roman" w:hAnsi="Times New Roman" w:cs="Times New Roman"/>
                      <w:b/>
                      <w:bCs/>
                      <w:color w:val="000000" w:themeColor="text1"/>
                      <w14:textFill>
                        <w14:solidFill>
                          <w14:schemeClr w14:val="tx1"/>
                        </w14:solidFill>
                      </w14:textFill>
                    </w:rPr>
                  </w:pPr>
                </w:p>
              </w:tc>
              <w:tc>
                <w:tcPr>
                  <w:tcW w:w="1410" w:type="pct"/>
                  <w:vMerge w:val="continue"/>
                  <w:vAlign w:val="center"/>
                </w:tcPr>
                <w:p w14:paraId="668131FD">
                  <w:pPr>
                    <w:pStyle w:val="87"/>
                    <w:rPr>
                      <w:rFonts w:hint="default" w:ascii="Times New Roman" w:hAnsi="Times New Roman" w:cs="Times New Roman"/>
                      <w:b/>
                      <w:bCs/>
                      <w:color w:val="000000" w:themeColor="text1"/>
                      <w14:textFill>
                        <w14:solidFill>
                          <w14:schemeClr w14:val="tx1"/>
                        </w14:solidFill>
                      </w14:textFill>
                    </w:rPr>
                  </w:pPr>
                </w:p>
              </w:tc>
              <w:tc>
                <w:tcPr>
                  <w:tcW w:w="1593" w:type="pct"/>
                  <w:vAlign w:val="center"/>
                </w:tcPr>
                <w:p w14:paraId="0567A6EF">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二级</w:t>
                  </w:r>
                </w:p>
              </w:tc>
              <w:tc>
                <w:tcPr>
                  <w:tcW w:w="621" w:type="pct"/>
                  <w:vMerge w:val="continue"/>
                  <w:vAlign w:val="center"/>
                </w:tcPr>
                <w:p w14:paraId="747BC123">
                  <w:pPr>
                    <w:pStyle w:val="87"/>
                    <w:rPr>
                      <w:rFonts w:hint="default" w:ascii="Times New Roman" w:hAnsi="Times New Roman" w:cs="Times New Roman"/>
                      <w:color w:val="000000" w:themeColor="text1"/>
                      <w14:textFill>
                        <w14:solidFill>
                          <w14:schemeClr w14:val="tx1"/>
                        </w14:solidFill>
                      </w14:textFill>
                    </w:rPr>
                  </w:pPr>
                </w:p>
              </w:tc>
            </w:tr>
            <w:tr w14:paraId="3CDE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78C5CB7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64" w:type="pct"/>
                  <w:vMerge w:val="restart"/>
                  <w:vAlign w:val="center"/>
                </w:tcPr>
                <w:p w14:paraId="571AA08A">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1410" w:type="pct"/>
                  <w:vAlign w:val="center"/>
                </w:tcPr>
                <w:p w14:paraId="338DBCF4">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593" w:type="pct"/>
                  <w:vAlign w:val="center"/>
                </w:tcPr>
                <w:p w14:paraId="5F96A8E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621" w:type="pct"/>
                  <w:vMerge w:val="restart"/>
                  <w:vAlign w:val="center"/>
                </w:tcPr>
                <w:p w14:paraId="31DB15C4">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μg/m³</w:t>
                  </w:r>
                </w:p>
              </w:tc>
            </w:tr>
            <w:tr w14:paraId="51DF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491B2F4D">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32F28054">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1C31EAD0">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593" w:type="pct"/>
                  <w:vAlign w:val="center"/>
                </w:tcPr>
                <w:p w14:paraId="4209EE4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621" w:type="pct"/>
                  <w:vMerge w:val="continue"/>
                  <w:vAlign w:val="center"/>
                </w:tcPr>
                <w:p w14:paraId="1207D76B">
                  <w:pPr>
                    <w:pStyle w:val="87"/>
                    <w:rPr>
                      <w:rFonts w:hint="default" w:ascii="Times New Roman" w:hAnsi="Times New Roman" w:cs="Times New Roman"/>
                      <w:color w:val="000000" w:themeColor="text1"/>
                      <w:lang w:val="zh-CN"/>
                      <w14:textFill>
                        <w14:solidFill>
                          <w14:schemeClr w14:val="tx1"/>
                        </w14:solidFill>
                      </w14:textFill>
                    </w:rPr>
                  </w:pPr>
                </w:p>
              </w:tc>
            </w:tr>
            <w:tr w14:paraId="16D6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32FE4B0">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2F64F62D">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4F44E5B4">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593" w:type="pct"/>
                  <w:vAlign w:val="center"/>
                </w:tcPr>
                <w:p w14:paraId="212CFD9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621" w:type="pct"/>
                  <w:vMerge w:val="continue"/>
                  <w:vAlign w:val="center"/>
                </w:tcPr>
                <w:p w14:paraId="5608489D">
                  <w:pPr>
                    <w:pStyle w:val="87"/>
                    <w:rPr>
                      <w:rFonts w:hint="default" w:ascii="Times New Roman" w:hAnsi="Times New Roman" w:cs="Times New Roman"/>
                      <w:color w:val="000000" w:themeColor="text1"/>
                      <w:lang w:val="zh-CN"/>
                      <w14:textFill>
                        <w14:solidFill>
                          <w14:schemeClr w14:val="tx1"/>
                        </w14:solidFill>
                      </w14:textFill>
                    </w:rPr>
                  </w:pPr>
                </w:p>
              </w:tc>
            </w:tr>
            <w:tr w14:paraId="6C23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14:paraId="427586B5">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864" w:type="pct"/>
                  <w:vMerge w:val="restart"/>
                  <w:vAlign w:val="center"/>
                </w:tcPr>
                <w:p w14:paraId="31BDA007">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p>
              </w:tc>
              <w:tc>
                <w:tcPr>
                  <w:tcW w:w="1410" w:type="pct"/>
                  <w:vAlign w:val="center"/>
                </w:tcPr>
                <w:p w14:paraId="52B0F0F4">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593" w:type="pct"/>
                  <w:vAlign w:val="center"/>
                </w:tcPr>
                <w:p w14:paraId="6918944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621" w:type="pct"/>
                  <w:vMerge w:val="restart"/>
                  <w:vAlign w:val="center"/>
                </w:tcPr>
                <w:p w14:paraId="6EFC9D16">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μg/m³</w:t>
                  </w:r>
                </w:p>
              </w:tc>
            </w:tr>
            <w:tr w14:paraId="13ED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21FB5753">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4251D64E">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58974F4B">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593" w:type="pct"/>
                  <w:vAlign w:val="center"/>
                </w:tcPr>
                <w:p w14:paraId="3FC9CBB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621" w:type="pct"/>
                  <w:vMerge w:val="continue"/>
                  <w:vAlign w:val="center"/>
                </w:tcPr>
                <w:p w14:paraId="3B99BCD2">
                  <w:pPr>
                    <w:pStyle w:val="87"/>
                    <w:rPr>
                      <w:rFonts w:hint="default" w:ascii="Times New Roman" w:hAnsi="Times New Roman" w:cs="Times New Roman"/>
                      <w:color w:val="000000" w:themeColor="text1"/>
                      <w:lang w:val="zh-CN"/>
                      <w14:textFill>
                        <w14:solidFill>
                          <w14:schemeClr w14:val="tx1"/>
                        </w14:solidFill>
                      </w14:textFill>
                    </w:rPr>
                  </w:pPr>
                </w:p>
              </w:tc>
            </w:tr>
            <w:tr w14:paraId="5217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BB0427E">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53F3A6C7">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4551F350">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593" w:type="pct"/>
                  <w:vAlign w:val="center"/>
                </w:tcPr>
                <w:p w14:paraId="73F027C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621" w:type="pct"/>
                  <w:vMerge w:val="continue"/>
                  <w:vAlign w:val="center"/>
                </w:tcPr>
                <w:p w14:paraId="5F336784">
                  <w:pPr>
                    <w:pStyle w:val="87"/>
                    <w:rPr>
                      <w:rFonts w:hint="default" w:ascii="Times New Roman" w:hAnsi="Times New Roman" w:cs="Times New Roman"/>
                      <w:color w:val="000000" w:themeColor="text1"/>
                      <w:lang w:val="zh-CN"/>
                      <w14:textFill>
                        <w14:solidFill>
                          <w14:schemeClr w14:val="tx1"/>
                        </w14:solidFill>
                      </w14:textFill>
                    </w:rPr>
                  </w:pPr>
                </w:p>
              </w:tc>
            </w:tr>
            <w:tr w14:paraId="5919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5DFE639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864" w:type="pct"/>
                  <w:vMerge w:val="restart"/>
                  <w:vAlign w:val="center"/>
                </w:tcPr>
                <w:p w14:paraId="034089C8">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1410" w:type="pct"/>
                  <w:vAlign w:val="center"/>
                </w:tcPr>
                <w:p w14:paraId="5DF267EA">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593" w:type="pct"/>
                  <w:vAlign w:val="center"/>
                </w:tcPr>
                <w:p w14:paraId="378966E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21" w:type="pct"/>
                  <w:vMerge w:val="restart"/>
                  <w:vAlign w:val="center"/>
                </w:tcPr>
                <w:p w14:paraId="2D3EB106">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mg/m³</w:t>
                  </w:r>
                </w:p>
              </w:tc>
            </w:tr>
            <w:tr w14:paraId="11D2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330DB80">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1461B23E">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02FFA7DA">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593" w:type="pct"/>
                  <w:vAlign w:val="center"/>
                </w:tcPr>
                <w:p w14:paraId="24D719E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21" w:type="pct"/>
                  <w:vMerge w:val="continue"/>
                  <w:vAlign w:val="center"/>
                </w:tcPr>
                <w:p w14:paraId="6B0AA118">
                  <w:pPr>
                    <w:pStyle w:val="87"/>
                    <w:rPr>
                      <w:rFonts w:hint="default" w:ascii="Times New Roman" w:hAnsi="Times New Roman" w:cs="Times New Roman"/>
                      <w:color w:val="000000" w:themeColor="text1"/>
                      <w:lang w:val="zh-CN"/>
                      <w14:textFill>
                        <w14:solidFill>
                          <w14:schemeClr w14:val="tx1"/>
                        </w14:solidFill>
                      </w14:textFill>
                    </w:rPr>
                  </w:pPr>
                </w:p>
              </w:tc>
            </w:tr>
            <w:tr w14:paraId="4344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14:paraId="65D5405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864" w:type="pct"/>
                  <w:vMerge w:val="restart"/>
                  <w:vAlign w:val="center"/>
                </w:tcPr>
                <w:p w14:paraId="4111D37F">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p>
              </w:tc>
              <w:tc>
                <w:tcPr>
                  <w:tcW w:w="1410" w:type="pct"/>
                  <w:vAlign w:val="center"/>
                </w:tcPr>
                <w:p w14:paraId="63EB8813">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日最大8小时平均</w:t>
                  </w:r>
                </w:p>
              </w:tc>
              <w:tc>
                <w:tcPr>
                  <w:tcW w:w="1593" w:type="pct"/>
                  <w:vAlign w:val="center"/>
                </w:tcPr>
                <w:p w14:paraId="5DD0320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w:t>
                  </w:r>
                </w:p>
              </w:tc>
              <w:tc>
                <w:tcPr>
                  <w:tcW w:w="621" w:type="pct"/>
                  <w:vMerge w:val="restart"/>
                  <w:vAlign w:val="center"/>
                </w:tcPr>
                <w:p w14:paraId="171CB47A">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μg/m³</w:t>
                  </w:r>
                </w:p>
              </w:tc>
            </w:tr>
            <w:tr w14:paraId="6B65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3471A05F">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06223994">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6A0786CE">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593" w:type="pct"/>
                  <w:vAlign w:val="center"/>
                </w:tcPr>
                <w:p w14:paraId="3DCB74D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621" w:type="pct"/>
                  <w:vMerge w:val="continue"/>
                  <w:vAlign w:val="center"/>
                </w:tcPr>
                <w:p w14:paraId="414E1414">
                  <w:pPr>
                    <w:pStyle w:val="87"/>
                    <w:rPr>
                      <w:rFonts w:hint="default" w:ascii="Times New Roman" w:hAnsi="Times New Roman" w:cs="Times New Roman"/>
                      <w:color w:val="000000" w:themeColor="text1"/>
                      <w:lang w:val="zh-CN"/>
                      <w14:textFill>
                        <w14:solidFill>
                          <w14:schemeClr w14:val="tx1"/>
                        </w14:solidFill>
                      </w14:textFill>
                    </w:rPr>
                  </w:pPr>
                </w:p>
              </w:tc>
            </w:tr>
            <w:tr w14:paraId="11F3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1F4B9B4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64" w:type="pct"/>
                  <w:vMerge w:val="restart"/>
                  <w:vAlign w:val="center"/>
                </w:tcPr>
                <w:p w14:paraId="3291BDC1">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1410" w:type="pct"/>
                  <w:vAlign w:val="center"/>
                </w:tcPr>
                <w:p w14:paraId="1C29545B">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593" w:type="pct"/>
                  <w:vAlign w:val="center"/>
                </w:tcPr>
                <w:p w14:paraId="7895E63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621" w:type="pct"/>
                  <w:vMerge w:val="restart"/>
                  <w:vAlign w:val="center"/>
                </w:tcPr>
                <w:p w14:paraId="29ADF745">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μg/m³</w:t>
                  </w:r>
                </w:p>
              </w:tc>
            </w:tr>
            <w:tr w14:paraId="1413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14727A6">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31C8E8E4">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039B47A7">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593" w:type="pct"/>
                  <w:vAlign w:val="center"/>
                </w:tcPr>
                <w:p w14:paraId="7718767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621" w:type="pct"/>
                  <w:vMerge w:val="continue"/>
                  <w:vAlign w:val="center"/>
                </w:tcPr>
                <w:p w14:paraId="00854777">
                  <w:pPr>
                    <w:pStyle w:val="87"/>
                    <w:rPr>
                      <w:rFonts w:hint="default" w:ascii="Times New Roman" w:hAnsi="Times New Roman" w:cs="Times New Roman"/>
                      <w:color w:val="000000" w:themeColor="text1"/>
                      <w:lang w:val="zh-CN"/>
                      <w14:textFill>
                        <w14:solidFill>
                          <w14:schemeClr w14:val="tx1"/>
                        </w14:solidFill>
                      </w14:textFill>
                    </w:rPr>
                  </w:pPr>
                </w:p>
              </w:tc>
            </w:tr>
            <w:tr w14:paraId="53CB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vMerge w:val="restart"/>
                  <w:vAlign w:val="center"/>
                </w:tcPr>
                <w:p w14:paraId="44C4155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64" w:type="pct"/>
                  <w:vMerge w:val="restart"/>
                  <w:vAlign w:val="center"/>
                </w:tcPr>
                <w:p w14:paraId="3172DFDE">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p>
              </w:tc>
              <w:tc>
                <w:tcPr>
                  <w:tcW w:w="1410" w:type="pct"/>
                  <w:vAlign w:val="center"/>
                </w:tcPr>
                <w:p w14:paraId="1F030731">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593" w:type="pct"/>
                  <w:vAlign w:val="center"/>
                </w:tcPr>
                <w:p w14:paraId="5237977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621" w:type="pct"/>
                  <w:vMerge w:val="restart"/>
                  <w:vAlign w:val="center"/>
                </w:tcPr>
                <w:p w14:paraId="39BAF165">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μg/m³</w:t>
                  </w:r>
                </w:p>
              </w:tc>
            </w:tr>
            <w:tr w14:paraId="674C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43F4A63B">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1B9A0592">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7ED4673C">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593" w:type="pct"/>
                  <w:vAlign w:val="center"/>
                </w:tcPr>
                <w:p w14:paraId="358967A7">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tc>
              <w:tc>
                <w:tcPr>
                  <w:tcW w:w="621" w:type="pct"/>
                  <w:vMerge w:val="continue"/>
                  <w:vAlign w:val="center"/>
                </w:tcPr>
                <w:p w14:paraId="735A3912">
                  <w:pPr>
                    <w:pStyle w:val="87"/>
                    <w:rPr>
                      <w:rFonts w:hint="default" w:ascii="Times New Roman" w:hAnsi="Times New Roman" w:cs="Times New Roman"/>
                      <w:color w:val="000000" w:themeColor="text1"/>
                      <w:lang w:val="zh-CN"/>
                      <w14:textFill>
                        <w14:solidFill>
                          <w14:schemeClr w14:val="tx1"/>
                        </w14:solidFill>
                      </w14:textFill>
                    </w:rPr>
                  </w:pPr>
                </w:p>
              </w:tc>
            </w:tr>
            <w:tr w14:paraId="262D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79CD0ED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64" w:type="pct"/>
                  <w:vMerge w:val="restart"/>
                  <w:vAlign w:val="center"/>
                </w:tcPr>
                <w:p w14:paraId="4ABF3342">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TSP</w:t>
                  </w:r>
                </w:p>
              </w:tc>
              <w:tc>
                <w:tcPr>
                  <w:tcW w:w="1410" w:type="pct"/>
                  <w:vAlign w:val="center"/>
                </w:tcPr>
                <w:p w14:paraId="241E4D36">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593" w:type="pct"/>
                  <w:vAlign w:val="center"/>
                </w:tcPr>
                <w:p w14:paraId="3984C91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621" w:type="pct"/>
                  <w:vMerge w:val="restart"/>
                  <w:vAlign w:val="center"/>
                </w:tcPr>
                <w:p w14:paraId="362435BA">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μg/m³</w:t>
                  </w:r>
                </w:p>
              </w:tc>
            </w:tr>
            <w:tr w14:paraId="14A6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4BB8CDA7">
                  <w:pPr>
                    <w:pStyle w:val="87"/>
                    <w:rPr>
                      <w:rFonts w:hint="default" w:ascii="Times New Roman" w:hAnsi="Times New Roman" w:cs="Times New Roman"/>
                      <w:color w:val="000000" w:themeColor="text1"/>
                      <w:lang w:val="zh-CN"/>
                      <w14:textFill>
                        <w14:solidFill>
                          <w14:schemeClr w14:val="tx1"/>
                        </w14:solidFill>
                      </w14:textFill>
                    </w:rPr>
                  </w:pPr>
                </w:p>
              </w:tc>
              <w:tc>
                <w:tcPr>
                  <w:tcW w:w="864" w:type="pct"/>
                  <w:vMerge w:val="continue"/>
                  <w:vAlign w:val="center"/>
                </w:tcPr>
                <w:p w14:paraId="0BB66C05">
                  <w:pPr>
                    <w:pStyle w:val="87"/>
                    <w:rPr>
                      <w:rFonts w:hint="default" w:ascii="Times New Roman" w:hAnsi="Times New Roman" w:cs="Times New Roman"/>
                      <w:color w:val="000000" w:themeColor="text1"/>
                      <w:lang w:val="zh-CN"/>
                      <w14:textFill>
                        <w14:solidFill>
                          <w14:schemeClr w14:val="tx1"/>
                        </w14:solidFill>
                      </w14:textFill>
                    </w:rPr>
                  </w:pPr>
                </w:p>
              </w:tc>
              <w:tc>
                <w:tcPr>
                  <w:tcW w:w="1410" w:type="pct"/>
                  <w:vAlign w:val="center"/>
                </w:tcPr>
                <w:p w14:paraId="705AA1F4">
                  <w:pPr>
                    <w:pStyle w:val="87"/>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593" w:type="pct"/>
                  <w:vAlign w:val="center"/>
                </w:tcPr>
                <w:p w14:paraId="6003F8F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621" w:type="pct"/>
                  <w:vMerge w:val="continue"/>
                  <w:vAlign w:val="center"/>
                </w:tcPr>
                <w:p w14:paraId="1371ED3A">
                  <w:pPr>
                    <w:pStyle w:val="87"/>
                    <w:rPr>
                      <w:rFonts w:hint="default" w:ascii="Times New Roman" w:hAnsi="Times New Roman" w:cs="Times New Roman"/>
                      <w:color w:val="000000" w:themeColor="text1"/>
                      <w:lang w:val="zh-CN"/>
                      <w14:textFill>
                        <w14:solidFill>
                          <w14:schemeClr w14:val="tx1"/>
                        </w14:solidFill>
                      </w14:textFill>
                    </w:rPr>
                  </w:pPr>
                </w:p>
              </w:tc>
            </w:tr>
            <w:tr w14:paraId="5E10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249A763">
                  <w:pPr>
                    <w:pStyle w:val="87"/>
                    <w:rPr>
                      <w:rFonts w:hint="default" w:ascii="Times New Roman" w:hAnsi="Times New Roman" w:cs="Times New Roman"/>
                      <w:color w:val="000000" w:themeColor="text1"/>
                      <w14:textFill>
                        <w14:solidFill>
                          <w14:schemeClr w14:val="tx1"/>
                        </w14:solidFill>
                      </w14:textFill>
                    </w:rPr>
                  </w:pPr>
                </w:p>
              </w:tc>
              <w:tc>
                <w:tcPr>
                  <w:tcW w:w="864" w:type="pct"/>
                  <w:vMerge w:val="continue"/>
                  <w:vAlign w:val="center"/>
                </w:tcPr>
                <w:p w14:paraId="2EA7375D">
                  <w:pPr>
                    <w:pStyle w:val="87"/>
                    <w:rPr>
                      <w:rFonts w:hint="default" w:ascii="Times New Roman" w:hAnsi="Times New Roman" w:cs="Times New Roman"/>
                      <w:color w:val="000000" w:themeColor="text1"/>
                      <w14:textFill>
                        <w14:solidFill>
                          <w14:schemeClr w14:val="tx1"/>
                        </w14:solidFill>
                      </w14:textFill>
                    </w:rPr>
                  </w:pPr>
                </w:p>
              </w:tc>
              <w:tc>
                <w:tcPr>
                  <w:tcW w:w="1410" w:type="pct"/>
                  <w:vAlign w:val="center"/>
                </w:tcPr>
                <w:p w14:paraId="6003BFA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日平均</w:t>
                  </w:r>
                </w:p>
              </w:tc>
              <w:tc>
                <w:tcPr>
                  <w:tcW w:w="1593" w:type="pct"/>
                  <w:vAlign w:val="center"/>
                </w:tcPr>
                <w:p w14:paraId="0ADD485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621" w:type="pct"/>
                  <w:vMerge w:val="continue"/>
                  <w:vAlign w:val="center"/>
                </w:tcPr>
                <w:p w14:paraId="662CC1B7">
                  <w:pPr>
                    <w:pStyle w:val="87"/>
                    <w:rPr>
                      <w:rFonts w:hint="default" w:ascii="Times New Roman" w:hAnsi="Times New Roman" w:cs="Times New Roman"/>
                      <w:color w:val="000000" w:themeColor="text1"/>
                      <w:lang w:val="zh-CN"/>
                      <w14:textFill>
                        <w14:solidFill>
                          <w14:schemeClr w14:val="tx1"/>
                        </w14:solidFill>
                      </w14:textFill>
                    </w:rPr>
                  </w:pPr>
                </w:p>
              </w:tc>
            </w:tr>
          </w:tbl>
          <w:p w14:paraId="360CAEF8">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（2）地表水环境</w:t>
            </w:r>
          </w:p>
          <w:p w14:paraId="32283E33">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根据《昆明市和滇中产业新区水功能区划》（2011～2030年），</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寻甸凤龙湾水库开发利用区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：属省级区划。全库，水库位于寻甸县七星镇大塘村委会附近的马过河上，总库容2056万m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，兴利库容1325万m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，目前主要供周边工矿企业用水及下游2.3万亩农田灌溉，水资源开发利用程度高，设计年供水量789万m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。现状水质为Ⅲ类，规划水平年水质保护目标按水功能二级区划执行。</w:t>
            </w:r>
          </w:p>
          <w:p w14:paraId="0DBE8E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根据现场调查，项目周边最近地表水体为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项目西侧1060m石板桥河</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以及项目东侧2380m的龙潭河。</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石板桥河</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、龙潭河均</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位</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于</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寻甸凤龙湾水库的上游，</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执行《地表水环境质量标准》（GB3838-2002）Ⅲ类水质标准。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标准限值见下表。</w:t>
            </w:r>
          </w:p>
          <w:p w14:paraId="12976AA8">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19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地表水环境质量标准（pH为无量纲）单位：（mg/L）</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59"/>
              <w:gridCol w:w="4608"/>
            </w:tblGrid>
            <w:tr w14:paraId="52DA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241C8B7">
                  <w:pPr>
                    <w:pStyle w:val="87"/>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1264" w:type="pct"/>
                  <w:noWrap w:val="0"/>
                  <w:vAlign w:val="center"/>
                </w:tcPr>
                <w:p w14:paraId="37D1C5A4">
                  <w:pPr>
                    <w:pStyle w:val="87"/>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项目名称</w:t>
                  </w:r>
                </w:p>
              </w:tc>
              <w:tc>
                <w:tcPr>
                  <w:tcW w:w="2973" w:type="pct"/>
                  <w:noWrap w:val="0"/>
                  <w:vAlign w:val="center"/>
                </w:tcPr>
                <w:p w14:paraId="11ADCD2B">
                  <w:pPr>
                    <w:pStyle w:val="87"/>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Ⅲ</w:t>
                  </w:r>
                  <w:r>
                    <w:rPr>
                      <w:rFonts w:hint="default" w:ascii="Times New Roman" w:hAnsi="Times New Roman" w:cs="Times New Roman"/>
                      <w:b/>
                      <w:bCs/>
                      <w:color w:val="000000" w:themeColor="text1"/>
                      <w:lang w:val="en-US" w:eastAsia="zh-CN"/>
                      <w14:textFill>
                        <w14:solidFill>
                          <w14:schemeClr w14:val="tx1"/>
                        </w14:solidFill>
                      </w14:textFill>
                    </w:rPr>
                    <w:t>类</w:t>
                  </w:r>
                </w:p>
              </w:tc>
            </w:tr>
            <w:tr w14:paraId="4278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885038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264" w:type="pct"/>
                  <w:noWrap w:val="0"/>
                  <w:vAlign w:val="center"/>
                </w:tcPr>
                <w:p w14:paraId="4534E35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pH值（无量纲）</w:t>
                  </w:r>
                </w:p>
              </w:tc>
              <w:tc>
                <w:tcPr>
                  <w:tcW w:w="2973" w:type="pct"/>
                  <w:noWrap w:val="0"/>
                  <w:vAlign w:val="center"/>
                </w:tcPr>
                <w:p w14:paraId="6CB2740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r>
            <w:tr w14:paraId="74E3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A35A0C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264" w:type="pct"/>
                  <w:noWrap w:val="0"/>
                  <w:vAlign w:val="center"/>
                </w:tcPr>
                <w:p w14:paraId="524CD97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p>
              </w:tc>
              <w:tc>
                <w:tcPr>
                  <w:tcW w:w="2973" w:type="pct"/>
                  <w:noWrap w:val="0"/>
                  <w:vAlign w:val="center"/>
                </w:tcPr>
                <w:p w14:paraId="0FA2705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r>
            <w:tr w14:paraId="50DD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06E52C0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264" w:type="pct"/>
                  <w:noWrap w:val="0"/>
                  <w:vAlign w:val="center"/>
                </w:tcPr>
                <w:p w14:paraId="7E20C83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BOD</w:t>
                  </w:r>
                  <w:r>
                    <w:rPr>
                      <w:rFonts w:hint="default" w:ascii="Times New Roman" w:hAnsi="Times New Roman" w:cs="Times New Roman"/>
                      <w:color w:val="000000" w:themeColor="text1"/>
                      <w:vertAlign w:val="subscript"/>
                      <w:lang w:val="en-US" w:eastAsia="zh-CN"/>
                      <w14:textFill>
                        <w14:solidFill>
                          <w14:schemeClr w14:val="tx1"/>
                        </w14:solidFill>
                      </w14:textFill>
                    </w:rPr>
                    <w:t>5</w:t>
                  </w:r>
                </w:p>
              </w:tc>
              <w:tc>
                <w:tcPr>
                  <w:tcW w:w="2973" w:type="pct"/>
                  <w:noWrap w:val="0"/>
                  <w:vAlign w:val="center"/>
                </w:tcPr>
                <w:p w14:paraId="0F57CB7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r>
            <w:tr w14:paraId="036B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83139F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264" w:type="pct"/>
                  <w:noWrap w:val="0"/>
                  <w:vAlign w:val="center"/>
                </w:tcPr>
                <w:p w14:paraId="4C335C6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氨氮</w:t>
                  </w:r>
                </w:p>
              </w:tc>
              <w:tc>
                <w:tcPr>
                  <w:tcW w:w="2973" w:type="pct"/>
                  <w:noWrap w:val="0"/>
                  <w:vAlign w:val="center"/>
                </w:tcPr>
                <w:p w14:paraId="1D23A09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2E3D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938854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1264" w:type="pct"/>
                  <w:noWrap w:val="0"/>
                  <w:vAlign w:val="center"/>
                </w:tcPr>
                <w:p w14:paraId="08B8342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总磷</w:t>
                  </w:r>
                </w:p>
              </w:tc>
              <w:tc>
                <w:tcPr>
                  <w:tcW w:w="2973" w:type="pct"/>
                  <w:noWrap w:val="0"/>
                  <w:vAlign w:val="center"/>
                </w:tcPr>
                <w:p w14:paraId="5EB71B9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14:paraId="3F4A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2D9A97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264" w:type="pct"/>
                  <w:noWrap w:val="0"/>
                  <w:vAlign w:val="center"/>
                </w:tcPr>
                <w:p w14:paraId="77F9D02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总氮</w:t>
                  </w:r>
                </w:p>
              </w:tc>
              <w:tc>
                <w:tcPr>
                  <w:tcW w:w="2973" w:type="pct"/>
                  <w:noWrap w:val="0"/>
                  <w:vAlign w:val="center"/>
                </w:tcPr>
                <w:p w14:paraId="3CD5F9E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6D89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4E103D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1264" w:type="pct"/>
                  <w:noWrap w:val="0"/>
                  <w:vAlign w:val="center"/>
                </w:tcPr>
                <w:p w14:paraId="6AD2EEF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氟化物</w:t>
                  </w:r>
                </w:p>
              </w:tc>
              <w:tc>
                <w:tcPr>
                  <w:tcW w:w="2973" w:type="pct"/>
                  <w:noWrap w:val="0"/>
                  <w:vAlign w:val="center"/>
                </w:tcPr>
                <w:p w14:paraId="1B3A945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0554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F113D1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1264" w:type="pct"/>
                  <w:noWrap w:val="0"/>
                  <w:vAlign w:val="center"/>
                </w:tcPr>
                <w:p w14:paraId="409E9AD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石油类</w:t>
                  </w:r>
                </w:p>
              </w:tc>
              <w:tc>
                <w:tcPr>
                  <w:tcW w:w="2973" w:type="pct"/>
                  <w:noWrap w:val="0"/>
                  <w:vAlign w:val="center"/>
                </w:tcPr>
                <w:p w14:paraId="119AD61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14:paraId="35EF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69EFC0F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1264" w:type="pct"/>
                  <w:noWrap w:val="0"/>
                  <w:vAlign w:val="center"/>
                </w:tcPr>
                <w:p w14:paraId="6D1914C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粪大肠菌群（个/L）</w:t>
                  </w:r>
                </w:p>
              </w:tc>
              <w:tc>
                <w:tcPr>
                  <w:tcW w:w="2973" w:type="pct"/>
                  <w:noWrap w:val="0"/>
                  <w:vAlign w:val="center"/>
                </w:tcPr>
                <w:p w14:paraId="0D70146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≤10000</w:t>
                  </w:r>
                </w:p>
              </w:tc>
            </w:tr>
            <w:tr w14:paraId="2484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6A4EBED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264" w:type="pct"/>
                  <w:noWrap w:val="0"/>
                  <w:vAlign w:val="center"/>
                </w:tcPr>
                <w:p w14:paraId="3F218AB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水温（℃）</w:t>
                  </w:r>
                </w:p>
              </w:tc>
              <w:tc>
                <w:tcPr>
                  <w:tcW w:w="2973" w:type="pct"/>
                  <w:noWrap w:val="0"/>
                  <w:vAlign w:val="center"/>
                </w:tcPr>
                <w:p w14:paraId="3743250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人为造成的环境水温变化应限制在：周平均最大温升≤1；周平均最大温降≤2</w:t>
                  </w:r>
                </w:p>
              </w:tc>
            </w:tr>
            <w:tr w14:paraId="3923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04341EE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c>
                <w:tcPr>
                  <w:tcW w:w="1264" w:type="pct"/>
                  <w:noWrap w:val="0"/>
                  <w:vAlign w:val="center"/>
                </w:tcPr>
                <w:p w14:paraId="66C22819">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氰化物</w:t>
                  </w:r>
                </w:p>
              </w:tc>
              <w:tc>
                <w:tcPr>
                  <w:tcW w:w="2973" w:type="pct"/>
                  <w:noWrap w:val="0"/>
                  <w:vAlign w:val="center"/>
                </w:tcPr>
                <w:p w14:paraId="5E9B33DD">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14:paraId="5B51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283080E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1264" w:type="pct"/>
                  <w:noWrap w:val="0"/>
                  <w:vAlign w:val="center"/>
                </w:tcPr>
                <w:p w14:paraId="300FE892">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硒</w:t>
                  </w:r>
                </w:p>
              </w:tc>
              <w:tc>
                <w:tcPr>
                  <w:tcW w:w="2973" w:type="pct"/>
                  <w:noWrap w:val="0"/>
                  <w:vAlign w:val="center"/>
                </w:tcPr>
                <w:p w14:paraId="4436E157">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r>
            <w:tr w14:paraId="6F6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6B870B9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w:t>
                  </w:r>
                </w:p>
              </w:tc>
              <w:tc>
                <w:tcPr>
                  <w:tcW w:w="1264" w:type="pct"/>
                  <w:noWrap w:val="0"/>
                  <w:vAlign w:val="center"/>
                </w:tcPr>
                <w:p w14:paraId="38B52D97">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硫化物</w:t>
                  </w:r>
                </w:p>
              </w:tc>
              <w:tc>
                <w:tcPr>
                  <w:tcW w:w="2973" w:type="pct"/>
                  <w:noWrap w:val="0"/>
                  <w:vAlign w:val="center"/>
                </w:tcPr>
                <w:p w14:paraId="631D6D4B">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14:paraId="6F2F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19D0C8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w:t>
                  </w:r>
                </w:p>
              </w:tc>
              <w:tc>
                <w:tcPr>
                  <w:tcW w:w="1264" w:type="pct"/>
                  <w:noWrap w:val="0"/>
                  <w:vAlign w:val="center"/>
                </w:tcPr>
                <w:p w14:paraId="4E4380E4">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挥发酚</w:t>
                  </w:r>
                </w:p>
              </w:tc>
              <w:tc>
                <w:tcPr>
                  <w:tcW w:w="2973" w:type="pct"/>
                  <w:noWrap w:val="0"/>
                  <w:vAlign w:val="center"/>
                </w:tcPr>
                <w:p w14:paraId="43F5CC15">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r>
            <w:tr w14:paraId="116A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65FD31D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264" w:type="pct"/>
                  <w:noWrap w:val="0"/>
                  <w:vAlign w:val="center"/>
                </w:tcPr>
                <w:p w14:paraId="1C9FE6D2">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阴离子表面活性剂</w:t>
                  </w:r>
                </w:p>
              </w:tc>
              <w:tc>
                <w:tcPr>
                  <w:tcW w:w="2973" w:type="pct"/>
                  <w:noWrap w:val="0"/>
                  <w:vAlign w:val="center"/>
                </w:tcPr>
                <w:p w14:paraId="0420BFA3">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14:paraId="5E93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82E0CE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w:t>
                  </w:r>
                </w:p>
              </w:tc>
              <w:tc>
                <w:tcPr>
                  <w:tcW w:w="1264" w:type="pct"/>
                  <w:noWrap w:val="0"/>
                  <w:vAlign w:val="center"/>
                </w:tcPr>
                <w:p w14:paraId="01149E64">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溶解氧（无量纲）</w:t>
                  </w:r>
                </w:p>
              </w:tc>
              <w:tc>
                <w:tcPr>
                  <w:tcW w:w="2973" w:type="pct"/>
                  <w:noWrap w:val="0"/>
                  <w:vAlign w:val="center"/>
                </w:tcPr>
                <w:p w14:paraId="3A59BD56">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r>
            <w:tr w14:paraId="69FB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2B7AE1D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w:t>
                  </w:r>
                </w:p>
              </w:tc>
              <w:tc>
                <w:tcPr>
                  <w:tcW w:w="1264" w:type="pct"/>
                  <w:noWrap w:val="0"/>
                  <w:vAlign w:val="center"/>
                </w:tcPr>
                <w:p w14:paraId="6E67C33D">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高锰酸钾盐指数</w:t>
                  </w:r>
                </w:p>
              </w:tc>
              <w:tc>
                <w:tcPr>
                  <w:tcW w:w="2973" w:type="pct"/>
                  <w:noWrap w:val="0"/>
                  <w:vAlign w:val="center"/>
                </w:tcPr>
                <w:p w14:paraId="63B88B9A">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r>
            <w:tr w14:paraId="578C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A01CAC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w:t>
                  </w:r>
                </w:p>
              </w:tc>
              <w:tc>
                <w:tcPr>
                  <w:tcW w:w="1264" w:type="pct"/>
                  <w:noWrap w:val="0"/>
                  <w:vAlign w:val="center"/>
                </w:tcPr>
                <w:p w14:paraId="12F15185">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铜</w:t>
                  </w:r>
                </w:p>
              </w:tc>
              <w:tc>
                <w:tcPr>
                  <w:tcW w:w="2973" w:type="pct"/>
                  <w:noWrap w:val="0"/>
                  <w:vAlign w:val="center"/>
                </w:tcPr>
                <w:p w14:paraId="0443A1F8">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08AB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DA87DB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1264" w:type="pct"/>
                  <w:noWrap w:val="0"/>
                  <w:vAlign w:val="center"/>
                </w:tcPr>
                <w:p w14:paraId="7039970C">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锌</w:t>
                  </w:r>
                </w:p>
              </w:tc>
              <w:tc>
                <w:tcPr>
                  <w:tcW w:w="2973" w:type="pct"/>
                  <w:noWrap w:val="0"/>
                  <w:vAlign w:val="center"/>
                </w:tcPr>
                <w:p w14:paraId="7BFC0088">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4F80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12E929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264" w:type="pct"/>
                  <w:noWrap w:val="0"/>
                  <w:vAlign w:val="center"/>
                </w:tcPr>
                <w:p w14:paraId="45B326EC">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镉</w:t>
                  </w:r>
                </w:p>
              </w:tc>
              <w:tc>
                <w:tcPr>
                  <w:tcW w:w="2973" w:type="pct"/>
                  <w:noWrap w:val="0"/>
                  <w:vAlign w:val="center"/>
                </w:tcPr>
                <w:p w14:paraId="6E368944">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r>
            <w:tr w14:paraId="5D57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01C264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1264" w:type="pct"/>
                  <w:noWrap w:val="0"/>
                  <w:vAlign w:val="center"/>
                </w:tcPr>
                <w:p w14:paraId="14ECC7C8">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铅</w:t>
                  </w:r>
                </w:p>
              </w:tc>
              <w:tc>
                <w:tcPr>
                  <w:tcW w:w="2973" w:type="pct"/>
                  <w:noWrap w:val="0"/>
                  <w:vAlign w:val="center"/>
                </w:tcPr>
                <w:p w14:paraId="3CF2D937">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14:paraId="6B2A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9D556F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w:t>
                  </w:r>
                </w:p>
              </w:tc>
              <w:tc>
                <w:tcPr>
                  <w:tcW w:w="1264" w:type="pct"/>
                  <w:noWrap w:val="0"/>
                  <w:vAlign w:val="center"/>
                </w:tcPr>
                <w:p w14:paraId="499397BE">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六价铬</w:t>
                  </w:r>
                </w:p>
              </w:tc>
              <w:tc>
                <w:tcPr>
                  <w:tcW w:w="2973" w:type="pct"/>
                  <w:noWrap w:val="0"/>
                  <w:vAlign w:val="center"/>
                </w:tcPr>
                <w:p w14:paraId="7A8D91EF">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14:paraId="4C23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E1020F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w:t>
                  </w:r>
                </w:p>
              </w:tc>
              <w:tc>
                <w:tcPr>
                  <w:tcW w:w="1264" w:type="pct"/>
                  <w:noWrap w:val="0"/>
                  <w:vAlign w:val="center"/>
                </w:tcPr>
                <w:p w14:paraId="36030A21">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汞</w:t>
                  </w:r>
                </w:p>
              </w:tc>
              <w:tc>
                <w:tcPr>
                  <w:tcW w:w="2973" w:type="pct"/>
                  <w:noWrap w:val="0"/>
                  <w:vAlign w:val="center"/>
                </w:tcPr>
                <w:p w14:paraId="2470ED25">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14:paraId="07D0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74CFDF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1264" w:type="pct"/>
                  <w:noWrap w:val="0"/>
                  <w:vAlign w:val="center"/>
                </w:tcPr>
                <w:p w14:paraId="5D483CCD">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砷</w:t>
                  </w:r>
                </w:p>
              </w:tc>
              <w:tc>
                <w:tcPr>
                  <w:tcW w:w="2973" w:type="pct"/>
                  <w:noWrap w:val="0"/>
                  <w:vAlign w:val="center"/>
                </w:tcPr>
                <w:p w14:paraId="0EBAE2A8">
                  <w:pPr>
                    <w:pStyle w:val="8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bl>
          <w:p w14:paraId="131A56AB">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（3）地下水环境</w:t>
            </w:r>
          </w:p>
          <w:p w14:paraId="747B9FC1">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项目区地下水环境执行《地下水质量标准》（GB/T14848-2017）III类标准，标准限值见下表。</w:t>
            </w:r>
          </w:p>
          <w:p w14:paraId="45ACB3D0">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20 </w:t>
            </w:r>
            <w:r>
              <w:rPr>
                <w:rFonts w:hint="default" w:ascii="Times New Roman" w:hAnsi="Times New Roman" w:cs="Times New Roman"/>
                <w:b/>
                <w:bCs/>
                <w:color w:val="000000" w:themeColor="text1"/>
                <w:sz w:val="24"/>
                <w:szCs w:val="24"/>
                <w:lang w:val="en-US"/>
                <w14:textFill>
                  <w14:solidFill>
                    <w14:schemeClr w14:val="tx1"/>
                  </w14:solidFill>
                </w14:textFill>
              </w:rPr>
              <w:t xml:space="preserve"> 地下水质量标准单位：mg/L</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698"/>
              <w:gridCol w:w="1218"/>
              <w:gridCol w:w="459"/>
              <w:gridCol w:w="1439"/>
              <w:gridCol w:w="1229"/>
            </w:tblGrid>
            <w:tr w14:paraId="0F75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0D7B006B">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2698" w:type="dxa"/>
                  <w:vAlign w:val="center"/>
                </w:tcPr>
                <w:p w14:paraId="42CBB1C8">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水质指标</w:t>
                  </w:r>
                </w:p>
              </w:tc>
              <w:tc>
                <w:tcPr>
                  <w:tcW w:w="1218" w:type="dxa"/>
                  <w:vAlign w:val="center"/>
                </w:tcPr>
                <w:p w14:paraId="1B70263E">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III类标准</w:t>
                  </w:r>
                </w:p>
              </w:tc>
              <w:tc>
                <w:tcPr>
                  <w:tcW w:w="459" w:type="dxa"/>
                  <w:vAlign w:val="center"/>
                </w:tcPr>
                <w:p w14:paraId="3877D12C">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1439" w:type="dxa"/>
                  <w:vAlign w:val="center"/>
                </w:tcPr>
                <w:p w14:paraId="67A044BF">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水质指标</w:t>
                  </w:r>
                </w:p>
              </w:tc>
              <w:tc>
                <w:tcPr>
                  <w:tcW w:w="1229" w:type="dxa"/>
                  <w:vAlign w:val="center"/>
                </w:tcPr>
                <w:p w14:paraId="0A7A4355">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III类标准</w:t>
                  </w:r>
                </w:p>
              </w:tc>
            </w:tr>
            <w:tr w14:paraId="6D40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tcPr>
                <w:p w14:paraId="368FE72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698" w:type="dxa"/>
                </w:tcPr>
                <w:p w14:paraId="49A3D98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色度（度）</w:t>
                  </w:r>
                </w:p>
              </w:tc>
              <w:tc>
                <w:tcPr>
                  <w:tcW w:w="1218" w:type="dxa"/>
                </w:tcPr>
                <w:p w14:paraId="2DDDBEE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459" w:type="dxa"/>
                </w:tcPr>
                <w:p w14:paraId="2EF1851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1439" w:type="dxa"/>
                </w:tcPr>
                <w:p w14:paraId="028C007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c>
                <w:tcPr>
                  <w:tcW w:w="1229" w:type="dxa"/>
                </w:tcPr>
                <w:p w14:paraId="4FFB0D7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r>
            <w:tr w14:paraId="536A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6FE7913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698" w:type="dxa"/>
                </w:tcPr>
                <w:p w14:paraId="21BBEEB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肉眼可见物</w:t>
                  </w:r>
                </w:p>
              </w:tc>
              <w:tc>
                <w:tcPr>
                  <w:tcW w:w="1218" w:type="dxa"/>
                </w:tcPr>
                <w:p w14:paraId="41C27BD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w:t>
                  </w:r>
                </w:p>
              </w:tc>
              <w:tc>
                <w:tcPr>
                  <w:tcW w:w="459" w:type="dxa"/>
                </w:tcPr>
                <w:p w14:paraId="5D159CE7">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1439" w:type="dxa"/>
                </w:tcPr>
                <w:p w14:paraId="213133C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总硬度</w:t>
                  </w:r>
                </w:p>
              </w:tc>
              <w:tc>
                <w:tcPr>
                  <w:tcW w:w="1229" w:type="dxa"/>
                </w:tcPr>
                <w:p w14:paraId="779CBF7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w:t>
                  </w:r>
                </w:p>
              </w:tc>
            </w:tr>
            <w:tr w14:paraId="11F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32C389D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698" w:type="dxa"/>
                </w:tcPr>
                <w:p w14:paraId="128C76E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pH（无量纲）</w:t>
                  </w:r>
                </w:p>
              </w:tc>
              <w:tc>
                <w:tcPr>
                  <w:tcW w:w="1218" w:type="dxa"/>
                </w:tcPr>
                <w:p w14:paraId="31BADF7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6.5-8.5</w:t>
                  </w:r>
                </w:p>
              </w:tc>
              <w:tc>
                <w:tcPr>
                  <w:tcW w:w="459" w:type="dxa"/>
                </w:tcPr>
                <w:p w14:paraId="691C177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1439" w:type="dxa"/>
                </w:tcPr>
                <w:p w14:paraId="75BC5F3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氯化物</w:t>
                  </w:r>
                </w:p>
              </w:tc>
              <w:tc>
                <w:tcPr>
                  <w:tcW w:w="1229" w:type="dxa"/>
                </w:tcPr>
                <w:p w14:paraId="569E4D1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r>
            <w:tr w14:paraId="2037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17EDEF6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698" w:type="dxa"/>
                </w:tcPr>
                <w:p w14:paraId="1E0577D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硝酸盐</w:t>
                  </w:r>
                </w:p>
              </w:tc>
              <w:tc>
                <w:tcPr>
                  <w:tcW w:w="1218" w:type="dxa"/>
                </w:tcPr>
                <w:p w14:paraId="52D43D6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459" w:type="dxa"/>
                </w:tcPr>
                <w:p w14:paraId="3343F295">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1439" w:type="dxa"/>
                </w:tcPr>
                <w:p w14:paraId="50BDFC05">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1229" w:type="dxa"/>
                </w:tcPr>
                <w:p w14:paraId="237A270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r>
            <w:tr w14:paraId="5D60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03" w:type="dxa"/>
                </w:tcPr>
                <w:p w14:paraId="7FD497C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698" w:type="dxa"/>
                </w:tcPr>
                <w:p w14:paraId="19D0DB8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溶解性总固体</w:t>
                  </w:r>
                </w:p>
              </w:tc>
              <w:tc>
                <w:tcPr>
                  <w:tcW w:w="1218" w:type="dxa"/>
                </w:tcPr>
                <w:p w14:paraId="7C82C9A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459" w:type="dxa"/>
                </w:tcPr>
                <w:p w14:paraId="407EA59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1439" w:type="dxa"/>
                </w:tcPr>
                <w:p w14:paraId="55A38C5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1229" w:type="dxa"/>
                </w:tcPr>
                <w:p w14:paraId="7E4CA4F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r>
            <w:tr w14:paraId="1C6E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682FFE8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698" w:type="dxa"/>
                </w:tcPr>
                <w:p w14:paraId="144585C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钾</w:t>
                  </w:r>
                </w:p>
              </w:tc>
              <w:tc>
                <w:tcPr>
                  <w:tcW w:w="1218" w:type="dxa"/>
                </w:tcPr>
                <w:p w14:paraId="4A29BDE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59" w:type="dxa"/>
                </w:tcPr>
                <w:p w14:paraId="3E66C02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1439" w:type="dxa"/>
                </w:tcPr>
                <w:p w14:paraId="06E74AD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硫化物</w:t>
                  </w:r>
                </w:p>
              </w:tc>
              <w:tc>
                <w:tcPr>
                  <w:tcW w:w="1229" w:type="dxa"/>
                </w:tcPr>
                <w:p w14:paraId="722F522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14:paraId="13C1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A17B085">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2698" w:type="dxa"/>
                </w:tcPr>
                <w:p w14:paraId="59DBBE1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亚硝酸盐</w:t>
                  </w:r>
                </w:p>
              </w:tc>
              <w:tc>
                <w:tcPr>
                  <w:tcW w:w="1218" w:type="dxa"/>
                </w:tcPr>
                <w:p w14:paraId="5E17BDF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459" w:type="dxa"/>
                </w:tcPr>
                <w:p w14:paraId="4FE059A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1439" w:type="dxa"/>
                </w:tcPr>
                <w:p w14:paraId="6CDBD46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六价铬</w:t>
                  </w:r>
                </w:p>
              </w:tc>
              <w:tc>
                <w:tcPr>
                  <w:tcW w:w="1229" w:type="dxa"/>
                </w:tcPr>
                <w:p w14:paraId="4870358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r>
            <w:tr w14:paraId="025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001D901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2698" w:type="dxa"/>
                </w:tcPr>
                <w:p w14:paraId="092DD16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钠</w:t>
                  </w:r>
                </w:p>
              </w:tc>
              <w:tc>
                <w:tcPr>
                  <w:tcW w:w="1218" w:type="dxa"/>
                </w:tcPr>
                <w:p w14:paraId="3DC6E00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459" w:type="dxa"/>
                </w:tcPr>
                <w:p w14:paraId="118CD6E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w:t>
                  </w:r>
                </w:p>
              </w:tc>
              <w:tc>
                <w:tcPr>
                  <w:tcW w:w="1439" w:type="dxa"/>
                </w:tcPr>
                <w:p w14:paraId="631C53B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1229" w:type="dxa"/>
                </w:tcPr>
                <w:p w14:paraId="50C3CB5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r>
            <w:tr w14:paraId="17A8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03" w:type="dxa"/>
                </w:tcPr>
                <w:p w14:paraId="2047A4A5">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2698" w:type="dxa"/>
                </w:tcPr>
                <w:p w14:paraId="778417D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钙</w:t>
                  </w:r>
                </w:p>
              </w:tc>
              <w:tc>
                <w:tcPr>
                  <w:tcW w:w="1218" w:type="dxa"/>
                </w:tcPr>
                <w:p w14:paraId="2192C7E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59" w:type="dxa"/>
                </w:tcPr>
                <w:p w14:paraId="170ACE7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1439" w:type="dxa"/>
                </w:tcPr>
                <w:p w14:paraId="14A083C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铁</w:t>
                  </w:r>
                </w:p>
              </w:tc>
              <w:tc>
                <w:tcPr>
                  <w:tcW w:w="1229" w:type="dxa"/>
                </w:tcPr>
                <w:p w14:paraId="6CEB3DA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r>
            <w:tr w14:paraId="5819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2D53C62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2698" w:type="dxa"/>
                </w:tcPr>
                <w:p w14:paraId="01E5B79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细菌总数（CFU/mL）</w:t>
                  </w:r>
                </w:p>
              </w:tc>
              <w:tc>
                <w:tcPr>
                  <w:tcW w:w="1218" w:type="dxa"/>
                </w:tcPr>
                <w:p w14:paraId="64C1B5A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459" w:type="dxa"/>
                </w:tcPr>
                <w:p w14:paraId="7662F40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w:t>
                  </w:r>
                </w:p>
              </w:tc>
              <w:tc>
                <w:tcPr>
                  <w:tcW w:w="1439" w:type="dxa"/>
                </w:tcPr>
                <w:p w14:paraId="4D37B28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1229" w:type="dxa"/>
                </w:tcPr>
                <w:p w14:paraId="6CC8380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1CE5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69E4BB4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2698" w:type="dxa"/>
                </w:tcPr>
                <w:p w14:paraId="06F158C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1218" w:type="dxa"/>
                </w:tcPr>
                <w:p w14:paraId="73E796C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459" w:type="dxa"/>
                </w:tcPr>
                <w:p w14:paraId="1690D50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1439" w:type="dxa"/>
                </w:tcPr>
                <w:p w14:paraId="4D49E50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锑</w:t>
                  </w:r>
                </w:p>
              </w:tc>
              <w:tc>
                <w:tcPr>
                  <w:tcW w:w="1229" w:type="dxa"/>
                </w:tcPr>
                <w:p w14:paraId="26E43C2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r>
            <w:tr w14:paraId="170F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21595B2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2698" w:type="dxa"/>
                </w:tcPr>
                <w:p w14:paraId="7C0A141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总大肠菌群（MPN/100mL）</w:t>
                  </w:r>
                </w:p>
              </w:tc>
              <w:tc>
                <w:tcPr>
                  <w:tcW w:w="1218" w:type="dxa"/>
                </w:tcPr>
                <w:p w14:paraId="29B0E5E2">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459" w:type="dxa"/>
                </w:tcPr>
                <w:p w14:paraId="026FE5F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1439" w:type="dxa"/>
                </w:tcPr>
                <w:p w14:paraId="19D53C6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1229" w:type="dxa"/>
                </w:tcPr>
                <w:p w14:paraId="247AD37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r>
            <w:tr w14:paraId="1085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4D5B43F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2698" w:type="dxa"/>
                </w:tcPr>
                <w:p w14:paraId="414C204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镁</w:t>
                  </w:r>
                </w:p>
              </w:tc>
              <w:tc>
                <w:tcPr>
                  <w:tcW w:w="1218" w:type="dxa"/>
                </w:tcPr>
                <w:p w14:paraId="207FBFD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59" w:type="dxa"/>
                </w:tcPr>
                <w:p w14:paraId="5FEFE98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w:t>
                  </w:r>
                </w:p>
              </w:tc>
              <w:tc>
                <w:tcPr>
                  <w:tcW w:w="1439" w:type="dxa"/>
                </w:tcPr>
                <w:p w14:paraId="11DEF05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1229" w:type="dxa"/>
                </w:tcPr>
                <w:p w14:paraId="30B7A6C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p>
              </w:tc>
            </w:tr>
            <w:tr w14:paraId="33A4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BBD306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2698" w:type="dxa"/>
                </w:tcPr>
                <w:p w14:paraId="03F79B7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硫酸盐</w:t>
                  </w:r>
                </w:p>
              </w:tc>
              <w:tc>
                <w:tcPr>
                  <w:tcW w:w="1218" w:type="dxa"/>
                </w:tcPr>
                <w:p w14:paraId="4D140437">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459" w:type="dxa"/>
                </w:tcPr>
                <w:p w14:paraId="13F27F9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1439" w:type="dxa"/>
                </w:tcPr>
                <w:p w14:paraId="59163E0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铍</w:t>
                  </w:r>
                </w:p>
              </w:tc>
              <w:tc>
                <w:tcPr>
                  <w:tcW w:w="1229" w:type="dxa"/>
                </w:tcPr>
                <w:p w14:paraId="4556F29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r>
            <w:tr w14:paraId="72D5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A70D1FF">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2698" w:type="dxa"/>
                </w:tcPr>
                <w:p w14:paraId="353504A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1218" w:type="dxa"/>
                </w:tcPr>
                <w:p w14:paraId="4E00F69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459" w:type="dxa"/>
                </w:tcPr>
                <w:p w14:paraId="1600592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1439" w:type="dxa"/>
                </w:tcPr>
                <w:p w14:paraId="2669927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银</w:t>
                  </w:r>
                </w:p>
              </w:tc>
              <w:tc>
                <w:tcPr>
                  <w:tcW w:w="1229" w:type="dxa"/>
                </w:tcPr>
                <w:p w14:paraId="3B2418B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r>
            <w:tr w14:paraId="4B4E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7C1CF7F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2698" w:type="dxa"/>
                </w:tcPr>
                <w:p w14:paraId="7E62771A">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碳酸根</w:t>
                  </w:r>
                </w:p>
              </w:tc>
              <w:tc>
                <w:tcPr>
                  <w:tcW w:w="1218" w:type="dxa"/>
                </w:tcPr>
                <w:p w14:paraId="22802AB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59" w:type="dxa"/>
                </w:tcPr>
                <w:p w14:paraId="29F280B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1439" w:type="dxa"/>
                </w:tcPr>
                <w:p w14:paraId="57410A6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1229" w:type="dxa"/>
                </w:tcPr>
                <w:p w14:paraId="7539F3E7">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≤0.001</w:t>
                  </w:r>
                </w:p>
              </w:tc>
            </w:tr>
            <w:tr w14:paraId="0D24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tcPr>
                <w:p w14:paraId="28EFF3A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2698" w:type="dxa"/>
                </w:tcPr>
                <w:p w14:paraId="1863AFC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耗氧量</w:t>
                  </w:r>
                </w:p>
              </w:tc>
              <w:tc>
                <w:tcPr>
                  <w:tcW w:w="1218" w:type="dxa"/>
                </w:tcPr>
                <w:p w14:paraId="435C2CA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459" w:type="dxa"/>
                </w:tcPr>
                <w:p w14:paraId="4229F31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c>
                <w:tcPr>
                  <w:tcW w:w="1439" w:type="dxa"/>
                </w:tcPr>
                <w:p w14:paraId="5E5E71F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1229" w:type="dxa"/>
                </w:tcPr>
                <w:p w14:paraId="68472A08">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14:paraId="2EAD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03" w:type="dxa"/>
                </w:tcPr>
                <w:p w14:paraId="4896DCE6">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2698" w:type="dxa"/>
                </w:tcPr>
                <w:p w14:paraId="5EA53C3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碳酸氢根</w:t>
                  </w:r>
                </w:p>
              </w:tc>
              <w:tc>
                <w:tcPr>
                  <w:tcW w:w="1218" w:type="dxa"/>
                </w:tcPr>
                <w:p w14:paraId="04031F7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59" w:type="dxa"/>
                </w:tcPr>
                <w:p w14:paraId="06D9B3E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1439" w:type="dxa"/>
                </w:tcPr>
                <w:p w14:paraId="68D85354">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猛</w:t>
                  </w:r>
                </w:p>
              </w:tc>
              <w:tc>
                <w:tcPr>
                  <w:tcW w:w="1229" w:type="dxa"/>
                </w:tcPr>
                <w:p w14:paraId="4E019B40">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14:paraId="47D1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C0514A3">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2698" w:type="dxa"/>
                </w:tcPr>
                <w:p w14:paraId="49F592E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氯化物</w:t>
                  </w:r>
                </w:p>
              </w:tc>
              <w:tc>
                <w:tcPr>
                  <w:tcW w:w="1218" w:type="dxa"/>
                </w:tcPr>
                <w:p w14:paraId="6D123C2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459" w:type="dxa"/>
                </w:tcPr>
                <w:p w14:paraId="6F9B7F62">
                  <w:pPr>
                    <w:pStyle w:val="87"/>
                    <w:rPr>
                      <w:rFonts w:hint="default" w:ascii="Times New Roman" w:hAnsi="Times New Roman" w:cs="Times New Roman"/>
                      <w:color w:val="000000" w:themeColor="text1"/>
                      <w14:textFill>
                        <w14:solidFill>
                          <w14:schemeClr w14:val="tx1"/>
                        </w14:solidFill>
                      </w14:textFill>
                    </w:rPr>
                  </w:pPr>
                </w:p>
              </w:tc>
              <w:tc>
                <w:tcPr>
                  <w:tcW w:w="1439" w:type="dxa"/>
                </w:tcPr>
                <w:p w14:paraId="3B72C851">
                  <w:pPr>
                    <w:pStyle w:val="87"/>
                    <w:rPr>
                      <w:rFonts w:hint="default" w:ascii="Times New Roman" w:hAnsi="Times New Roman" w:cs="Times New Roman"/>
                      <w:color w:val="000000" w:themeColor="text1"/>
                      <w14:textFill>
                        <w14:solidFill>
                          <w14:schemeClr w14:val="tx1"/>
                        </w14:solidFill>
                      </w14:textFill>
                    </w:rPr>
                  </w:pPr>
                </w:p>
              </w:tc>
              <w:tc>
                <w:tcPr>
                  <w:tcW w:w="1229" w:type="dxa"/>
                </w:tcPr>
                <w:p w14:paraId="3D7B8CB0">
                  <w:pPr>
                    <w:pStyle w:val="87"/>
                    <w:rPr>
                      <w:rFonts w:hint="default" w:ascii="Times New Roman" w:hAnsi="Times New Roman" w:cs="Times New Roman"/>
                      <w:color w:val="000000" w:themeColor="text1"/>
                      <w14:textFill>
                        <w14:solidFill>
                          <w14:schemeClr w14:val="tx1"/>
                        </w14:solidFill>
                      </w14:textFill>
                    </w:rPr>
                  </w:pPr>
                </w:p>
              </w:tc>
            </w:tr>
          </w:tbl>
          <w:p w14:paraId="3C70D721">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（4）土壤环境</w:t>
            </w:r>
          </w:p>
          <w:p w14:paraId="081104E7">
            <w:pPr>
              <w:pStyle w:val="72"/>
              <w:keepNext w:val="0"/>
              <w:keepLines w:val="0"/>
              <w:pageBreakBefore w:val="0"/>
              <w:widowControl w:val="0"/>
              <w:numPr>
                <w:ilvl w:val="0"/>
                <w:numId w:val="0"/>
              </w:numPr>
              <w:kinsoku/>
              <w:wordWrap/>
              <w:overflowPunct/>
              <w:topLinePunct w:val="0"/>
              <w:autoSpaceDE/>
              <w:autoSpaceDN/>
              <w:bidi w:val="0"/>
              <w:adjustRightInd w:val="0"/>
              <w:snapToGrid w:val="0"/>
              <w:ind w:firstLine="496"/>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项目区内工矿用地土壤环境执行《土壤环境质量 建设用地土壤污染风险管控标准（试行）》（GB36600-2018）中第二类用地筛选值标准。</w:t>
            </w:r>
            <w:r>
              <w:rPr>
                <w:rFonts w:hint="default" w:ascii="Times New Roman" w:hAnsi="Times New Roman" w:cs="Times New Roman"/>
                <w:color w:val="000000" w:themeColor="text1"/>
                <w:highlight w:val="none"/>
                <w:lang w:val="en-US" w:eastAsia="zh-CN"/>
                <w14:textFill>
                  <w14:solidFill>
                    <w14:schemeClr w14:val="tx1"/>
                  </w14:solidFill>
                </w14:textFill>
              </w:rPr>
              <w:t>而项目区外S6村庄土壤环境执行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《土壤环境质量 建设用地土壤污染风险管控标准（试行）》（GB36600-2018）中第一类用地筛选值标准。标准限值见下表。</w:t>
            </w:r>
          </w:p>
          <w:p w14:paraId="5F7F4CCE">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21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土壤环境质量标准限值单位：mg/kg，pH为量纲</w:t>
            </w:r>
          </w:p>
          <w:tbl>
            <w:tblPr>
              <w:tblStyle w:val="41"/>
              <w:tblpPr w:leftFromText="180" w:rightFromText="180" w:vertAnchor="text" w:horzAnchor="page" w:tblpXSpec="center" w:tblpY="259"/>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645"/>
              <w:gridCol w:w="1076"/>
              <w:gridCol w:w="1076"/>
              <w:gridCol w:w="1076"/>
              <w:gridCol w:w="1077"/>
            </w:tblGrid>
            <w:tr w14:paraId="33D0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6EC82619">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序号</w:t>
                  </w:r>
                </w:p>
              </w:tc>
              <w:tc>
                <w:tcPr>
                  <w:tcW w:w="1706" w:type="pct"/>
                  <w:vMerge w:val="restart"/>
                  <w:noWrap w:val="0"/>
                  <w:vAlign w:val="center"/>
                </w:tcPr>
                <w:p w14:paraId="7B08EAEF">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污染物项目</w:t>
                  </w:r>
                </w:p>
              </w:tc>
              <w:tc>
                <w:tcPr>
                  <w:tcW w:w="1388" w:type="pct"/>
                  <w:gridSpan w:val="2"/>
                  <w:noWrap w:val="0"/>
                  <w:vAlign w:val="center"/>
                </w:tcPr>
                <w:p w14:paraId="5FE5DE27">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筛选值</w:t>
                  </w:r>
                </w:p>
              </w:tc>
              <w:tc>
                <w:tcPr>
                  <w:tcW w:w="1389" w:type="pct"/>
                  <w:gridSpan w:val="2"/>
                  <w:noWrap w:val="0"/>
                  <w:vAlign w:val="center"/>
                </w:tcPr>
                <w:p w14:paraId="3A186B19">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管制值</w:t>
                  </w:r>
                </w:p>
              </w:tc>
            </w:tr>
            <w:tr w14:paraId="46EC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1EAB70BB">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p>
              </w:tc>
              <w:tc>
                <w:tcPr>
                  <w:tcW w:w="1706" w:type="pct"/>
                  <w:vMerge w:val="continue"/>
                  <w:noWrap w:val="0"/>
                  <w:vAlign w:val="center"/>
                </w:tcPr>
                <w:p w14:paraId="5589716E">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p>
              </w:tc>
              <w:tc>
                <w:tcPr>
                  <w:tcW w:w="694" w:type="pct"/>
                  <w:noWrap w:val="0"/>
                  <w:vAlign w:val="center"/>
                </w:tcPr>
                <w:p w14:paraId="6878B759">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第一类用地</w:t>
                  </w:r>
                </w:p>
              </w:tc>
              <w:tc>
                <w:tcPr>
                  <w:tcW w:w="694" w:type="pct"/>
                  <w:noWrap w:val="0"/>
                  <w:vAlign w:val="center"/>
                </w:tcPr>
                <w:p w14:paraId="61763636">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第二类用地</w:t>
                  </w:r>
                </w:p>
              </w:tc>
              <w:tc>
                <w:tcPr>
                  <w:tcW w:w="694" w:type="pct"/>
                  <w:noWrap w:val="0"/>
                  <w:vAlign w:val="center"/>
                </w:tcPr>
                <w:p w14:paraId="157F0F7F">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第一类用地</w:t>
                  </w:r>
                </w:p>
              </w:tc>
              <w:tc>
                <w:tcPr>
                  <w:tcW w:w="695" w:type="pct"/>
                  <w:noWrap w:val="0"/>
                  <w:vAlign w:val="center"/>
                </w:tcPr>
                <w:p w14:paraId="11C3DE13">
                  <w:pPr>
                    <w:pStyle w:val="87"/>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第二类用地</w:t>
                  </w:r>
                </w:p>
              </w:tc>
            </w:tr>
            <w:tr w14:paraId="3CDF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A53569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706" w:type="pct"/>
                  <w:noWrap w:val="0"/>
                  <w:vAlign w:val="center"/>
                </w:tcPr>
                <w:p w14:paraId="0542580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砷</w:t>
                  </w:r>
                </w:p>
              </w:tc>
              <w:tc>
                <w:tcPr>
                  <w:tcW w:w="694" w:type="pct"/>
                  <w:noWrap w:val="0"/>
                  <w:vAlign w:val="center"/>
                </w:tcPr>
                <w:p w14:paraId="0B74591B">
                  <w:pPr>
                    <w:pStyle w:val="87"/>
                    <w:jc w:val="center"/>
                    <w:rPr>
                      <w:rFonts w:hint="default" w:ascii="Times New Roman" w:hAnsi="Times New Roman" w:cs="Times New Roman"/>
                      <w:color w:val="000000" w:themeColor="text1"/>
                      <w:vertAlign w:val="superscript"/>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vertAlign w:val="superscript"/>
                      <w:lang w:val="en-US" w:eastAsia="zh-CN"/>
                      <w14:textFill>
                        <w14:solidFill>
                          <w14:schemeClr w14:val="tx1"/>
                        </w14:solidFill>
                      </w14:textFill>
                    </w:rPr>
                    <w:t>a</w:t>
                  </w:r>
                </w:p>
              </w:tc>
              <w:tc>
                <w:tcPr>
                  <w:tcW w:w="694" w:type="pct"/>
                  <w:shd w:val="clear" w:color="auto" w:fill="auto"/>
                  <w:noWrap w:val="0"/>
                  <w:vAlign w:val="center"/>
                </w:tcPr>
                <w:p w14:paraId="7BF663C4">
                  <w:pPr>
                    <w:pStyle w:val="87"/>
                    <w:jc w:val="center"/>
                    <w:rPr>
                      <w:rFonts w:hint="default"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r>
                    <w:rPr>
                      <w:rFonts w:hint="default" w:ascii="Times New Roman" w:hAnsi="Times New Roman" w:cs="Times New Roman"/>
                      <w:color w:val="000000" w:themeColor="text1"/>
                      <w:vertAlign w:val="superscript"/>
                      <w:lang w:val="en-US" w:eastAsia="zh-CN"/>
                      <w14:textFill>
                        <w14:solidFill>
                          <w14:schemeClr w14:val="tx1"/>
                        </w14:solidFill>
                      </w14:textFill>
                    </w:rPr>
                    <w:t>a</w:t>
                  </w:r>
                </w:p>
              </w:tc>
              <w:tc>
                <w:tcPr>
                  <w:tcW w:w="694" w:type="pct"/>
                  <w:noWrap w:val="0"/>
                  <w:vAlign w:val="center"/>
                </w:tcPr>
                <w:p w14:paraId="2ACE8BF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695" w:type="pct"/>
                  <w:shd w:val="clear" w:color="auto" w:fill="auto"/>
                  <w:noWrap w:val="0"/>
                  <w:vAlign w:val="center"/>
                </w:tcPr>
                <w:p w14:paraId="6AA97A00">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140</w:t>
                  </w:r>
                </w:p>
              </w:tc>
            </w:tr>
            <w:tr w14:paraId="16DF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1BD5BC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706" w:type="pct"/>
                  <w:noWrap w:val="0"/>
                  <w:vAlign w:val="center"/>
                </w:tcPr>
                <w:p w14:paraId="0EE654A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镉</w:t>
                  </w:r>
                </w:p>
              </w:tc>
              <w:tc>
                <w:tcPr>
                  <w:tcW w:w="694" w:type="pct"/>
                  <w:noWrap w:val="0"/>
                  <w:vAlign w:val="center"/>
                </w:tcPr>
                <w:p w14:paraId="298C8C9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694" w:type="pct"/>
                  <w:shd w:val="clear" w:color="auto" w:fill="auto"/>
                  <w:noWrap w:val="0"/>
                  <w:vAlign w:val="center"/>
                </w:tcPr>
                <w:p w14:paraId="0FB9AB8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694" w:type="pct"/>
                  <w:noWrap w:val="0"/>
                  <w:vAlign w:val="center"/>
                </w:tcPr>
                <w:p w14:paraId="5AD6590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w:t>
                  </w:r>
                </w:p>
              </w:tc>
              <w:tc>
                <w:tcPr>
                  <w:tcW w:w="695" w:type="pct"/>
                  <w:shd w:val="clear" w:color="auto" w:fill="auto"/>
                  <w:noWrap w:val="0"/>
                  <w:vAlign w:val="center"/>
                </w:tcPr>
                <w:p w14:paraId="794EF4E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172</w:t>
                  </w:r>
                </w:p>
              </w:tc>
            </w:tr>
            <w:tr w14:paraId="6CD6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EACF98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706" w:type="pct"/>
                  <w:noWrap w:val="0"/>
                  <w:vAlign w:val="center"/>
                </w:tcPr>
                <w:p w14:paraId="104284F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铬（六价）</w:t>
                  </w:r>
                </w:p>
              </w:tc>
              <w:tc>
                <w:tcPr>
                  <w:tcW w:w="694" w:type="pct"/>
                  <w:noWrap w:val="0"/>
                  <w:vAlign w:val="center"/>
                </w:tcPr>
                <w:p w14:paraId="2403C0A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694" w:type="pct"/>
                  <w:shd w:val="clear" w:color="auto" w:fill="auto"/>
                  <w:noWrap w:val="0"/>
                  <w:vAlign w:val="center"/>
                </w:tcPr>
                <w:p w14:paraId="68100D84">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w:t>
                  </w:r>
                </w:p>
              </w:tc>
              <w:tc>
                <w:tcPr>
                  <w:tcW w:w="694" w:type="pct"/>
                  <w:noWrap w:val="0"/>
                  <w:vAlign w:val="center"/>
                </w:tcPr>
                <w:p w14:paraId="38B0F52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695" w:type="pct"/>
                  <w:shd w:val="clear" w:color="auto" w:fill="auto"/>
                  <w:noWrap w:val="0"/>
                  <w:vAlign w:val="center"/>
                </w:tcPr>
                <w:p w14:paraId="20858C8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78</w:t>
                  </w:r>
                </w:p>
              </w:tc>
            </w:tr>
            <w:tr w14:paraId="353D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8DA0C4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706" w:type="pct"/>
                  <w:noWrap w:val="0"/>
                  <w:vAlign w:val="center"/>
                </w:tcPr>
                <w:p w14:paraId="2F5365B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铜</w:t>
                  </w:r>
                </w:p>
              </w:tc>
              <w:tc>
                <w:tcPr>
                  <w:tcW w:w="694" w:type="pct"/>
                  <w:noWrap w:val="0"/>
                  <w:vAlign w:val="center"/>
                </w:tcPr>
                <w:p w14:paraId="59EF47E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2000</w:t>
                  </w:r>
                </w:p>
              </w:tc>
              <w:tc>
                <w:tcPr>
                  <w:tcW w:w="694" w:type="pct"/>
                  <w:shd w:val="clear" w:color="auto" w:fill="auto"/>
                  <w:noWrap w:val="0"/>
                  <w:vAlign w:val="center"/>
                </w:tcPr>
                <w:p w14:paraId="1FA80017">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18000</w:t>
                  </w:r>
                </w:p>
              </w:tc>
              <w:tc>
                <w:tcPr>
                  <w:tcW w:w="694" w:type="pct"/>
                  <w:noWrap w:val="0"/>
                  <w:vAlign w:val="center"/>
                </w:tcPr>
                <w:p w14:paraId="1823D7F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8000</w:t>
                  </w:r>
                </w:p>
              </w:tc>
              <w:tc>
                <w:tcPr>
                  <w:tcW w:w="695" w:type="pct"/>
                  <w:shd w:val="clear" w:color="auto" w:fill="auto"/>
                  <w:noWrap w:val="0"/>
                  <w:vAlign w:val="center"/>
                </w:tcPr>
                <w:p w14:paraId="2EE61718">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36000</w:t>
                  </w:r>
                </w:p>
              </w:tc>
            </w:tr>
            <w:tr w14:paraId="6F5B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8ECED8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1706" w:type="pct"/>
                  <w:noWrap w:val="0"/>
                  <w:vAlign w:val="center"/>
                </w:tcPr>
                <w:p w14:paraId="3C87732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铅</w:t>
                  </w:r>
                </w:p>
              </w:tc>
              <w:tc>
                <w:tcPr>
                  <w:tcW w:w="694" w:type="pct"/>
                  <w:noWrap w:val="0"/>
                  <w:vAlign w:val="center"/>
                </w:tcPr>
                <w:p w14:paraId="3ECA35F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694" w:type="pct"/>
                  <w:shd w:val="clear" w:color="auto" w:fill="auto"/>
                  <w:noWrap w:val="0"/>
                  <w:vAlign w:val="center"/>
                </w:tcPr>
                <w:p w14:paraId="682A272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w:t>
                  </w:r>
                </w:p>
              </w:tc>
              <w:tc>
                <w:tcPr>
                  <w:tcW w:w="694" w:type="pct"/>
                  <w:noWrap w:val="0"/>
                  <w:vAlign w:val="center"/>
                </w:tcPr>
                <w:p w14:paraId="1EF33D6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w:t>
                  </w:r>
                </w:p>
              </w:tc>
              <w:tc>
                <w:tcPr>
                  <w:tcW w:w="695" w:type="pct"/>
                  <w:shd w:val="clear" w:color="auto" w:fill="auto"/>
                  <w:noWrap w:val="0"/>
                  <w:vAlign w:val="center"/>
                </w:tcPr>
                <w:p w14:paraId="17383BFE">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2500</w:t>
                  </w:r>
                </w:p>
              </w:tc>
            </w:tr>
            <w:tr w14:paraId="63C3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0DB0D3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706" w:type="pct"/>
                  <w:noWrap w:val="0"/>
                  <w:vAlign w:val="center"/>
                </w:tcPr>
                <w:p w14:paraId="0610BEF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汞</w:t>
                  </w:r>
                </w:p>
              </w:tc>
              <w:tc>
                <w:tcPr>
                  <w:tcW w:w="694" w:type="pct"/>
                  <w:noWrap w:val="0"/>
                  <w:vAlign w:val="center"/>
                </w:tcPr>
                <w:p w14:paraId="423B563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694" w:type="pct"/>
                  <w:shd w:val="clear" w:color="auto" w:fill="auto"/>
                  <w:noWrap w:val="0"/>
                  <w:vAlign w:val="center"/>
                </w:tcPr>
                <w:p w14:paraId="0A1B1A25">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w:t>
                  </w:r>
                </w:p>
              </w:tc>
              <w:tc>
                <w:tcPr>
                  <w:tcW w:w="694" w:type="pct"/>
                  <w:noWrap w:val="0"/>
                  <w:vAlign w:val="center"/>
                </w:tcPr>
                <w:p w14:paraId="53D786B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33</w:t>
                  </w:r>
                </w:p>
              </w:tc>
              <w:tc>
                <w:tcPr>
                  <w:tcW w:w="695" w:type="pct"/>
                  <w:shd w:val="clear" w:color="auto" w:fill="auto"/>
                  <w:noWrap w:val="0"/>
                  <w:vAlign w:val="center"/>
                </w:tcPr>
                <w:p w14:paraId="1CAAEF51">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82</w:t>
                  </w:r>
                </w:p>
              </w:tc>
            </w:tr>
            <w:tr w14:paraId="111B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CF5682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1706" w:type="pct"/>
                  <w:noWrap w:val="0"/>
                  <w:vAlign w:val="center"/>
                </w:tcPr>
                <w:p w14:paraId="34E159A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镍</w:t>
                  </w:r>
                </w:p>
              </w:tc>
              <w:tc>
                <w:tcPr>
                  <w:tcW w:w="694" w:type="pct"/>
                  <w:noWrap w:val="0"/>
                  <w:vAlign w:val="center"/>
                </w:tcPr>
                <w:p w14:paraId="04C8C67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p>
              </w:tc>
              <w:tc>
                <w:tcPr>
                  <w:tcW w:w="694" w:type="pct"/>
                  <w:shd w:val="clear" w:color="auto" w:fill="auto"/>
                  <w:noWrap w:val="0"/>
                  <w:vAlign w:val="center"/>
                </w:tcPr>
                <w:p w14:paraId="6CBCF841">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w:t>
                  </w:r>
                </w:p>
              </w:tc>
              <w:tc>
                <w:tcPr>
                  <w:tcW w:w="694" w:type="pct"/>
                  <w:noWrap w:val="0"/>
                  <w:vAlign w:val="center"/>
                </w:tcPr>
                <w:p w14:paraId="1A2E272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600</w:t>
                  </w:r>
                </w:p>
              </w:tc>
              <w:tc>
                <w:tcPr>
                  <w:tcW w:w="695" w:type="pct"/>
                  <w:shd w:val="clear" w:color="auto" w:fill="auto"/>
                  <w:noWrap w:val="0"/>
                  <w:vAlign w:val="center"/>
                </w:tcPr>
                <w:p w14:paraId="1AAE899E">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2000</w:t>
                  </w:r>
                </w:p>
              </w:tc>
            </w:tr>
            <w:tr w14:paraId="2264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1078DA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1706" w:type="pct"/>
                  <w:noWrap w:val="0"/>
                  <w:vAlign w:val="center"/>
                </w:tcPr>
                <w:p w14:paraId="4371EB7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四氯化碳</w:t>
                  </w:r>
                </w:p>
              </w:tc>
              <w:tc>
                <w:tcPr>
                  <w:tcW w:w="694" w:type="pct"/>
                  <w:noWrap w:val="0"/>
                  <w:vAlign w:val="center"/>
                </w:tcPr>
                <w:p w14:paraId="43DC8E9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w:t>
                  </w:r>
                </w:p>
              </w:tc>
              <w:tc>
                <w:tcPr>
                  <w:tcW w:w="694" w:type="pct"/>
                  <w:shd w:val="clear" w:color="auto" w:fill="auto"/>
                  <w:noWrap w:val="0"/>
                  <w:vAlign w:val="center"/>
                </w:tcPr>
                <w:p w14:paraId="5B88D36E">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694" w:type="pct"/>
                  <w:noWrap w:val="0"/>
                  <w:vAlign w:val="center"/>
                </w:tcPr>
                <w:p w14:paraId="1CB8111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695" w:type="pct"/>
                  <w:shd w:val="clear" w:color="auto" w:fill="auto"/>
                  <w:noWrap w:val="0"/>
                  <w:vAlign w:val="center"/>
                </w:tcPr>
                <w:p w14:paraId="0B31C2F5">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w:t>
                  </w:r>
                </w:p>
              </w:tc>
            </w:tr>
            <w:tr w14:paraId="0F0A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499848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1706" w:type="pct"/>
                  <w:noWrap w:val="0"/>
                  <w:vAlign w:val="center"/>
                </w:tcPr>
                <w:p w14:paraId="2CAE85F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氯仿</w:t>
                  </w:r>
                </w:p>
              </w:tc>
              <w:tc>
                <w:tcPr>
                  <w:tcW w:w="694" w:type="pct"/>
                  <w:noWrap w:val="0"/>
                  <w:vAlign w:val="center"/>
                </w:tcPr>
                <w:p w14:paraId="57F0538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694" w:type="pct"/>
                  <w:shd w:val="clear" w:color="auto" w:fill="auto"/>
                  <w:noWrap w:val="0"/>
                  <w:vAlign w:val="center"/>
                </w:tcPr>
                <w:p w14:paraId="17B33E4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w:t>
                  </w:r>
                </w:p>
              </w:tc>
              <w:tc>
                <w:tcPr>
                  <w:tcW w:w="694" w:type="pct"/>
                  <w:noWrap w:val="0"/>
                  <w:vAlign w:val="center"/>
                </w:tcPr>
                <w:p w14:paraId="6C341D8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695" w:type="pct"/>
                  <w:shd w:val="clear" w:color="auto" w:fill="auto"/>
                  <w:noWrap w:val="0"/>
                  <w:vAlign w:val="center"/>
                </w:tcPr>
                <w:p w14:paraId="245D039B">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0A00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EADFB4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706" w:type="pct"/>
                  <w:noWrap w:val="0"/>
                  <w:vAlign w:val="center"/>
                </w:tcPr>
                <w:p w14:paraId="3599309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氯甲烷</w:t>
                  </w:r>
                </w:p>
              </w:tc>
              <w:tc>
                <w:tcPr>
                  <w:tcW w:w="694" w:type="pct"/>
                  <w:noWrap w:val="0"/>
                  <w:vAlign w:val="center"/>
                </w:tcPr>
                <w:p w14:paraId="34C7FD3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694" w:type="pct"/>
                  <w:shd w:val="clear" w:color="auto" w:fill="auto"/>
                  <w:noWrap w:val="0"/>
                  <w:vAlign w:val="center"/>
                </w:tcPr>
                <w:p w14:paraId="2615E83D">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w:t>
                  </w:r>
                </w:p>
              </w:tc>
              <w:tc>
                <w:tcPr>
                  <w:tcW w:w="694" w:type="pct"/>
                  <w:noWrap w:val="0"/>
                  <w:vAlign w:val="center"/>
                </w:tcPr>
                <w:p w14:paraId="5D6CAA7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695" w:type="pct"/>
                  <w:shd w:val="clear" w:color="auto" w:fill="auto"/>
                  <w:noWrap w:val="0"/>
                  <w:vAlign w:val="center"/>
                </w:tcPr>
                <w:p w14:paraId="6FCC2751">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r>
            <w:tr w14:paraId="02D3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1CA5B8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c>
                <w:tcPr>
                  <w:tcW w:w="1706" w:type="pct"/>
                  <w:noWrap w:val="0"/>
                  <w:vAlign w:val="center"/>
                </w:tcPr>
                <w:p w14:paraId="067683D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1,1-二氯乙烷</w:t>
                  </w:r>
                </w:p>
              </w:tc>
              <w:tc>
                <w:tcPr>
                  <w:tcW w:w="694" w:type="pct"/>
                  <w:noWrap w:val="0"/>
                  <w:vAlign w:val="center"/>
                </w:tcPr>
                <w:p w14:paraId="070EAC4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694" w:type="pct"/>
                  <w:shd w:val="clear" w:color="auto" w:fill="auto"/>
                  <w:noWrap w:val="0"/>
                  <w:vAlign w:val="center"/>
                </w:tcPr>
                <w:p w14:paraId="73A8E8B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694" w:type="pct"/>
                  <w:noWrap w:val="0"/>
                  <w:vAlign w:val="center"/>
                </w:tcPr>
                <w:p w14:paraId="450F757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695" w:type="pct"/>
                  <w:shd w:val="clear" w:color="auto" w:fill="auto"/>
                  <w:noWrap w:val="0"/>
                  <w:vAlign w:val="center"/>
                </w:tcPr>
                <w:p w14:paraId="0AE5DD84">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r>
            <w:tr w14:paraId="423F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D36CE2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1706" w:type="pct"/>
                  <w:noWrap w:val="0"/>
                  <w:vAlign w:val="center"/>
                </w:tcPr>
                <w:p w14:paraId="152F7EC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1,2-二氯乙烷</w:t>
                  </w:r>
                </w:p>
              </w:tc>
              <w:tc>
                <w:tcPr>
                  <w:tcW w:w="694" w:type="pct"/>
                  <w:noWrap w:val="0"/>
                  <w:vAlign w:val="center"/>
                </w:tcPr>
                <w:p w14:paraId="05D7C73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0.52</w:t>
                  </w:r>
                </w:p>
              </w:tc>
              <w:tc>
                <w:tcPr>
                  <w:tcW w:w="694" w:type="pct"/>
                  <w:shd w:val="clear" w:color="auto" w:fill="auto"/>
                  <w:noWrap w:val="0"/>
                  <w:vAlign w:val="center"/>
                </w:tcPr>
                <w:p w14:paraId="5F928F6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694" w:type="pct"/>
                  <w:noWrap w:val="0"/>
                  <w:vAlign w:val="center"/>
                </w:tcPr>
                <w:p w14:paraId="2508775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695" w:type="pct"/>
                  <w:shd w:val="clear" w:color="auto" w:fill="auto"/>
                  <w:noWrap w:val="0"/>
                  <w:vAlign w:val="center"/>
                </w:tcPr>
                <w:p w14:paraId="25A617C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r>
            <w:tr w14:paraId="6BC8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5805A3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w:t>
                  </w:r>
                </w:p>
              </w:tc>
              <w:tc>
                <w:tcPr>
                  <w:tcW w:w="1706" w:type="pct"/>
                  <w:noWrap w:val="0"/>
                  <w:vAlign w:val="center"/>
                </w:tcPr>
                <w:p w14:paraId="4E0A3D6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1,1-二氯乙烯</w:t>
                  </w:r>
                </w:p>
              </w:tc>
              <w:tc>
                <w:tcPr>
                  <w:tcW w:w="694" w:type="pct"/>
                  <w:noWrap w:val="0"/>
                  <w:vAlign w:val="center"/>
                </w:tcPr>
                <w:p w14:paraId="5EC319D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694" w:type="pct"/>
                  <w:shd w:val="clear" w:color="auto" w:fill="auto"/>
                  <w:noWrap w:val="0"/>
                  <w:vAlign w:val="center"/>
                </w:tcPr>
                <w:p w14:paraId="2BE4E61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w:t>
                  </w:r>
                </w:p>
              </w:tc>
              <w:tc>
                <w:tcPr>
                  <w:tcW w:w="694" w:type="pct"/>
                  <w:noWrap w:val="0"/>
                  <w:vAlign w:val="center"/>
                </w:tcPr>
                <w:p w14:paraId="1F850E9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695" w:type="pct"/>
                  <w:shd w:val="clear" w:color="auto" w:fill="auto"/>
                  <w:noWrap w:val="0"/>
                  <w:vAlign w:val="center"/>
                </w:tcPr>
                <w:p w14:paraId="19B68D9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r>
            <w:tr w14:paraId="75FE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32AC70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w:t>
                  </w:r>
                </w:p>
              </w:tc>
              <w:tc>
                <w:tcPr>
                  <w:tcW w:w="1706" w:type="pct"/>
                  <w:noWrap w:val="0"/>
                  <w:vAlign w:val="center"/>
                </w:tcPr>
                <w:p w14:paraId="152159E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顺1,2-二氯乙烯</w:t>
                  </w:r>
                </w:p>
              </w:tc>
              <w:tc>
                <w:tcPr>
                  <w:tcW w:w="694" w:type="pct"/>
                  <w:noWrap w:val="0"/>
                  <w:vAlign w:val="center"/>
                </w:tcPr>
                <w:p w14:paraId="340B908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w:t>
                  </w:r>
                </w:p>
              </w:tc>
              <w:tc>
                <w:tcPr>
                  <w:tcW w:w="694" w:type="pct"/>
                  <w:shd w:val="clear" w:color="auto" w:fill="auto"/>
                  <w:noWrap w:val="0"/>
                  <w:vAlign w:val="center"/>
                </w:tcPr>
                <w:p w14:paraId="672673B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596</w:t>
                  </w:r>
                </w:p>
              </w:tc>
              <w:tc>
                <w:tcPr>
                  <w:tcW w:w="694" w:type="pct"/>
                  <w:noWrap w:val="0"/>
                  <w:vAlign w:val="center"/>
                </w:tcPr>
                <w:p w14:paraId="65462B6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695" w:type="pct"/>
                  <w:shd w:val="clear" w:color="auto" w:fill="auto"/>
                  <w:noWrap w:val="0"/>
                  <w:vAlign w:val="center"/>
                </w:tcPr>
                <w:p w14:paraId="3BC5C3C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2000</w:t>
                  </w:r>
                </w:p>
              </w:tc>
            </w:tr>
            <w:tr w14:paraId="4C0D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C4573B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706" w:type="pct"/>
                  <w:noWrap w:val="0"/>
                  <w:vAlign w:val="center"/>
                </w:tcPr>
                <w:p w14:paraId="2E9D6DD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反1,2-二氯乙烯</w:t>
                  </w:r>
                </w:p>
              </w:tc>
              <w:tc>
                <w:tcPr>
                  <w:tcW w:w="694" w:type="pct"/>
                  <w:noWrap w:val="0"/>
                  <w:vAlign w:val="center"/>
                </w:tcPr>
                <w:p w14:paraId="251F3AD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694" w:type="pct"/>
                  <w:shd w:val="clear" w:color="auto" w:fill="auto"/>
                  <w:noWrap w:val="0"/>
                  <w:vAlign w:val="center"/>
                </w:tcPr>
                <w:p w14:paraId="62E451B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694" w:type="pct"/>
                  <w:noWrap w:val="0"/>
                  <w:vAlign w:val="center"/>
                </w:tcPr>
                <w:p w14:paraId="33AD533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31</w:t>
                  </w:r>
                </w:p>
              </w:tc>
              <w:tc>
                <w:tcPr>
                  <w:tcW w:w="695" w:type="pct"/>
                  <w:shd w:val="clear" w:color="auto" w:fill="auto"/>
                  <w:noWrap w:val="0"/>
                  <w:vAlign w:val="center"/>
                </w:tcPr>
                <w:p w14:paraId="7615BA4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163</w:t>
                  </w:r>
                </w:p>
              </w:tc>
            </w:tr>
            <w:tr w14:paraId="3515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8F1211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w:t>
                  </w:r>
                </w:p>
              </w:tc>
              <w:tc>
                <w:tcPr>
                  <w:tcW w:w="1706" w:type="pct"/>
                  <w:noWrap w:val="0"/>
                  <w:vAlign w:val="center"/>
                </w:tcPr>
                <w:p w14:paraId="1C60571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二氯甲烷</w:t>
                  </w:r>
                </w:p>
              </w:tc>
              <w:tc>
                <w:tcPr>
                  <w:tcW w:w="694" w:type="pct"/>
                  <w:noWrap w:val="0"/>
                  <w:vAlign w:val="center"/>
                </w:tcPr>
                <w:p w14:paraId="38B63C4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94</w:t>
                  </w:r>
                </w:p>
              </w:tc>
              <w:tc>
                <w:tcPr>
                  <w:tcW w:w="694" w:type="pct"/>
                  <w:shd w:val="clear" w:color="auto" w:fill="auto"/>
                  <w:noWrap w:val="0"/>
                  <w:vAlign w:val="center"/>
                </w:tcPr>
                <w:p w14:paraId="6D5B8918">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616</w:t>
                  </w:r>
                </w:p>
              </w:tc>
              <w:tc>
                <w:tcPr>
                  <w:tcW w:w="694" w:type="pct"/>
                  <w:noWrap w:val="0"/>
                  <w:vAlign w:val="center"/>
                </w:tcPr>
                <w:p w14:paraId="7A74CA5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695" w:type="pct"/>
                  <w:shd w:val="clear" w:color="auto" w:fill="auto"/>
                  <w:noWrap w:val="0"/>
                  <w:vAlign w:val="center"/>
                </w:tcPr>
                <w:p w14:paraId="0E181AC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2000</w:t>
                  </w:r>
                </w:p>
              </w:tc>
            </w:tr>
            <w:tr w14:paraId="3187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EE9232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w:t>
                  </w:r>
                </w:p>
              </w:tc>
              <w:tc>
                <w:tcPr>
                  <w:tcW w:w="1706" w:type="pct"/>
                  <w:noWrap w:val="0"/>
                  <w:vAlign w:val="center"/>
                </w:tcPr>
                <w:p w14:paraId="4C349F9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1,2-二氯丙烷</w:t>
                  </w:r>
                </w:p>
              </w:tc>
              <w:tc>
                <w:tcPr>
                  <w:tcW w:w="694" w:type="pct"/>
                  <w:noWrap w:val="0"/>
                  <w:vAlign w:val="center"/>
                </w:tcPr>
                <w:p w14:paraId="224009B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694" w:type="pct"/>
                  <w:shd w:val="clear" w:color="auto" w:fill="auto"/>
                  <w:noWrap w:val="0"/>
                  <w:vAlign w:val="center"/>
                </w:tcPr>
                <w:p w14:paraId="739C6D1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694" w:type="pct"/>
                  <w:noWrap w:val="0"/>
                  <w:vAlign w:val="center"/>
                </w:tcPr>
                <w:p w14:paraId="33B1215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695" w:type="pct"/>
                  <w:shd w:val="clear" w:color="auto" w:fill="auto"/>
                  <w:noWrap w:val="0"/>
                  <w:vAlign w:val="center"/>
                </w:tcPr>
                <w:p w14:paraId="72C2B2FD">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47</w:t>
                  </w:r>
                </w:p>
              </w:tc>
            </w:tr>
            <w:tr w14:paraId="0B77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4CBC72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w:t>
                  </w:r>
                </w:p>
              </w:tc>
              <w:tc>
                <w:tcPr>
                  <w:tcW w:w="1706" w:type="pct"/>
                  <w:noWrap w:val="0"/>
                  <w:vAlign w:val="center"/>
                </w:tcPr>
                <w:p w14:paraId="34FE269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1,1,1,2-四氯乙烷</w:t>
                  </w:r>
                </w:p>
              </w:tc>
              <w:tc>
                <w:tcPr>
                  <w:tcW w:w="694" w:type="pct"/>
                  <w:noWrap w:val="0"/>
                  <w:vAlign w:val="center"/>
                </w:tcPr>
                <w:p w14:paraId="2E80EF0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694" w:type="pct"/>
                  <w:shd w:val="clear" w:color="auto" w:fill="auto"/>
                  <w:noWrap w:val="0"/>
                  <w:vAlign w:val="center"/>
                </w:tcPr>
                <w:p w14:paraId="56845590">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694" w:type="pct"/>
                  <w:noWrap w:val="0"/>
                  <w:vAlign w:val="center"/>
                </w:tcPr>
                <w:p w14:paraId="538F7A3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695" w:type="pct"/>
                  <w:shd w:val="clear" w:color="auto" w:fill="auto"/>
                  <w:noWrap w:val="0"/>
                  <w:vAlign w:val="center"/>
                </w:tcPr>
                <w:p w14:paraId="458C9D8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r>
            <w:tr w14:paraId="389D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1D5485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1706" w:type="pct"/>
                  <w:noWrap w:val="0"/>
                  <w:vAlign w:val="center"/>
                </w:tcPr>
                <w:p w14:paraId="48E83E8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1,1,2,2-四氯乙烷</w:t>
                  </w:r>
                </w:p>
              </w:tc>
              <w:tc>
                <w:tcPr>
                  <w:tcW w:w="694" w:type="pct"/>
                  <w:noWrap w:val="0"/>
                  <w:vAlign w:val="center"/>
                </w:tcPr>
                <w:p w14:paraId="77B1D90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w:t>
                  </w:r>
                </w:p>
              </w:tc>
              <w:tc>
                <w:tcPr>
                  <w:tcW w:w="694" w:type="pct"/>
                  <w:shd w:val="clear" w:color="auto" w:fill="auto"/>
                  <w:noWrap w:val="0"/>
                  <w:vAlign w:val="center"/>
                </w:tcPr>
                <w:p w14:paraId="671F0B2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6.8</w:t>
                  </w:r>
                </w:p>
              </w:tc>
              <w:tc>
                <w:tcPr>
                  <w:tcW w:w="694" w:type="pct"/>
                  <w:noWrap w:val="0"/>
                  <w:vAlign w:val="center"/>
                </w:tcPr>
                <w:p w14:paraId="36B1F2A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w:t>
                  </w:r>
                </w:p>
              </w:tc>
              <w:tc>
                <w:tcPr>
                  <w:tcW w:w="695" w:type="pct"/>
                  <w:shd w:val="clear" w:color="auto" w:fill="auto"/>
                  <w:noWrap w:val="0"/>
                  <w:vAlign w:val="center"/>
                </w:tcPr>
                <w:p w14:paraId="5B00AEC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r w14:paraId="4E48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0E1885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706" w:type="pct"/>
                  <w:noWrap w:val="0"/>
                  <w:vAlign w:val="center"/>
                </w:tcPr>
                <w:p w14:paraId="2C54C90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四氯乙烯</w:t>
                  </w:r>
                </w:p>
              </w:tc>
              <w:tc>
                <w:tcPr>
                  <w:tcW w:w="694" w:type="pct"/>
                  <w:noWrap w:val="0"/>
                  <w:vAlign w:val="center"/>
                </w:tcPr>
                <w:p w14:paraId="1672AB1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p>
              </w:tc>
              <w:tc>
                <w:tcPr>
                  <w:tcW w:w="694" w:type="pct"/>
                  <w:shd w:val="clear" w:color="auto" w:fill="auto"/>
                  <w:noWrap w:val="0"/>
                  <w:vAlign w:val="center"/>
                </w:tcPr>
                <w:p w14:paraId="302C3D77">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w:t>
                  </w:r>
                </w:p>
              </w:tc>
              <w:tc>
                <w:tcPr>
                  <w:tcW w:w="694" w:type="pct"/>
                  <w:noWrap w:val="0"/>
                  <w:vAlign w:val="center"/>
                </w:tcPr>
                <w:p w14:paraId="344253C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w:t>
                  </w:r>
                </w:p>
              </w:tc>
              <w:tc>
                <w:tcPr>
                  <w:tcW w:w="695" w:type="pct"/>
                  <w:shd w:val="clear" w:color="auto" w:fill="auto"/>
                  <w:noWrap w:val="0"/>
                  <w:vAlign w:val="center"/>
                </w:tcPr>
                <w:p w14:paraId="7195562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183</w:t>
                  </w:r>
                </w:p>
              </w:tc>
            </w:tr>
            <w:tr w14:paraId="17D1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28D18D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1706" w:type="pct"/>
                  <w:noWrap w:val="0"/>
                  <w:vAlign w:val="center"/>
                </w:tcPr>
                <w:p w14:paraId="1BEAECA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1,1,1-三氯乙烷</w:t>
                  </w:r>
                </w:p>
              </w:tc>
              <w:tc>
                <w:tcPr>
                  <w:tcW w:w="694" w:type="pct"/>
                  <w:noWrap w:val="0"/>
                  <w:vAlign w:val="center"/>
                </w:tcPr>
                <w:p w14:paraId="613CE64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701</w:t>
                  </w:r>
                </w:p>
              </w:tc>
              <w:tc>
                <w:tcPr>
                  <w:tcW w:w="694" w:type="pct"/>
                  <w:shd w:val="clear" w:color="auto" w:fill="auto"/>
                  <w:noWrap w:val="0"/>
                  <w:vAlign w:val="center"/>
                </w:tcPr>
                <w:p w14:paraId="0F02AF8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840</w:t>
                  </w:r>
                </w:p>
              </w:tc>
              <w:tc>
                <w:tcPr>
                  <w:tcW w:w="694" w:type="pct"/>
                  <w:noWrap w:val="0"/>
                  <w:vAlign w:val="center"/>
                </w:tcPr>
                <w:p w14:paraId="474567E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840</w:t>
                  </w:r>
                </w:p>
              </w:tc>
              <w:tc>
                <w:tcPr>
                  <w:tcW w:w="695" w:type="pct"/>
                  <w:shd w:val="clear" w:color="auto" w:fill="auto"/>
                  <w:noWrap w:val="0"/>
                  <w:vAlign w:val="center"/>
                </w:tcPr>
                <w:p w14:paraId="3B912C53">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840</w:t>
                  </w:r>
                </w:p>
              </w:tc>
            </w:tr>
            <w:tr w14:paraId="4B69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6F88D9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w:t>
                  </w:r>
                </w:p>
              </w:tc>
              <w:tc>
                <w:tcPr>
                  <w:tcW w:w="1706" w:type="pct"/>
                  <w:noWrap w:val="0"/>
                  <w:vAlign w:val="center"/>
                </w:tcPr>
                <w:p w14:paraId="5CC27A5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1,1,2-三氯乙烷</w:t>
                  </w:r>
                </w:p>
              </w:tc>
              <w:tc>
                <w:tcPr>
                  <w:tcW w:w="694" w:type="pct"/>
                  <w:noWrap w:val="0"/>
                  <w:vAlign w:val="center"/>
                </w:tcPr>
                <w:p w14:paraId="7CC67B3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694" w:type="pct"/>
                  <w:shd w:val="clear" w:color="auto" w:fill="auto"/>
                  <w:noWrap w:val="0"/>
                  <w:vAlign w:val="center"/>
                </w:tcPr>
                <w:p w14:paraId="22519F1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694" w:type="pct"/>
                  <w:noWrap w:val="0"/>
                  <w:vAlign w:val="center"/>
                </w:tcPr>
                <w:p w14:paraId="4C7240C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695" w:type="pct"/>
                  <w:shd w:val="clear" w:color="auto" w:fill="auto"/>
                  <w:noWrap w:val="0"/>
                  <w:vAlign w:val="center"/>
                </w:tcPr>
                <w:p w14:paraId="1E59F80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r>
            <w:tr w14:paraId="032C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E20DCA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w:t>
                  </w:r>
                </w:p>
              </w:tc>
              <w:tc>
                <w:tcPr>
                  <w:tcW w:w="1706" w:type="pct"/>
                  <w:noWrap w:val="0"/>
                  <w:vAlign w:val="center"/>
                </w:tcPr>
                <w:p w14:paraId="532CDF3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三氯乙烯</w:t>
                  </w:r>
                </w:p>
              </w:tc>
              <w:tc>
                <w:tcPr>
                  <w:tcW w:w="694" w:type="pct"/>
                  <w:noWrap w:val="0"/>
                  <w:vAlign w:val="center"/>
                </w:tcPr>
                <w:p w14:paraId="58A1D28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w:t>
                  </w:r>
                </w:p>
              </w:tc>
              <w:tc>
                <w:tcPr>
                  <w:tcW w:w="694" w:type="pct"/>
                  <w:shd w:val="clear" w:color="auto" w:fill="auto"/>
                  <w:noWrap w:val="0"/>
                  <w:vAlign w:val="center"/>
                </w:tcPr>
                <w:p w14:paraId="3AF6EB61">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694" w:type="pct"/>
                  <w:noWrap w:val="0"/>
                  <w:vAlign w:val="center"/>
                </w:tcPr>
                <w:p w14:paraId="224CA95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695" w:type="pct"/>
                  <w:shd w:val="clear" w:color="auto" w:fill="auto"/>
                  <w:noWrap w:val="0"/>
                  <w:vAlign w:val="center"/>
                </w:tcPr>
                <w:p w14:paraId="39BA6FA4">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r>
            <w:tr w14:paraId="79E7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920125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1706" w:type="pct"/>
                  <w:noWrap w:val="0"/>
                  <w:vAlign w:val="center"/>
                </w:tcPr>
                <w:p w14:paraId="2F9D330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1,2,3-三氯丙烷</w:t>
                  </w:r>
                </w:p>
              </w:tc>
              <w:tc>
                <w:tcPr>
                  <w:tcW w:w="694" w:type="pct"/>
                  <w:noWrap w:val="0"/>
                  <w:vAlign w:val="center"/>
                </w:tcPr>
                <w:p w14:paraId="05FB30D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694" w:type="pct"/>
                  <w:shd w:val="clear" w:color="auto" w:fill="auto"/>
                  <w:noWrap w:val="0"/>
                  <w:vAlign w:val="center"/>
                </w:tcPr>
                <w:p w14:paraId="50F71EE5">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694" w:type="pct"/>
                  <w:noWrap w:val="0"/>
                  <w:vAlign w:val="center"/>
                </w:tcPr>
                <w:p w14:paraId="2CCEB6C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695" w:type="pct"/>
                  <w:shd w:val="clear" w:color="auto" w:fill="auto"/>
                  <w:noWrap w:val="0"/>
                  <w:vAlign w:val="center"/>
                </w:tcPr>
                <w:p w14:paraId="20CD469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r>
            <w:tr w14:paraId="1B7F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7D9899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706" w:type="pct"/>
                  <w:noWrap w:val="0"/>
                  <w:vAlign w:val="center"/>
                </w:tcPr>
                <w:p w14:paraId="62ED6DE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氯乙烯</w:t>
                  </w:r>
                </w:p>
              </w:tc>
              <w:tc>
                <w:tcPr>
                  <w:tcW w:w="694" w:type="pct"/>
                  <w:noWrap w:val="0"/>
                  <w:vAlign w:val="center"/>
                </w:tcPr>
                <w:p w14:paraId="0A87530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0.12</w:t>
                  </w:r>
                </w:p>
              </w:tc>
              <w:tc>
                <w:tcPr>
                  <w:tcW w:w="694" w:type="pct"/>
                  <w:shd w:val="clear" w:color="auto" w:fill="auto"/>
                  <w:noWrap w:val="0"/>
                  <w:vAlign w:val="center"/>
                </w:tcPr>
                <w:p w14:paraId="6CC64FBB">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0.43</w:t>
                  </w:r>
                </w:p>
              </w:tc>
              <w:tc>
                <w:tcPr>
                  <w:tcW w:w="694" w:type="pct"/>
                  <w:noWrap w:val="0"/>
                  <w:vAlign w:val="center"/>
                </w:tcPr>
                <w:p w14:paraId="4F3AB4E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695" w:type="pct"/>
                  <w:shd w:val="clear" w:color="auto" w:fill="auto"/>
                  <w:noWrap w:val="0"/>
                  <w:vAlign w:val="center"/>
                </w:tcPr>
                <w:p w14:paraId="06D6451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w:t>
                  </w:r>
                </w:p>
              </w:tc>
            </w:tr>
            <w:tr w14:paraId="258A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37B3CC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1706" w:type="pct"/>
                  <w:noWrap w:val="0"/>
                  <w:vAlign w:val="center"/>
                </w:tcPr>
                <w:p w14:paraId="399D161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w:t>
                  </w:r>
                </w:p>
              </w:tc>
              <w:tc>
                <w:tcPr>
                  <w:tcW w:w="694" w:type="pct"/>
                  <w:noWrap w:val="0"/>
                  <w:vAlign w:val="center"/>
                </w:tcPr>
                <w:p w14:paraId="731EA32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694" w:type="pct"/>
                  <w:shd w:val="clear" w:color="auto" w:fill="auto"/>
                  <w:noWrap w:val="0"/>
                  <w:vAlign w:val="center"/>
                </w:tcPr>
                <w:p w14:paraId="5DB5A08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694" w:type="pct"/>
                  <w:noWrap w:val="0"/>
                  <w:vAlign w:val="center"/>
                </w:tcPr>
                <w:p w14:paraId="717EF1A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695" w:type="pct"/>
                  <w:shd w:val="clear" w:color="auto" w:fill="auto"/>
                  <w:noWrap w:val="0"/>
                  <w:vAlign w:val="center"/>
                </w:tcPr>
                <w:p w14:paraId="321B3DE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r>
            <w:tr w14:paraId="68A3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2E64FD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1706" w:type="pct"/>
                  <w:noWrap w:val="0"/>
                  <w:vAlign w:val="center"/>
                </w:tcPr>
                <w:p w14:paraId="43C5043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氯苯</w:t>
                  </w:r>
                </w:p>
              </w:tc>
              <w:tc>
                <w:tcPr>
                  <w:tcW w:w="694" w:type="pct"/>
                  <w:noWrap w:val="0"/>
                  <w:vAlign w:val="center"/>
                </w:tcPr>
                <w:p w14:paraId="761ED05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68</w:t>
                  </w:r>
                </w:p>
              </w:tc>
              <w:tc>
                <w:tcPr>
                  <w:tcW w:w="694" w:type="pct"/>
                  <w:shd w:val="clear" w:color="auto" w:fill="auto"/>
                  <w:noWrap w:val="0"/>
                  <w:vAlign w:val="center"/>
                </w:tcPr>
                <w:p w14:paraId="7A0299C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270</w:t>
                  </w:r>
                </w:p>
              </w:tc>
              <w:tc>
                <w:tcPr>
                  <w:tcW w:w="694" w:type="pct"/>
                  <w:noWrap w:val="0"/>
                  <w:vAlign w:val="center"/>
                </w:tcPr>
                <w:p w14:paraId="753DAB9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695" w:type="pct"/>
                  <w:shd w:val="clear" w:color="auto" w:fill="auto"/>
                  <w:noWrap w:val="0"/>
                  <w:vAlign w:val="center"/>
                </w:tcPr>
                <w:p w14:paraId="75FE04E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r>
            <w:tr w14:paraId="04B9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39B6D5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1706" w:type="pct"/>
                  <w:noWrap w:val="0"/>
                  <w:vAlign w:val="center"/>
                </w:tcPr>
                <w:p w14:paraId="62DD223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1,2-二氯苯</w:t>
                  </w:r>
                </w:p>
              </w:tc>
              <w:tc>
                <w:tcPr>
                  <w:tcW w:w="694" w:type="pct"/>
                  <w:noWrap w:val="0"/>
                  <w:vAlign w:val="center"/>
                </w:tcPr>
                <w:p w14:paraId="086E55B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560</w:t>
                  </w:r>
                </w:p>
              </w:tc>
              <w:tc>
                <w:tcPr>
                  <w:tcW w:w="694" w:type="pct"/>
                  <w:shd w:val="clear" w:color="auto" w:fill="auto"/>
                  <w:noWrap w:val="0"/>
                  <w:vAlign w:val="center"/>
                </w:tcPr>
                <w:p w14:paraId="4F151FF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560</w:t>
                  </w:r>
                </w:p>
              </w:tc>
              <w:tc>
                <w:tcPr>
                  <w:tcW w:w="694" w:type="pct"/>
                  <w:noWrap w:val="0"/>
                  <w:vAlign w:val="center"/>
                </w:tcPr>
                <w:p w14:paraId="369B77B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560</w:t>
                  </w:r>
                </w:p>
              </w:tc>
              <w:tc>
                <w:tcPr>
                  <w:tcW w:w="695" w:type="pct"/>
                  <w:shd w:val="clear" w:color="auto" w:fill="auto"/>
                  <w:noWrap w:val="0"/>
                  <w:vAlign w:val="center"/>
                </w:tcPr>
                <w:p w14:paraId="09D928C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560</w:t>
                  </w:r>
                </w:p>
              </w:tc>
            </w:tr>
            <w:tr w14:paraId="773A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5195FE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1706" w:type="pct"/>
                  <w:noWrap w:val="0"/>
                  <w:vAlign w:val="center"/>
                </w:tcPr>
                <w:p w14:paraId="6E231E4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1,4-二氯苯</w:t>
                  </w:r>
                </w:p>
              </w:tc>
              <w:tc>
                <w:tcPr>
                  <w:tcW w:w="694" w:type="pct"/>
                  <w:noWrap w:val="0"/>
                  <w:vAlign w:val="center"/>
                </w:tcPr>
                <w:p w14:paraId="725A3EC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w:t>
                  </w:r>
                </w:p>
              </w:tc>
              <w:tc>
                <w:tcPr>
                  <w:tcW w:w="694" w:type="pct"/>
                  <w:shd w:val="clear" w:color="auto" w:fill="auto"/>
                  <w:noWrap w:val="0"/>
                  <w:vAlign w:val="center"/>
                </w:tcPr>
                <w:p w14:paraId="6AD7A28D">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694" w:type="pct"/>
                  <w:noWrap w:val="0"/>
                  <w:vAlign w:val="center"/>
                </w:tcPr>
                <w:p w14:paraId="6F25E8F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w:t>
                  </w:r>
                </w:p>
              </w:tc>
              <w:tc>
                <w:tcPr>
                  <w:tcW w:w="695" w:type="pct"/>
                  <w:shd w:val="clear" w:color="auto" w:fill="auto"/>
                  <w:noWrap w:val="0"/>
                  <w:vAlign w:val="center"/>
                </w:tcPr>
                <w:p w14:paraId="16E8A45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r>
            <w:tr w14:paraId="7CBB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3110FD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1706" w:type="pct"/>
                  <w:noWrap w:val="0"/>
                  <w:vAlign w:val="center"/>
                </w:tcPr>
                <w:p w14:paraId="2766200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乙苯</w:t>
                  </w:r>
                </w:p>
              </w:tc>
              <w:tc>
                <w:tcPr>
                  <w:tcW w:w="694" w:type="pct"/>
                  <w:noWrap w:val="0"/>
                  <w:vAlign w:val="center"/>
                </w:tcPr>
                <w:p w14:paraId="15DAF81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7.2</w:t>
                  </w:r>
                </w:p>
              </w:tc>
              <w:tc>
                <w:tcPr>
                  <w:tcW w:w="694" w:type="pct"/>
                  <w:shd w:val="clear" w:color="auto" w:fill="auto"/>
                  <w:noWrap w:val="0"/>
                  <w:vAlign w:val="center"/>
                </w:tcPr>
                <w:p w14:paraId="0359F67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694" w:type="pct"/>
                  <w:noWrap w:val="0"/>
                  <w:vAlign w:val="center"/>
                </w:tcPr>
                <w:p w14:paraId="7CD29DF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72</w:t>
                  </w:r>
                </w:p>
              </w:tc>
              <w:tc>
                <w:tcPr>
                  <w:tcW w:w="695" w:type="pct"/>
                  <w:shd w:val="clear" w:color="auto" w:fill="auto"/>
                  <w:noWrap w:val="0"/>
                  <w:vAlign w:val="center"/>
                </w:tcPr>
                <w:p w14:paraId="35352720">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r>
            <w:tr w14:paraId="0EE6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0531FC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31</w:t>
                  </w:r>
                </w:p>
              </w:tc>
              <w:tc>
                <w:tcPr>
                  <w:tcW w:w="1706" w:type="pct"/>
                  <w:noWrap w:val="0"/>
                  <w:vAlign w:val="center"/>
                </w:tcPr>
                <w:p w14:paraId="025CC0C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苯乙烯</w:t>
                  </w:r>
                </w:p>
              </w:tc>
              <w:tc>
                <w:tcPr>
                  <w:tcW w:w="694" w:type="pct"/>
                  <w:noWrap w:val="0"/>
                  <w:vAlign w:val="center"/>
                </w:tcPr>
                <w:p w14:paraId="6EF21C1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1290</w:t>
                  </w:r>
                </w:p>
              </w:tc>
              <w:tc>
                <w:tcPr>
                  <w:tcW w:w="694" w:type="pct"/>
                  <w:shd w:val="clear" w:color="auto" w:fill="auto"/>
                  <w:noWrap w:val="0"/>
                  <w:vAlign w:val="center"/>
                </w:tcPr>
                <w:p w14:paraId="11D56130">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1290</w:t>
                  </w:r>
                </w:p>
              </w:tc>
              <w:tc>
                <w:tcPr>
                  <w:tcW w:w="694" w:type="pct"/>
                  <w:noWrap w:val="0"/>
                  <w:vAlign w:val="center"/>
                </w:tcPr>
                <w:p w14:paraId="2DDBB9E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1290</w:t>
                  </w:r>
                </w:p>
              </w:tc>
              <w:tc>
                <w:tcPr>
                  <w:tcW w:w="695" w:type="pct"/>
                  <w:shd w:val="clear" w:color="auto" w:fill="auto"/>
                  <w:noWrap w:val="0"/>
                  <w:vAlign w:val="center"/>
                </w:tcPr>
                <w:p w14:paraId="3B3984C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1290</w:t>
                  </w:r>
                </w:p>
              </w:tc>
            </w:tr>
            <w:tr w14:paraId="40ED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F52B82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w:t>
                  </w:r>
                </w:p>
              </w:tc>
              <w:tc>
                <w:tcPr>
                  <w:tcW w:w="1706" w:type="pct"/>
                  <w:noWrap w:val="0"/>
                  <w:vAlign w:val="center"/>
                </w:tcPr>
                <w:p w14:paraId="7E6A3A2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甲苯</w:t>
                  </w:r>
                </w:p>
              </w:tc>
              <w:tc>
                <w:tcPr>
                  <w:tcW w:w="694" w:type="pct"/>
                  <w:noWrap w:val="0"/>
                  <w:vAlign w:val="center"/>
                </w:tcPr>
                <w:p w14:paraId="2771BCB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694" w:type="pct"/>
                  <w:shd w:val="clear" w:color="auto" w:fill="auto"/>
                  <w:noWrap w:val="0"/>
                  <w:vAlign w:val="center"/>
                </w:tcPr>
                <w:p w14:paraId="35E0A4C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694" w:type="pct"/>
                  <w:noWrap w:val="0"/>
                  <w:vAlign w:val="center"/>
                </w:tcPr>
                <w:p w14:paraId="27E1BCB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695" w:type="pct"/>
                  <w:shd w:val="clear" w:color="auto" w:fill="auto"/>
                  <w:noWrap w:val="0"/>
                  <w:vAlign w:val="center"/>
                </w:tcPr>
                <w:p w14:paraId="300DAD1B">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r>
            <w:tr w14:paraId="7BFB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8ECB27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33</w:t>
                  </w:r>
                </w:p>
              </w:tc>
              <w:tc>
                <w:tcPr>
                  <w:tcW w:w="1706" w:type="pct"/>
                  <w:noWrap w:val="0"/>
                  <w:vAlign w:val="center"/>
                </w:tcPr>
                <w:p w14:paraId="24DC5BE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间二甲苯+对二甲苯</w:t>
                  </w:r>
                </w:p>
              </w:tc>
              <w:tc>
                <w:tcPr>
                  <w:tcW w:w="694" w:type="pct"/>
                  <w:noWrap w:val="0"/>
                  <w:vAlign w:val="center"/>
                </w:tcPr>
                <w:p w14:paraId="6F76C61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163</w:t>
                  </w:r>
                </w:p>
              </w:tc>
              <w:tc>
                <w:tcPr>
                  <w:tcW w:w="694" w:type="pct"/>
                  <w:shd w:val="clear" w:color="auto" w:fill="auto"/>
                  <w:noWrap w:val="0"/>
                  <w:vAlign w:val="center"/>
                </w:tcPr>
                <w:p w14:paraId="235D127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570</w:t>
                  </w:r>
                </w:p>
              </w:tc>
              <w:tc>
                <w:tcPr>
                  <w:tcW w:w="694" w:type="pct"/>
                  <w:noWrap w:val="0"/>
                  <w:vAlign w:val="center"/>
                </w:tcPr>
                <w:p w14:paraId="20A90EE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695" w:type="pct"/>
                  <w:shd w:val="clear" w:color="auto" w:fill="auto"/>
                  <w:noWrap w:val="0"/>
                  <w:vAlign w:val="center"/>
                </w:tcPr>
                <w:p w14:paraId="3502F81E">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570</w:t>
                  </w:r>
                </w:p>
              </w:tc>
            </w:tr>
            <w:tr w14:paraId="5226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21604A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w:t>
                  </w:r>
                </w:p>
              </w:tc>
              <w:tc>
                <w:tcPr>
                  <w:tcW w:w="1706" w:type="pct"/>
                  <w:noWrap w:val="0"/>
                  <w:vAlign w:val="center"/>
                </w:tcPr>
                <w:p w14:paraId="5037A5B4">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邻二甲苯</w:t>
                  </w:r>
                </w:p>
              </w:tc>
              <w:tc>
                <w:tcPr>
                  <w:tcW w:w="694" w:type="pct"/>
                  <w:noWrap w:val="0"/>
                  <w:vAlign w:val="center"/>
                </w:tcPr>
                <w:p w14:paraId="6D4D142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222</w:t>
                  </w:r>
                </w:p>
              </w:tc>
              <w:tc>
                <w:tcPr>
                  <w:tcW w:w="694" w:type="pct"/>
                  <w:shd w:val="clear" w:color="auto" w:fill="auto"/>
                  <w:noWrap w:val="0"/>
                  <w:vAlign w:val="center"/>
                </w:tcPr>
                <w:p w14:paraId="6FFDE35C">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640</w:t>
                  </w:r>
                </w:p>
              </w:tc>
              <w:tc>
                <w:tcPr>
                  <w:tcW w:w="694" w:type="pct"/>
                  <w:noWrap w:val="0"/>
                  <w:vAlign w:val="center"/>
                </w:tcPr>
                <w:p w14:paraId="562E3D9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640</w:t>
                  </w:r>
                </w:p>
              </w:tc>
              <w:tc>
                <w:tcPr>
                  <w:tcW w:w="695" w:type="pct"/>
                  <w:shd w:val="clear" w:color="auto" w:fill="auto"/>
                  <w:noWrap w:val="0"/>
                  <w:vAlign w:val="center"/>
                </w:tcPr>
                <w:p w14:paraId="4D8F9C2C">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640</w:t>
                  </w:r>
                </w:p>
              </w:tc>
            </w:tr>
            <w:tr w14:paraId="1043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4B3885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w:t>
                  </w:r>
                </w:p>
              </w:tc>
              <w:tc>
                <w:tcPr>
                  <w:tcW w:w="1706" w:type="pct"/>
                  <w:noWrap w:val="0"/>
                  <w:vAlign w:val="center"/>
                </w:tcPr>
                <w:p w14:paraId="466AD8A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硝基苯</w:t>
                  </w:r>
                </w:p>
              </w:tc>
              <w:tc>
                <w:tcPr>
                  <w:tcW w:w="694" w:type="pct"/>
                  <w:noWrap w:val="0"/>
                  <w:vAlign w:val="center"/>
                </w:tcPr>
                <w:p w14:paraId="54DC90F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w:t>
                  </w:r>
                </w:p>
              </w:tc>
              <w:tc>
                <w:tcPr>
                  <w:tcW w:w="694" w:type="pct"/>
                  <w:shd w:val="clear" w:color="auto" w:fill="auto"/>
                  <w:noWrap w:val="0"/>
                  <w:vAlign w:val="center"/>
                </w:tcPr>
                <w:p w14:paraId="411B2296">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76</w:t>
                  </w:r>
                </w:p>
              </w:tc>
              <w:tc>
                <w:tcPr>
                  <w:tcW w:w="694" w:type="pct"/>
                  <w:noWrap w:val="0"/>
                  <w:vAlign w:val="center"/>
                </w:tcPr>
                <w:p w14:paraId="027A01E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190</w:t>
                  </w:r>
                </w:p>
              </w:tc>
              <w:tc>
                <w:tcPr>
                  <w:tcW w:w="695" w:type="pct"/>
                  <w:shd w:val="clear" w:color="auto" w:fill="auto"/>
                  <w:noWrap w:val="0"/>
                  <w:vAlign w:val="center"/>
                </w:tcPr>
                <w:p w14:paraId="1CFE934C">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760</w:t>
                  </w:r>
                </w:p>
              </w:tc>
            </w:tr>
            <w:tr w14:paraId="5CEF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3DB6B4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w:t>
                  </w:r>
                </w:p>
              </w:tc>
              <w:tc>
                <w:tcPr>
                  <w:tcW w:w="1706" w:type="pct"/>
                  <w:noWrap w:val="0"/>
                  <w:vAlign w:val="center"/>
                </w:tcPr>
                <w:p w14:paraId="3D6B83E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苯胺</w:t>
                  </w:r>
                </w:p>
              </w:tc>
              <w:tc>
                <w:tcPr>
                  <w:tcW w:w="694" w:type="pct"/>
                  <w:noWrap w:val="0"/>
                  <w:vAlign w:val="center"/>
                </w:tcPr>
                <w:p w14:paraId="742FA61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92</w:t>
                  </w:r>
                </w:p>
              </w:tc>
              <w:tc>
                <w:tcPr>
                  <w:tcW w:w="694" w:type="pct"/>
                  <w:shd w:val="clear" w:color="auto" w:fill="auto"/>
                  <w:noWrap w:val="0"/>
                  <w:vAlign w:val="center"/>
                </w:tcPr>
                <w:p w14:paraId="1FD70DFC">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260</w:t>
                  </w:r>
                </w:p>
              </w:tc>
              <w:tc>
                <w:tcPr>
                  <w:tcW w:w="694" w:type="pct"/>
                  <w:noWrap w:val="0"/>
                  <w:vAlign w:val="center"/>
                </w:tcPr>
                <w:p w14:paraId="599C149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211</w:t>
                  </w:r>
                </w:p>
              </w:tc>
              <w:tc>
                <w:tcPr>
                  <w:tcW w:w="695" w:type="pct"/>
                  <w:shd w:val="clear" w:color="auto" w:fill="auto"/>
                  <w:noWrap w:val="0"/>
                  <w:vAlign w:val="center"/>
                </w:tcPr>
                <w:p w14:paraId="4B691325">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663</w:t>
                  </w:r>
                </w:p>
              </w:tc>
            </w:tr>
            <w:tr w14:paraId="0BE1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10633D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w:t>
                  </w:r>
                </w:p>
              </w:tc>
              <w:tc>
                <w:tcPr>
                  <w:tcW w:w="1706" w:type="pct"/>
                  <w:noWrap w:val="0"/>
                  <w:vAlign w:val="center"/>
                </w:tcPr>
                <w:p w14:paraId="07B9BB6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2-氯酚</w:t>
                  </w:r>
                </w:p>
              </w:tc>
              <w:tc>
                <w:tcPr>
                  <w:tcW w:w="694" w:type="pct"/>
                  <w:noWrap w:val="0"/>
                  <w:vAlign w:val="center"/>
                </w:tcPr>
                <w:p w14:paraId="2EFD8D99">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694" w:type="pct"/>
                  <w:shd w:val="clear" w:color="auto" w:fill="auto"/>
                  <w:noWrap w:val="0"/>
                  <w:vAlign w:val="center"/>
                </w:tcPr>
                <w:p w14:paraId="3AC39703">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2256</w:t>
                  </w:r>
                </w:p>
              </w:tc>
              <w:tc>
                <w:tcPr>
                  <w:tcW w:w="694" w:type="pct"/>
                  <w:noWrap w:val="0"/>
                  <w:vAlign w:val="center"/>
                </w:tcPr>
                <w:p w14:paraId="5D9C0BB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695" w:type="pct"/>
                  <w:shd w:val="clear" w:color="auto" w:fill="auto"/>
                  <w:noWrap w:val="0"/>
                  <w:vAlign w:val="center"/>
                </w:tcPr>
                <w:p w14:paraId="1FDD8609">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4500</w:t>
                  </w:r>
                </w:p>
              </w:tc>
            </w:tr>
            <w:tr w14:paraId="5756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6BA14C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w:t>
                  </w:r>
                </w:p>
              </w:tc>
              <w:tc>
                <w:tcPr>
                  <w:tcW w:w="1706" w:type="pct"/>
                  <w:noWrap w:val="0"/>
                  <w:vAlign w:val="center"/>
                </w:tcPr>
                <w:p w14:paraId="1DFA841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苯并[a]蒽</w:t>
                  </w:r>
                </w:p>
              </w:tc>
              <w:tc>
                <w:tcPr>
                  <w:tcW w:w="694" w:type="pct"/>
                  <w:noWrap w:val="0"/>
                  <w:vAlign w:val="center"/>
                </w:tcPr>
                <w:p w14:paraId="1020940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4" w:type="pct"/>
                  <w:shd w:val="clear" w:color="auto" w:fill="auto"/>
                  <w:noWrap w:val="0"/>
                  <w:vAlign w:val="center"/>
                </w:tcPr>
                <w:p w14:paraId="2D8D94D1">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694" w:type="pct"/>
                  <w:noWrap w:val="0"/>
                  <w:vAlign w:val="center"/>
                </w:tcPr>
                <w:p w14:paraId="15BDDF1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5" w:type="pct"/>
                  <w:shd w:val="clear" w:color="auto" w:fill="auto"/>
                  <w:noWrap w:val="0"/>
                  <w:vAlign w:val="center"/>
                </w:tcPr>
                <w:p w14:paraId="1D95D80F">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w:t>
                  </w:r>
                </w:p>
              </w:tc>
            </w:tr>
            <w:tr w14:paraId="73B7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15" w:type="pct"/>
                  <w:noWrap w:val="0"/>
                  <w:vAlign w:val="center"/>
                </w:tcPr>
                <w:p w14:paraId="2E32898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w:t>
                  </w:r>
                </w:p>
              </w:tc>
              <w:tc>
                <w:tcPr>
                  <w:tcW w:w="1706" w:type="pct"/>
                  <w:noWrap w:val="0"/>
                  <w:vAlign w:val="center"/>
                </w:tcPr>
                <w:p w14:paraId="258612E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苯并[a]芘</w:t>
                  </w:r>
                </w:p>
              </w:tc>
              <w:tc>
                <w:tcPr>
                  <w:tcW w:w="694" w:type="pct"/>
                  <w:noWrap w:val="0"/>
                  <w:vAlign w:val="center"/>
                </w:tcPr>
                <w:p w14:paraId="62C6A317">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694" w:type="pct"/>
                  <w:shd w:val="clear" w:color="auto" w:fill="auto"/>
                  <w:noWrap w:val="0"/>
                  <w:vAlign w:val="center"/>
                </w:tcPr>
                <w:p w14:paraId="7D3A2C6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694" w:type="pct"/>
                  <w:noWrap w:val="0"/>
                  <w:vAlign w:val="center"/>
                </w:tcPr>
                <w:p w14:paraId="73868C1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5" w:type="pct"/>
                  <w:shd w:val="clear" w:color="auto" w:fill="auto"/>
                  <w:noWrap w:val="0"/>
                  <w:vAlign w:val="center"/>
                </w:tcPr>
                <w:p w14:paraId="4090607B">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r>
            <w:tr w14:paraId="26F6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0171B2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1706" w:type="pct"/>
                  <w:noWrap w:val="0"/>
                  <w:vAlign w:val="center"/>
                </w:tcPr>
                <w:p w14:paraId="04938B4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苯并[b]荧蒽</w:t>
                  </w:r>
                </w:p>
              </w:tc>
              <w:tc>
                <w:tcPr>
                  <w:tcW w:w="694" w:type="pct"/>
                  <w:noWrap w:val="0"/>
                  <w:vAlign w:val="center"/>
                </w:tcPr>
                <w:p w14:paraId="49A2567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4" w:type="pct"/>
                  <w:shd w:val="clear" w:color="auto" w:fill="auto"/>
                  <w:noWrap w:val="0"/>
                  <w:vAlign w:val="center"/>
                </w:tcPr>
                <w:p w14:paraId="11570497">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694" w:type="pct"/>
                  <w:noWrap w:val="0"/>
                  <w:vAlign w:val="center"/>
                </w:tcPr>
                <w:p w14:paraId="5E27D97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5" w:type="pct"/>
                  <w:shd w:val="clear" w:color="auto" w:fill="auto"/>
                  <w:noWrap w:val="0"/>
                  <w:vAlign w:val="center"/>
                </w:tcPr>
                <w:p w14:paraId="7CC5FE40">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w:t>
                  </w:r>
                </w:p>
              </w:tc>
            </w:tr>
            <w:tr w14:paraId="5DC7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DF6BA0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w:t>
                  </w:r>
                </w:p>
              </w:tc>
              <w:tc>
                <w:tcPr>
                  <w:tcW w:w="1706" w:type="pct"/>
                  <w:noWrap w:val="0"/>
                  <w:vAlign w:val="center"/>
                </w:tcPr>
                <w:p w14:paraId="75D1F5ED">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苯并[k]荧蒽</w:t>
                  </w:r>
                </w:p>
              </w:tc>
              <w:tc>
                <w:tcPr>
                  <w:tcW w:w="694" w:type="pct"/>
                  <w:noWrap w:val="0"/>
                  <w:vAlign w:val="center"/>
                </w:tcPr>
                <w:p w14:paraId="251997C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4" w:type="pct"/>
                  <w:shd w:val="clear" w:color="auto" w:fill="auto"/>
                  <w:noWrap w:val="0"/>
                  <w:vAlign w:val="center"/>
                </w:tcPr>
                <w:p w14:paraId="6DA4CDE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w:t>
                  </w:r>
                </w:p>
              </w:tc>
              <w:tc>
                <w:tcPr>
                  <w:tcW w:w="694" w:type="pct"/>
                  <w:noWrap w:val="0"/>
                  <w:vAlign w:val="center"/>
                </w:tcPr>
                <w:p w14:paraId="263BD50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550</w:t>
                  </w:r>
                </w:p>
              </w:tc>
              <w:tc>
                <w:tcPr>
                  <w:tcW w:w="695" w:type="pct"/>
                  <w:shd w:val="clear" w:color="auto" w:fill="auto"/>
                  <w:noWrap w:val="0"/>
                  <w:vAlign w:val="center"/>
                </w:tcPr>
                <w:p w14:paraId="5A79A6F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1500</w:t>
                  </w:r>
                </w:p>
              </w:tc>
            </w:tr>
            <w:tr w14:paraId="26E9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6E268E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1706" w:type="pct"/>
                  <w:noWrap w:val="0"/>
                  <w:vAlign w:val="center"/>
                </w:tcPr>
                <w:p w14:paraId="7A261B9F">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䓛</w:t>
                  </w:r>
                </w:p>
              </w:tc>
              <w:tc>
                <w:tcPr>
                  <w:tcW w:w="694" w:type="pct"/>
                  <w:noWrap w:val="0"/>
                  <w:vAlign w:val="center"/>
                </w:tcPr>
                <w:p w14:paraId="511D2110">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490</w:t>
                  </w:r>
                </w:p>
              </w:tc>
              <w:tc>
                <w:tcPr>
                  <w:tcW w:w="694" w:type="pct"/>
                  <w:shd w:val="clear" w:color="auto" w:fill="auto"/>
                  <w:noWrap w:val="0"/>
                  <w:vAlign w:val="center"/>
                </w:tcPr>
                <w:p w14:paraId="178D7380">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1293</w:t>
                  </w:r>
                </w:p>
              </w:tc>
              <w:tc>
                <w:tcPr>
                  <w:tcW w:w="694" w:type="pct"/>
                  <w:noWrap w:val="0"/>
                  <w:vAlign w:val="center"/>
                </w:tcPr>
                <w:p w14:paraId="0C9C288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4900</w:t>
                  </w:r>
                </w:p>
              </w:tc>
              <w:tc>
                <w:tcPr>
                  <w:tcW w:w="695" w:type="pct"/>
                  <w:shd w:val="clear" w:color="auto" w:fill="auto"/>
                  <w:noWrap w:val="0"/>
                  <w:vAlign w:val="center"/>
                </w:tcPr>
                <w:p w14:paraId="37A07B9B">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12900</w:t>
                  </w:r>
                </w:p>
              </w:tc>
            </w:tr>
            <w:tr w14:paraId="4446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736075A">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w:t>
                  </w:r>
                </w:p>
              </w:tc>
              <w:tc>
                <w:tcPr>
                  <w:tcW w:w="1706" w:type="pct"/>
                  <w:noWrap w:val="0"/>
                  <w:vAlign w:val="center"/>
                </w:tcPr>
                <w:p w14:paraId="1D0FC1A6">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二苯并[a，h]蒽</w:t>
                  </w:r>
                </w:p>
              </w:tc>
              <w:tc>
                <w:tcPr>
                  <w:tcW w:w="694" w:type="pct"/>
                  <w:noWrap w:val="0"/>
                  <w:vAlign w:val="center"/>
                </w:tcPr>
                <w:p w14:paraId="64DD0898">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694" w:type="pct"/>
                  <w:shd w:val="clear" w:color="auto" w:fill="auto"/>
                  <w:noWrap w:val="0"/>
                  <w:vAlign w:val="center"/>
                </w:tcPr>
                <w:p w14:paraId="3E911F7C">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694" w:type="pct"/>
                  <w:noWrap w:val="0"/>
                  <w:vAlign w:val="center"/>
                </w:tcPr>
                <w:p w14:paraId="424772CB">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5" w:type="pct"/>
                  <w:shd w:val="clear" w:color="auto" w:fill="auto"/>
                  <w:noWrap w:val="0"/>
                  <w:vAlign w:val="center"/>
                </w:tcPr>
                <w:p w14:paraId="5B5D80B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r>
            <w:tr w14:paraId="5707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4401C5C">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w:t>
                  </w:r>
                </w:p>
              </w:tc>
              <w:tc>
                <w:tcPr>
                  <w:tcW w:w="1706" w:type="pct"/>
                  <w:noWrap w:val="0"/>
                  <w:vAlign w:val="center"/>
                </w:tcPr>
                <w:p w14:paraId="574F0C43">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茚并[1,2,3-cd]芘</w:t>
                  </w:r>
                </w:p>
              </w:tc>
              <w:tc>
                <w:tcPr>
                  <w:tcW w:w="694" w:type="pct"/>
                  <w:noWrap w:val="0"/>
                  <w:vAlign w:val="center"/>
                </w:tcPr>
                <w:p w14:paraId="00772A2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4" w:type="pct"/>
                  <w:shd w:val="clear" w:color="auto" w:fill="auto"/>
                  <w:noWrap w:val="0"/>
                  <w:vAlign w:val="center"/>
                </w:tcPr>
                <w:p w14:paraId="6FAD2212">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694" w:type="pct"/>
                  <w:noWrap w:val="0"/>
                  <w:vAlign w:val="center"/>
                </w:tcPr>
                <w:p w14:paraId="37646AD2">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695" w:type="pct"/>
                  <w:shd w:val="clear" w:color="auto" w:fill="auto"/>
                  <w:noWrap w:val="0"/>
                  <w:vAlign w:val="center"/>
                </w:tcPr>
                <w:p w14:paraId="167C03BA">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w:t>
                  </w:r>
                </w:p>
              </w:tc>
            </w:tr>
            <w:tr w14:paraId="2E34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7D2E4A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1706" w:type="pct"/>
                  <w:noWrap w:val="0"/>
                  <w:vAlign w:val="center"/>
                </w:tcPr>
                <w:p w14:paraId="02C2E4BE">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萘</w:t>
                  </w:r>
                </w:p>
              </w:tc>
              <w:tc>
                <w:tcPr>
                  <w:tcW w:w="694" w:type="pct"/>
                  <w:noWrap w:val="0"/>
                  <w:vAlign w:val="center"/>
                </w:tcPr>
                <w:p w14:paraId="4DCF6BD5">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694" w:type="pct"/>
                  <w:shd w:val="clear" w:color="auto" w:fill="auto"/>
                  <w:noWrap w:val="0"/>
                  <w:vAlign w:val="center"/>
                </w:tcPr>
                <w:p w14:paraId="0E113418">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694" w:type="pct"/>
                  <w:noWrap w:val="0"/>
                  <w:vAlign w:val="center"/>
                </w:tcPr>
                <w:p w14:paraId="59F353D1">
                  <w:pPr>
                    <w:pStyle w:val="87"/>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255</w:t>
                  </w:r>
                </w:p>
              </w:tc>
              <w:tc>
                <w:tcPr>
                  <w:tcW w:w="695" w:type="pct"/>
                  <w:shd w:val="clear" w:color="auto" w:fill="auto"/>
                  <w:noWrap w:val="0"/>
                  <w:vAlign w:val="center"/>
                </w:tcPr>
                <w:p w14:paraId="7C4A864D">
                  <w:pPr>
                    <w:pStyle w:val="87"/>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700</w:t>
                  </w:r>
                </w:p>
              </w:tc>
            </w:tr>
          </w:tbl>
          <w:p w14:paraId="75B78898">
            <w:pPr>
              <w:pStyle w:val="72"/>
              <w:keepNext w:val="0"/>
              <w:keepLines w:val="0"/>
              <w:pageBreakBefore w:val="0"/>
              <w:widowControl w:val="0"/>
              <w:numPr>
                <w:ilvl w:val="0"/>
                <w:numId w:val="0"/>
              </w:numPr>
              <w:kinsoku/>
              <w:wordWrap/>
              <w:overflowPunct/>
              <w:topLinePunct w:val="0"/>
              <w:autoSpaceDE/>
              <w:autoSpaceDN/>
              <w:bidi w:val="0"/>
              <w:adjustRightInd w:val="0"/>
              <w:snapToGrid w:val="0"/>
              <w:ind w:firstLine="496"/>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项目周边耕地执行《土壤环境质量农用地土壤污染风险管控标准（试行）》（GB15618-2018），标准限值详见下表。</w:t>
            </w:r>
          </w:p>
          <w:p w14:paraId="66142323">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农用地土壤污染风险筛选值和管制值（基本项目）单位：mg/kg</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408"/>
              <w:gridCol w:w="1303"/>
              <w:gridCol w:w="1060"/>
              <w:gridCol w:w="1562"/>
              <w:gridCol w:w="1708"/>
              <w:gridCol w:w="1024"/>
            </w:tblGrid>
            <w:tr w14:paraId="7E35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0095DFD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1104" w:type="pct"/>
                  <w:gridSpan w:val="2"/>
                  <w:noWrap w:val="0"/>
                  <w:vAlign w:val="center"/>
                </w:tcPr>
                <w:p w14:paraId="7B02F82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污染项目</w:t>
                  </w:r>
                </w:p>
              </w:tc>
              <w:tc>
                <w:tcPr>
                  <w:tcW w:w="684" w:type="pct"/>
                  <w:noWrap w:val="0"/>
                  <w:vAlign w:val="center"/>
                </w:tcPr>
                <w:p w14:paraId="1D9A3AA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PH≤5.5</w:t>
                  </w:r>
                </w:p>
              </w:tc>
              <w:tc>
                <w:tcPr>
                  <w:tcW w:w="1008" w:type="pct"/>
                  <w:noWrap w:val="0"/>
                  <w:vAlign w:val="center"/>
                </w:tcPr>
                <w:p w14:paraId="4D20FAE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5.5＜PH≤6.5</w:t>
                  </w:r>
                </w:p>
              </w:tc>
              <w:tc>
                <w:tcPr>
                  <w:tcW w:w="1102" w:type="pct"/>
                  <w:noWrap w:val="0"/>
                  <w:vAlign w:val="center"/>
                </w:tcPr>
                <w:p w14:paraId="3E172C8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6.5＜PH≤7.5</w:t>
                  </w:r>
                </w:p>
              </w:tc>
              <w:tc>
                <w:tcPr>
                  <w:tcW w:w="660" w:type="pct"/>
                  <w:noWrap w:val="0"/>
                  <w:vAlign w:val="center"/>
                </w:tcPr>
                <w:p w14:paraId="41374A8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PH≥7.5</w:t>
                  </w:r>
                </w:p>
              </w:tc>
            </w:tr>
            <w:tr w14:paraId="2860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6F0EDAD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筛选值</w:t>
                  </w:r>
                </w:p>
              </w:tc>
            </w:tr>
            <w:tr w14:paraId="6A23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12A1A86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63" w:type="pct"/>
                  <w:vMerge w:val="restart"/>
                  <w:noWrap w:val="0"/>
                  <w:vAlign w:val="center"/>
                </w:tcPr>
                <w:p w14:paraId="327F31C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镉</w:t>
                  </w:r>
                </w:p>
              </w:tc>
              <w:tc>
                <w:tcPr>
                  <w:tcW w:w="840" w:type="pct"/>
                  <w:noWrap w:val="0"/>
                  <w:vAlign w:val="center"/>
                </w:tcPr>
                <w:p w14:paraId="50D0E52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水田</w:t>
                  </w:r>
                </w:p>
              </w:tc>
              <w:tc>
                <w:tcPr>
                  <w:tcW w:w="684" w:type="pct"/>
                  <w:noWrap w:val="0"/>
                  <w:vAlign w:val="center"/>
                </w:tcPr>
                <w:p w14:paraId="5534FFE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1008" w:type="pct"/>
                  <w:noWrap w:val="0"/>
                  <w:vAlign w:val="center"/>
                </w:tcPr>
                <w:p w14:paraId="1F839F2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1102" w:type="pct"/>
                  <w:noWrap w:val="0"/>
                  <w:vAlign w:val="center"/>
                </w:tcPr>
                <w:p w14:paraId="385A6BA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660" w:type="pct"/>
                  <w:noWrap w:val="0"/>
                  <w:vAlign w:val="center"/>
                </w:tcPr>
                <w:p w14:paraId="77C3CD6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r>
            <w:tr w14:paraId="490F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171BCBA7">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263" w:type="pct"/>
                  <w:vMerge w:val="continue"/>
                  <w:noWrap w:val="0"/>
                  <w:vAlign w:val="center"/>
                </w:tcPr>
                <w:p w14:paraId="3858A58F">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840" w:type="pct"/>
                  <w:noWrap w:val="0"/>
                  <w:vAlign w:val="center"/>
                </w:tcPr>
                <w:p w14:paraId="1213C01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w:t>
                  </w:r>
                </w:p>
              </w:tc>
              <w:tc>
                <w:tcPr>
                  <w:tcW w:w="684" w:type="pct"/>
                  <w:noWrap w:val="0"/>
                  <w:vAlign w:val="center"/>
                </w:tcPr>
                <w:p w14:paraId="2A1F97D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1008" w:type="pct"/>
                  <w:noWrap w:val="0"/>
                  <w:vAlign w:val="center"/>
                </w:tcPr>
                <w:p w14:paraId="50CF7C4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1102" w:type="pct"/>
                  <w:noWrap w:val="0"/>
                  <w:vAlign w:val="center"/>
                </w:tcPr>
                <w:p w14:paraId="6C910E7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660" w:type="pct"/>
                  <w:noWrap w:val="0"/>
                  <w:vAlign w:val="center"/>
                </w:tcPr>
                <w:p w14:paraId="2954040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r>
            <w:tr w14:paraId="3D02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7BEDA99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63" w:type="pct"/>
                  <w:vMerge w:val="restart"/>
                  <w:noWrap w:val="0"/>
                  <w:vAlign w:val="center"/>
                </w:tcPr>
                <w:p w14:paraId="1AD4139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汞</w:t>
                  </w:r>
                </w:p>
              </w:tc>
              <w:tc>
                <w:tcPr>
                  <w:tcW w:w="840" w:type="pct"/>
                  <w:noWrap w:val="0"/>
                  <w:vAlign w:val="center"/>
                </w:tcPr>
                <w:p w14:paraId="05D0CD8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水田</w:t>
                  </w:r>
                </w:p>
              </w:tc>
              <w:tc>
                <w:tcPr>
                  <w:tcW w:w="684" w:type="pct"/>
                  <w:noWrap w:val="0"/>
                  <w:vAlign w:val="center"/>
                </w:tcPr>
                <w:p w14:paraId="74B9676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1008" w:type="pct"/>
                  <w:noWrap w:val="0"/>
                  <w:vAlign w:val="center"/>
                </w:tcPr>
                <w:p w14:paraId="1CC31BC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1102" w:type="pct"/>
                  <w:noWrap w:val="0"/>
                  <w:vAlign w:val="center"/>
                </w:tcPr>
                <w:p w14:paraId="2DE10AF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660" w:type="pct"/>
                  <w:noWrap w:val="0"/>
                  <w:vAlign w:val="center"/>
                </w:tcPr>
                <w:p w14:paraId="67DD82D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14:paraId="5CB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43ECC62C">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263" w:type="pct"/>
                  <w:vMerge w:val="continue"/>
                  <w:noWrap w:val="0"/>
                  <w:vAlign w:val="center"/>
                </w:tcPr>
                <w:p w14:paraId="36508DAC">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840" w:type="pct"/>
                  <w:noWrap w:val="0"/>
                  <w:vAlign w:val="center"/>
                </w:tcPr>
                <w:p w14:paraId="3E82FCC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w:t>
                  </w:r>
                </w:p>
              </w:tc>
              <w:tc>
                <w:tcPr>
                  <w:tcW w:w="684" w:type="pct"/>
                  <w:noWrap w:val="0"/>
                  <w:vAlign w:val="center"/>
                </w:tcPr>
                <w:p w14:paraId="4E4C46B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w:t>
                  </w:r>
                </w:p>
              </w:tc>
              <w:tc>
                <w:tcPr>
                  <w:tcW w:w="1008" w:type="pct"/>
                  <w:noWrap w:val="0"/>
                  <w:vAlign w:val="center"/>
                </w:tcPr>
                <w:p w14:paraId="56FBBEB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w:t>
                  </w:r>
                </w:p>
              </w:tc>
              <w:tc>
                <w:tcPr>
                  <w:tcW w:w="1102" w:type="pct"/>
                  <w:noWrap w:val="0"/>
                  <w:vAlign w:val="center"/>
                </w:tcPr>
                <w:p w14:paraId="2D001BC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660" w:type="pct"/>
                  <w:noWrap w:val="0"/>
                  <w:vAlign w:val="center"/>
                </w:tcPr>
                <w:p w14:paraId="0958428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w:t>
                  </w:r>
                </w:p>
              </w:tc>
            </w:tr>
            <w:tr w14:paraId="236E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35F912C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63" w:type="pct"/>
                  <w:vMerge w:val="restart"/>
                  <w:noWrap w:val="0"/>
                  <w:vAlign w:val="center"/>
                </w:tcPr>
                <w:p w14:paraId="56B3C1D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砷</w:t>
                  </w:r>
                </w:p>
              </w:tc>
              <w:tc>
                <w:tcPr>
                  <w:tcW w:w="840" w:type="pct"/>
                  <w:noWrap w:val="0"/>
                  <w:vAlign w:val="center"/>
                </w:tcPr>
                <w:p w14:paraId="22985E6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水田</w:t>
                  </w:r>
                </w:p>
              </w:tc>
              <w:tc>
                <w:tcPr>
                  <w:tcW w:w="684" w:type="pct"/>
                  <w:noWrap w:val="0"/>
                  <w:vAlign w:val="center"/>
                </w:tcPr>
                <w:p w14:paraId="77435A2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1008" w:type="pct"/>
                  <w:noWrap w:val="0"/>
                  <w:vAlign w:val="center"/>
                </w:tcPr>
                <w:p w14:paraId="3302A12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1102" w:type="pct"/>
                  <w:noWrap w:val="0"/>
                  <w:vAlign w:val="center"/>
                </w:tcPr>
                <w:p w14:paraId="4F81429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660" w:type="pct"/>
                  <w:noWrap w:val="0"/>
                  <w:vAlign w:val="center"/>
                </w:tcPr>
                <w:p w14:paraId="0ABB974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r>
            <w:tr w14:paraId="76AB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2F7723D5">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263" w:type="pct"/>
                  <w:vMerge w:val="continue"/>
                  <w:noWrap w:val="0"/>
                  <w:vAlign w:val="center"/>
                </w:tcPr>
                <w:p w14:paraId="7C2B068C">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840" w:type="pct"/>
                  <w:noWrap w:val="0"/>
                  <w:vAlign w:val="center"/>
                </w:tcPr>
                <w:p w14:paraId="71683F8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w:t>
                  </w:r>
                </w:p>
              </w:tc>
              <w:tc>
                <w:tcPr>
                  <w:tcW w:w="684" w:type="pct"/>
                  <w:noWrap w:val="0"/>
                  <w:vAlign w:val="center"/>
                </w:tcPr>
                <w:p w14:paraId="6D4F027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1008" w:type="pct"/>
                  <w:noWrap w:val="0"/>
                  <w:vAlign w:val="center"/>
                </w:tcPr>
                <w:p w14:paraId="26828E4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1102" w:type="pct"/>
                  <w:noWrap w:val="0"/>
                  <w:vAlign w:val="center"/>
                </w:tcPr>
                <w:p w14:paraId="7497DDD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660" w:type="pct"/>
                  <w:noWrap w:val="0"/>
                  <w:vAlign w:val="center"/>
                </w:tcPr>
                <w:p w14:paraId="6BB7B6E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r>
            <w:tr w14:paraId="62C0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3F883D9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63" w:type="pct"/>
                  <w:vMerge w:val="restart"/>
                  <w:noWrap w:val="0"/>
                  <w:vAlign w:val="center"/>
                </w:tcPr>
                <w:p w14:paraId="4CAE1B3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铅</w:t>
                  </w:r>
                </w:p>
              </w:tc>
              <w:tc>
                <w:tcPr>
                  <w:tcW w:w="840" w:type="pct"/>
                  <w:noWrap w:val="0"/>
                  <w:vAlign w:val="center"/>
                </w:tcPr>
                <w:p w14:paraId="1A0AFBB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水田</w:t>
                  </w:r>
                </w:p>
              </w:tc>
              <w:tc>
                <w:tcPr>
                  <w:tcW w:w="684" w:type="pct"/>
                  <w:noWrap w:val="0"/>
                  <w:vAlign w:val="center"/>
                </w:tcPr>
                <w:p w14:paraId="582B484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w:t>
                  </w:r>
                </w:p>
              </w:tc>
              <w:tc>
                <w:tcPr>
                  <w:tcW w:w="1008" w:type="pct"/>
                  <w:noWrap w:val="0"/>
                  <w:vAlign w:val="center"/>
                </w:tcPr>
                <w:p w14:paraId="3A52577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102" w:type="pct"/>
                  <w:noWrap w:val="0"/>
                  <w:vAlign w:val="center"/>
                </w:tcPr>
                <w:p w14:paraId="03E8889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140</w:t>
                  </w:r>
                </w:p>
              </w:tc>
              <w:tc>
                <w:tcPr>
                  <w:tcW w:w="660" w:type="pct"/>
                  <w:noWrap w:val="0"/>
                  <w:vAlign w:val="center"/>
                </w:tcPr>
                <w:p w14:paraId="301D5FF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240</w:t>
                  </w:r>
                </w:p>
              </w:tc>
            </w:tr>
            <w:tr w14:paraId="3361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2469A1A6">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263" w:type="pct"/>
                  <w:vMerge w:val="continue"/>
                  <w:noWrap w:val="0"/>
                  <w:vAlign w:val="center"/>
                </w:tcPr>
                <w:p w14:paraId="7F5B2BB8">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840" w:type="pct"/>
                  <w:noWrap w:val="0"/>
                  <w:vAlign w:val="center"/>
                </w:tcPr>
                <w:p w14:paraId="186D005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w:t>
                  </w:r>
                </w:p>
              </w:tc>
              <w:tc>
                <w:tcPr>
                  <w:tcW w:w="684" w:type="pct"/>
                  <w:noWrap w:val="0"/>
                  <w:vAlign w:val="center"/>
                </w:tcPr>
                <w:p w14:paraId="5EF57C5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1008" w:type="pct"/>
                  <w:noWrap w:val="0"/>
                  <w:vAlign w:val="center"/>
                </w:tcPr>
                <w:p w14:paraId="770F0C2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w:t>
                  </w:r>
                </w:p>
              </w:tc>
              <w:tc>
                <w:tcPr>
                  <w:tcW w:w="1102" w:type="pct"/>
                  <w:noWrap w:val="0"/>
                  <w:vAlign w:val="center"/>
                </w:tcPr>
                <w:p w14:paraId="69B67E2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660" w:type="pct"/>
                  <w:noWrap w:val="0"/>
                  <w:vAlign w:val="center"/>
                </w:tcPr>
                <w:p w14:paraId="34A9AF3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170</w:t>
                  </w:r>
                </w:p>
              </w:tc>
            </w:tr>
            <w:tr w14:paraId="70CB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1FFA7BA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63" w:type="pct"/>
                  <w:vMerge w:val="restart"/>
                  <w:noWrap w:val="0"/>
                  <w:vAlign w:val="center"/>
                </w:tcPr>
                <w:p w14:paraId="0AE07A8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铬</w:t>
                  </w:r>
                </w:p>
              </w:tc>
              <w:tc>
                <w:tcPr>
                  <w:tcW w:w="840" w:type="pct"/>
                  <w:noWrap w:val="0"/>
                  <w:vAlign w:val="center"/>
                </w:tcPr>
                <w:p w14:paraId="1FA26EB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水田</w:t>
                  </w:r>
                </w:p>
              </w:tc>
              <w:tc>
                <w:tcPr>
                  <w:tcW w:w="684" w:type="pct"/>
                  <w:noWrap w:val="0"/>
                  <w:vAlign w:val="center"/>
                </w:tcPr>
                <w:p w14:paraId="24D5104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008" w:type="pct"/>
                  <w:noWrap w:val="0"/>
                  <w:vAlign w:val="center"/>
                </w:tcPr>
                <w:p w14:paraId="0A992E0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102" w:type="pct"/>
                  <w:noWrap w:val="0"/>
                  <w:vAlign w:val="center"/>
                </w:tcPr>
                <w:p w14:paraId="6C08B94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660" w:type="pct"/>
                  <w:noWrap w:val="0"/>
                  <w:vAlign w:val="center"/>
                </w:tcPr>
                <w:p w14:paraId="05DD52B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350</w:t>
                  </w:r>
                </w:p>
              </w:tc>
            </w:tr>
            <w:tr w14:paraId="64C8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66142554">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263" w:type="pct"/>
                  <w:vMerge w:val="continue"/>
                  <w:noWrap w:val="0"/>
                  <w:vAlign w:val="center"/>
                </w:tcPr>
                <w:p w14:paraId="6C195C8B">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840" w:type="pct"/>
                  <w:noWrap w:val="0"/>
                  <w:vAlign w:val="center"/>
                </w:tcPr>
                <w:p w14:paraId="181C4B3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w:t>
                  </w:r>
                </w:p>
              </w:tc>
              <w:tc>
                <w:tcPr>
                  <w:tcW w:w="684" w:type="pct"/>
                  <w:noWrap w:val="0"/>
                  <w:vAlign w:val="center"/>
                </w:tcPr>
                <w:p w14:paraId="22ABF75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p>
              </w:tc>
              <w:tc>
                <w:tcPr>
                  <w:tcW w:w="1008" w:type="pct"/>
                  <w:noWrap w:val="0"/>
                  <w:vAlign w:val="center"/>
                </w:tcPr>
                <w:p w14:paraId="5042237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p>
              </w:tc>
              <w:tc>
                <w:tcPr>
                  <w:tcW w:w="1102" w:type="pct"/>
                  <w:noWrap w:val="0"/>
                  <w:vAlign w:val="center"/>
                </w:tcPr>
                <w:p w14:paraId="5D774E7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660" w:type="pct"/>
                  <w:noWrap w:val="0"/>
                  <w:vAlign w:val="center"/>
                </w:tcPr>
                <w:p w14:paraId="468DCD3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14:paraId="2BF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2C6AAE3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63" w:type="pct"/>
                  <w:vMerge w:val="restart"/>
                  <w:noWrap w:val="0"/>
                  <w:vAlign w:val="center"/>
                </w:tcPr>
                <w:p w14:paraId="6B917757">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铜</w:t>
                  </w:r>
                </w:p>
              </w:tc>
              <w:tc>
                <w:tcPr>
                  <w:tcW w:w="840" w:type="pct"/>
                  <w:noWrap w:val="0"/>
                  <w:vAlign w:val="center"/>
                </w:tcPr>
                <w:p w14:paraId="1C825AD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水田</w:t>
                  </w:r>
                </w:p>
              </w:tc>
              <w:tc>
                <w:tcPr>
                  <w:tcW w:w="684" w:type="pct"/>
                  <w:noWrap w:val="0"/>
                  <w:vAlign w:val="center"/>
                </w:tcPr>
                <w:p w14:paraId="4CBE183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p>
              </w:tc>
              <w:tc>
                <w:tcPr>
                  <w:tcW w:w="1008" w:type="pct"/>
                  <w:noWrap w:val="0"/>
                  <w:vAlign w:val="center"/>
                </w:tcPr>
                <w:p w14:paraId="4F21984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p>
              </w:tc>
              <w:tc>
                <w:tcPr>
                  <w:tcW w:w="1102" w:type="pct"/>
                  <w:noWrap w:val="0"/>
                  <w:vAlign w:val="center"/>
                </w:tcPr>
                <w:p w14:paraId="3F60AB7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660" w:type="pct"/>
                  <w:noWrap w:val="0"/>
                  <w:vAlign w:val="center"/>
                </w:tcPr>
                <w:p w14:paraId="5AA94C6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r>
            <w:tr w14:paraId="5DD6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1FE4C894">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263" w:type="pct"/>
                  <w:vMerge w:val="continue"/>
                  <w:noWrap w:val="0"/>
                  <w:vAlign w:val="center"/>
                </w:tcPr>
                <w:p w14:paraId="1F3D6B49">
                  <w:pPr>
                    <w:pStyle w:val="87"/>
                    <w:rPr>
                      <w:rFonts w:hint="default" w:ascii="Times New Roman" w:hAnsi="Times New Roman" w:cs="Times New Roman"/>
                      <w:color w:val="000000" w:themeColor="text1"/>
                      <w:lang w:val="en-US" w:eastAsia="zh-CN"/>
                      <w14:textFill>
                        <w14:solidFill>
                          <w14:schemeClr w14:val="tx1"/>
                        </w14:solidFill>
                      </w14:textFill>
                    </w:rPr>
                  </w:pPr>
                </w:p>
              </w:tc>
              <w:tc>
                <w:tcPr>
                  <w:tcW w:w="840" w:type="pct"/>
                  <w:noWrap w:val="0"/>
                  <w:vAlign w:val="center"/>
                </w:tcPr>
                <w:p w14:paraId="4C24D63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w:t>
                  </w:r>
                </w:p>
              </w:tc>
              <w:tc>
                <w:tcPr>
                  <w:tcW w:w="684" w:type="pct"/>
                  <w:noWrap w:val="0"/>
                  <w:vAlign w:val="center"/>
                </w:tcPr>
                <w:p w14:paraId="5DAE070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008" w:type="pct"/>
                  <w:noWrap w:val="0"/>
                  <w:vAlign w:val="center"/>
                </w:tcPr>
                <w:p w14:paraId="257C9CD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102" w:type="pct"/>
                  <w:noWrap w:val="0"/>
                  <w:vAlign w:val="center"/>
                </w:tcPr>
                <w:p w14:paraId="6F20965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660" w:type="pct"/>
                  <w:noWrap w:val="0"/>
                  <w:vAlign w:val="center"/>
                </w:tcPr>
                <w:p w14:paraId="799A44E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r>
            <w:tr w14:paraId="0743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63C8708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1104" w:type="pct"/>
                  <w:gridSpan w:val="2"/>
                  <w:noWrap w:val="0"/>
                  <w:vAlign w:val="center"/>
                </w:tcPr>
                <w:p w14:paraId="4D4EAB8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镍</w:t>
                  </w:r>
                </w:p>
              </w:tc>
              <w:tc>
                <w:tcPr>
                  <w:tcW w:w="684" w:type="pct"/>
                  <w:noWrap w:val="0"/>
                  <w:vAlign w:val="center"/>
                </w:tcPr>
                <w:p w14:paraId="1AF8CA9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1008" w:type="pct"/>
                  <w:noWrap w:val="0"/>
                  <w:vAlign w:val="center"/>
                </w:tcPr>
                <w:p w14:paraId="38781B7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1102" w:type="pct"/>
                  <w:noWrap w:val="0"/>
                  <w:vAlign w:val="center"/>
                </w:tcPr>
                <w:p w14:paraId="17FF003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660" w:type="pct"/>
                  <w:noWrap w:val="0"/>
                  <w:vAlign w:val="center"/>
                </w:tcPr>
                <w:p w14:paraId="5F2E869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190</w:t>
                  </w:r>
                </w:p>
              </w:tc>
            </w:tr>
            <w:tr w14:paraId="01D4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31312EE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1104" w:type="pct"/>
                  <w:gridSpan w:val="2"/>
                  <w:noWrap w:val="0"/>
                  <w:vAlign w:val="center"/>
                </w:tcPr>
                <w:p w14:paraId="037C54C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锌</w:t>
                  </w:r>
                </w:p>
              </w:tc>
              <w:tc>
                <w:tcPr>
                  <w:tcW w:w="684" w:type="pct"/>
                  <w:noWrap w:val="0"/>
                  <w:vAlign w:val="center"/>
                </w:tcPr>
                <w:p w14:paraId="2619D30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008" w:type="pct"/>
                  <w:noWrap w:val="0"/>
                  <w:vAlign w:val="center"/>
                </w:tcPr>
                <w:p w14:paraId="3E83F86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102" w:type="pct"/>
                  <w:noWrap w:val="0"/>
                  <w:vAlign w:val="center"/>
                </w:tcPr>
                <w:p w14:paraId="7922EDAE">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660" w:type="pct"/>
                  <w:noWrap w:val="0"/>
                  <w:vAlign w:val="center"/>
                </w:tcPr>
                <w:p w14:paraId="79E9B0F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r>
            <w:tr w14:paraId="5611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6ADF77F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管控值</w:t>
                  </w:r>
                </w:p>
              </w:tc>
            </w:tr>
            <w:tr w14:paraId="573E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27E76858">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104" w:type="pct"/>
                  <w:gridSpan w:val="2"/>
                  <w:noWrap w:val="0"/>
                  <w:vAlign w:val="center"/>
                </w:tcPr>
                <w:p w14:paraId="43468ABA">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镉</w:t>
                  </w:r>
                </w:p>
              </w:tc>
              <w:tc>
                <w:tcPr>
                  <w:tcW w:w="684" w:type="pct"/>
                  <w:noWrap w:val="0"/>
                  <w:vAlign w:val="center"/>
                </w:tcPr>
                <w:p w14:paraId="51E622B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008" w:type="pct"/>
                  <w:noWrap w:val="0"/>
                  <w:vAlign w:val="center"/>
                </w:tcPr>
                <w:p w14:paraId="4E3962EB">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102" w:type="pct"/>
                  <w:noWrap w:val="0"/>
                  <w:vAlign w:val="center"/>
                </w:tcPr>
                <w:p w14:paraId="384009C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660" w:type="pct"/>
                  <w:noWrap w:val="0"/>
                  <w:vAlign w:val="center"/>
                </w:tcPr>
                <w:p w14:paraId="28D3C00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r>
            <w:tr w14:paraId="2C18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417D2DD5">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104" w:type="pct"/>
                  <w:gridSpan w:val="2"/>
                  <w:noWrap w:val="0"/>
                  <w:vAlign w:val="center"/>
                </w:tcPr>
                <w:p w14:paraId="29BE664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汞</w:t>
                  </w:r>
                </w:p>
              </w:tc>
              <w:tc>
                <w:tcPr>
                  <w:tcW w:w="684" w:type="pct"/>
                  <w:noWrap w:val="0"/>
                  <w:vAlign w:val="center"/>
                </w:tcPr>
                <w:p w14:paraId="7BCEB3C3">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008" w:type="pct"/>
                  <w:noWrap w:val="0"/>
                  <w:vAlign w:val="center"/>
                </w:tcPr>
                <w:p w14:paraId="42E003F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102" w:type="pct"/>
                  <w:noWrap w:val="0"/>
                  <w:vAlign w:val="center"/>
                </w:tcPr>
                <w:p w14:paraId="0D129C0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660" w:type="pct"/>
                  <w:noWrap w:val="0"/>
                  <w:vAlign w:val="center"/>
                </w:tcPr>
                <w:p w14:paraId="32CBB8AC">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r>
            <w:tr w14:paraId="5065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00AE489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104" w:type="pct"/>
                  <w:gridSpan w:val="2"/>
                  <w:noWrap w:val="0"/>
                  <w:vAlign w:val="center"/>
                </w:tcPr>
                <w:p w14:paraId="0BA2744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砷</w:t>
                  </w:r>
                </w:p>
              </w:tc>
              <w:tc>
                <w:tcPr>
                  <w:tcW w:w="684" w:type="pct"/>
                  <w:noWrap w:val="0"/>
                  <w:vAlign w:val="center"/>
                </w:tcPr>
                <w:p w14:paraId="336F3E0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008" w:type="pct"/>
                  <w:noWrap w:val="0"/>
                  <w:vAlign w:val="center"/>
                </w:tcPr>
                <w:p w14:paraId="3F71F9C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150</w:t>
                  </w:r>
                </w:p>
              </w:tc>
              <w:tc>
                <w:tcPr>
                  <w:tcW w:w="1102" w:type="pct"/>
                  <w:noWrap w:val="0"/>
                  <w:vAlign w:val="center"/>
                </w:tcPr>
                <w:p w14:paraId="0C40C602">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tc>
              <w:tc>
                <w:tcPr>
                  <w:tcW w:w="660" w:type="pct"/>
                  <w:noWrap w:val="0"/>
                  <w:vAlign w:val="center"/>
                </w:tcPr>
                <w:p w14:paraId="46BBD6AF">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r>
            <w:tr w14:paraId="3A82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59CF11C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104" w:type="pct"/>
                  <w:gridSpan w:val="2"/>
                  <w:noWrap w:val="0"/>
                  <w:vAlign w:val="center"/>
                </w:tcPr>
                <w:p w14:paraId="1A198F4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铅</w:t>
                  </w:r>
                </w:p>
              </w:tc>
              <w:tc>
                <w:tcPr>
                  <w:tcW w:w="684" w:type="pct"/>
                  <w:noWrap w:val="0"/>
                  <w:vAlign w:val="center"/>
                </w:tcPr>
                <w:p w14:paraId="451B52E1">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w:t>
                  </w:r>
                </w:p>
              </w:tc>
              <w:tc>
                <w:tcPr>
                  <w:tcW w:w="1008" w:type="pct"/>
                  <w:noWrap w:val="0"/>
                  <w:vAlign w:val="center"/>
                </w:tcPr>
                <w:p w14:paraId="781606F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1102" w:type="pct"/>
                  <w:noWrap w:val="0"/>
                  <w:vAlign w:val="center"/>
                </w:tcPr>
                <w:p w14:paraId="56993DF9">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700</w:t>
                  </w:r>
                </w:p>
              </w:tc>
              <w:tc>
                <w:tcPr>
                  <w:tcW w:w="660" w:type="pct"/>
                  <w:noWrap w:val="0"/>
                  <w:vAlign w:val="center"/>
                </w:tcPr>
                <w:p w14:paraId="07C78EB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r>
            <w:tr w14:paraId="2252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4C8976FD">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1104" w:type="pct"/>
                  <w:gridSpan w:val="2"/>
                  <w:noWrap w:val="0"/>
                  <w:vAlign w:val="center"/>
                </w:tcPr>
                <w:p w14:paraId="1CBE89B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铬</w:t>
                  </w:r>
                </w:p>
              </w:tc>
              <w:tc>
                <w:tcPr>
                  <w:tcW w:w="684" w:type="pct"/>
                  <w:noWrap w:val="0"/>
                  <w:vAlign w:val="center"/>
                </w:tcPr>
                <w:p w14:paraId="79DB87C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w:t>
                  </w:r>
                </w:p>
              </w:tc>
              <w:tc>
                <w:tcPr>
                  <w:tcW w:w="1008" w:type="pct"/>
                  <w:noWrap w:val="0"/>
                  <w:vAlign w:val="center"/>
                </w:tcPr>
                <w:p w14:paraId="434D26A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850</w:t>
                  </w:r>
                </w:p>
              </w:tc>
              <w:tc>
                <w:tcPr>
                  <w:tcW w:w="1102" w:type="pct"/>
                  <w:noWrap w:val="0"/>
                  <w:vAlign w:val="center"/>
                </w:tcPr>
                <w:p w14:paraId="7D105906">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c>
                <w:tcPr>
                  <w:tcW w:w="660" w:type="pct"/>
                  <w:noWrap w:val="0"/>
                  <w:vAlign w:val="center"/>
                </w:tcPr>
                <w:p w14:paraId="521B0A34">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1300</w:t>
                  </w:r>
                </w:p>
              </w:tc>
            </w:tr>
            <w:tr w14:paraId="53AA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470E2550">
                  <w:pPr>
                    <w:pStyle w:val="87"/>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注：①重金属和类金属砷均按元素总量计。②对于水旱轮作地，采用其中较严格的风险筛选值。</w:t>
                  </w:r>
                </w:p>
              </w:tc>
            </w:tr>
          </w:tbl>
          <w:p w14:paraId="2682F446">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（5）声环境</w:t>
            </w:r>
          </w:p>
          <w:p w14:paraId="08E1E76B">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项目位于云南省昆明市寻甸县</w:t>
            </w:r>
            <w:r>
              <w:rPr>
                <w:rFonts w:hint="default" w:ascii="Times New Roman" w:hAnsi="Times New Roman" w:cs="Times New Roman"/>
                <w:color w:val="000000" w:themeColor="text1"/>
                <w:lang w:val="en-US" w:eastAsia="zh-CN"/>
                <w14:textFill>
                  <w14:solidFill>
                    <w14:schemeClr w14:val="tx1"/>
                  </w14:solidFill>
                </w14:textFill>
              </w:rPr>
              <w:t>塘子镇</w:t>
            </w:r>
            <w:r>
              <w:rPr>
                <w:rFonts w:hint="default" w:ascii="Times New Roman" w:hAnsi="Times New Roman" w:cs="Times New Roman"/>
                <w:color w:val="000000" w:themeColor="text1"/>
                <w:lang w:val="en-US"/>
                <w14:textFill>
                  <w14:solidFill>
                    <w14:schemeClr w14:val="tx1"/>
                  </w14:solidFill>
                </w14:textFill>
              </w:rPr>
              <w:t>，声环境执行《声环境质量标准》（GB3096-2008）2类标准，具体见下表。</w:t>
            </w:r>
          </w:p>
          <w:p w14:paraId="5D779A02">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23  </w:t>
            </w:r>
            <w:r>
              <w:rPr>
                <w:rFonts w:hint="default" w:ascii="Times New Roman" w:hAnsi="Times New Roman" w:cs="Times New Roman"/>
                <w:b/>
                <w:bCs/>
                <w:color w:val="000000" w:themeColor="text1"/>
                <w:sz w:val="24"/>
                <w:szCs w:val="24"/>
                <w:lang w:val="en-US"/>
                <w14:textFill>
                  <w14:solidFill>
                    <w14:schemeClr w14:val="tx1"/>
                  </w14:solidFill>
                </w14:textFill>
              </w:rPr>
              <w:t>声环境质量标准单位：dB（A）</w:t>
            </w:r>
          </w:p>
          <w:tbl>
            <w:tblPr>
              <w:tblStyle w:val="41"/>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560"/>
              <w:gridCol w:w="3165"/>
            </w:tblGrid>
            <w:tr w14:paraId="6722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560" w:type="dxa"/>
                </w:tcPr>
                <w:p w14:paraId="505C2A06">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时段</w:t>
                  </w:r>
                </w:p>
              </w:tc>
              <w:tc>
                <w:tcPr>
                  <w:tcW w:w="2560" w:type="dxa"/>
                </w:tcPr>
                <w:p w14:paraId="7AC50636">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昼间</w:t>
                  </w:r>
                </w:p>
              </w:tc>
              <w:tc>
                <w:tcPr>
                  <w:tcW w:w="3165" w:type="dxa"/>
                </w:tcPr>
                <w:p w14:paraId="738C443E">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夜间</w:t>
                  </w:r>
                </w:p>
              </w:tc>
            </w:tr>
            <w:tr w14:paraId="4065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560" w:type="dxa"/>
                </w:tcPr>
                <w:p w14:paraId="447078D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2类声功能区</w:t>
                  </w:r>
                </w:p>
              </w:tc>
              <w:tc>
                <w:tcPr>
                  <w:tcW w:w="2560" w:type="dxa"/>
                </w:tcPr>
                <w:p w14:paraId="29D9C81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3165" w:type="dxa"/>
                </w:tcPr>
                <w:p w14:paraId="22DE2CB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bl>
          <w:p w14:paraId="0A1413B2">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2、污染物排放标准</w:t>
            </w:r>
          </w:p>
          <w:p w14:paraId="3F444977">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（1）大气污染物排放标准</w:t>
            </w:r>
          </w:p>
          <w:p w14:paraId="39C31DBE">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项目矿坑修复区施工大气污染物主要为无组织颗粒物，执行《大气污染物综合排放标准》（GB16297-1996）表2中无组织排放限值（1.0mg/m</w:t>
            </w:r>
            <w:r>
              <w:rPr>
                <w:rFonts w:hint="default" w:ascii="Times New Roman" w:hAnsi="Times New Roman" w:cs="Times New Roman"/>
                <w:color w:val="000000" w:themeColor="text1"/>
                <w:vertAlign w:val="superscript"/>
                <w:lang w:val="en-US"/>
                <w14:textFill>
                  <w14:solidFill>
                    <w14:schemeClr w14:val="tx1"/>
                  </w14:solidFill>
                </w14:textFill>
              </w:rPr>
              <w:t>3</w:t>
            </w:r>
            <w:r>
              <w:rPr>
                <w:rFonts w:hint="default" w:ascii="Times New Roman" w:hAnsi="Times New Roman" w:cs="Times New Roman"/>
                <w:color w:val="000000" w:themeColor="text1"/>
                <w:lang w:val="en-US"/>
                <w14:textFill>
                  <w14:solidFill>
                    <w14:schemeClr w14:val="tx1"/>
                  </w14:solidFill>
                </w14:textFill>
              </w:rPr>
              <w:t>），详见下表。</w:t>
            </w:r>
          </w:p>
          <w:p w14:paraId="0D58CEC1">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表3-2</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4 </w:t>
            </w:r>
            <w:r>
              <w:rPr>
                <w:rFonts w:hint="default" w:ascii="Times New Roman" w:hAnsi="Times New Roman" w:cs="Times New Roman"/>
                <w:b/>
                <w:bCs/>
                <w:color w:val="000000" w:themeColor="text1"/>
                <w:sz w:val="24"/>
                <w:szCs w:val="24"/>
                <w:lang w:val="en-US"/>
                <w14:textFill>
                  <w14:solidFill>
                    <w14:schemeClr w14:val="tx1"/>
                  </w14:solidFill>
                </w14:textFill>
              </w:rPr>
              <w:t xml:space="preserve"> 大气污染物综合排放标准</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2869"/>
              <w:gridCol w:w="2584"/>
            </w:tblGrid>
            <w:tr w14:paraId="608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Pr>
                <w:p w14:paraId="23007597">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1851" w:type="pct"/>
                </w:tcPr>
                <w:p w14:paraId="63ABF387">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无组织排放监控浓度限制</w:t>
                  </w:r>
                </w:p>
              </w:tc>
              <w:tc>
                <w:tcPr>
                  <w:tcW w:w="1667" w:type="pct"/>
                </w:tcPr>
                <w:p w14:paraId="56AA5B6E">
                  <w:pPr>
                    <w:pStyle w:val="87"/>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监控点</w:t>
                  </w:r>
                </w:p>
              </w:tc>
            </w:tr>
            <w:tr w14:paraId="57C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Pr>
                <w:p w14:paraId="09640FFB">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851" w:type="pct"/>
                </w:tcPr>
                <w:p w14:paraId="5EC5B5CC">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1.0mg/m³</w:t>
                  </w:r>
                </w:p>
              </w:tc>
              <w:tc>
                <w:tcPr>
                  <w:tcW w:w="1667" w:type="pct"/>
                </w:tcPr>
                <w:p w14:paraId="61DC33F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周界外浓度最高点</w:t>
                  </w:r>
                </w:p>
              </w:tc>
            </w:tr>
          </w:tbl>
          <w:p w14:paraId="7F0B2063">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（2）噪声排放标准</w:t>
            </w:r>
          </w:p>
          <w:p w14:paraId="68E66767">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项目施工期噪声排放执行《建筑施工场界环境噪声排放标准》（GB12523-2</w:t>
            </w:r>
            <w:r>
              <w:rPr>
                <w:rFonts w:hint="default" w:ascii="Times New Roman" w:hAnsi="Times New Roman" w:cs="Times New Roman"/>
                <w:color w:val="000000" w:themeColor="text1"/>
                <w:lang w:val="en-US" w:eastAsia="zh-CN"/>
                <w14:textFill>
                  <w14:solidFill>
                    <w14:schemeClr w14:val="tx1"/>
                  </w14:solidFill>
                </w14:textFill>
              </w:rPr>
              <w:t>025</w:t>
            </w:r>
            <w:r>
              <w:rPr>
                <w:rFonts w:hint="default" w:ascii="Times New Roman" w:hAnsi="Times New Roman" w:cs="Times New Roman"/>
                <w:color w:val="000000" w:themeColor="text1"/>
                <w:lang w:val="en-US"/>
                <w14:textFill>
                  <w14:solidFill>
                    <w14:schemeClr w14:val="tx1"/>
                  </w14:solidFill>
                </w14:textFill>
              </w:rPr>
              <w:t>）中表1规定的排放限值，标准限值见下表。</w:t>
            </w:r>
          </w:p>
          <w:p w14:paraId="6A19DAEB">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表3-2</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5 </w:t>
            </w:r>
            <w:r>
              <w:rPr>
                <w:rFonts w:hint="default" w:ascii="Times New Roman" w:hAnsi="Times New Roman" w:cs="Times New Roman"/>
                <w:b/>
                <w:bCs/>
                <w:color w:val="000000" w:themeColor="text1"/>
                <w:sz w:val="24"/>
                <w:szCs w:val="24"/>
                <w:lang w:val="en-US"/>
                <w14:textFill>
                  <w14:solidFill>
                    <w14:schemeClr w14:val="tx1"/>
                  </w14:solidFill>
                </w14:textFill>
              </w:rPr>
              <w:t xml:space="preserve"> 建筑施工场界环境噪声排放限值单位：dB（A）</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5"/>
              <w:gridCol w:w="3876"/>
            </w:tblGrid>
            <w:tr w14:paraId="4DB8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CF056EA">
                  <w:pPr>
                    <w:pStyle w:val="72"/>
                    <w:spacing w:line="240" w:lineRule="auto"/>
                    <w:ind w:firstLine="0" w:firstLineChars="0"/>
                    <w:jc w:val="center"/>
                    <w:rPr>
                      <w:rFonts w:hint="default" w:ascii="Times New Roman" w:hAnsi="Times New Roman" w:cs="Times New Roman"/>
                      <w:b/>
                      <w:bCs/>
                      <w:color w:val="000000" w:themeColor="text1"/>
                      <w:sz w:val="21"/>
                      <w:szCs w:val="21"/>
                      <w:lang w:val="en-US" w:bidi="ar"/>
                      <w14:textFill>
                        <w14:solidFill>
                          <w14:schemeClr w14:val="tx1"/>
                        </w14:solidFill>
                      </w14:textFill>
                    </w:rPr>
                  </w:pPr>
                  <w:r>
                    <w:rPr>
                      <w:rFonts w:hint="default" w:ascii="Times New Roman" w:hAnsi="Times New Roman" w:cs="Times New Roman"/>
                      <w:b/>
                      <w:bCs/>
                      <w:color w:val="000000" w:themeColor="text1"/>
                      <w:sz w:val="21"/>
                      <w:szCs w:val="21"/>
                      <w:lang w:val="en-US" w:bidi="ar"/>
                      <w14:textFill>
                        <w14:solidFill>
                          <w14:schemeClr w14:val="tx1"/>
                        </w14:solidFill>
                      </w14:textFill>
                    </w:rPr>
                    <w:t>昼间</w:t>
                  </w:r>
                </w:p>
              </w:tc>
              <w:tc>
                <w:tcPr>
                  <w:tcW w:w="2500" w:type="pct"/>
                  <w:vAlign w:val="center"/>
                </w:tcPr>
                <w:p w14:paraId="2B433E47">
                  <w:pPr>
                    <w:pStyle w:val="72"/>
                    <w:spacing w:line="240" w:lineRule="auto"/>
                    <w:ind w:firstLine="0" w:firstLineChars="0"/>
                    <w:jc w:val="center"/>
                    <w:rPr>
                      <w:rFonts w:hint="default" w:ascii="Times New Roman" w:hAnsi="Times New Roman" w:cs="Times New Roman"/>
                      <w:b/>
                      <w:bCs/>
                      <w:color w:val="000000" w:themeColor="text1"/>
                      <w:sz w:val="21"/>
                      <w:szCs w:val="21"/>
                      <w:lang w:val="en-US" w:bidi="ar"/>
                      <w14:textFill>
                        <w14:solidFill>
                          <w14:schemeClr w14:val="tx1"/>
                        </w14:solidFill>
                      </w14:textFill>
                    </w:rPr>
                  </w:pPr>
                  <w:r>
                    <w:rPr>
                      <w:rFonts w:hint="default" w:ascii="Times New Roman" w:hAnsi="Times New Roman" w:cs="Times New Roman"/>
                      <w:b/>
                      <w:bCs/>
                      <w:color w:val="000000" w:themeColor="text1"/>
                      <w:sz w:val="21"/>
                      <w:szCs w:val="21"/>
                      <w:lang w:val="en-US" w:bidi="ar"/>
                      <w14:textFill>
                        <w14:solidFill>
                          <w14:schemeClr w14:val="tx1"/>
                        </w14:solidFill>
                      </w14:textFill>
                    </w:rPr>
                    <w:t>夜间</w:t>
                  </w:r>
                </w:p>
              </w:tc>
            </w:tr>
            <w:tr w14:paraId="4234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4C4C00DA">
                  <w:pPr>
                    <w:pStyle w:val="72"/>
                    <w:spacing w:line="240" w:lineRule="auto"/>
                    <w:ind w:firstLine="0" w:firstLineChars="0"/>
                    <w:jc w:val="center"/>
                    <w:rPr>
                      <w:rFonts w:hint="default" w:ascii="Times New Roman" w:hAnsi="Times New Roman" w:cs="Times New Roman"/>
                      <w:color w:val="000000" w:themeColor="text1"/>
                      <w:sz w:val="21"/>
                      <w:szCs w:val="21"/>
                      <w:lang w:val="en-US" w:bidi="ar"/>
                      <w14:textFill>
                        <w14:solidFill>
                          <w14:schemeClr w14:val="tx1"/>
                        </w14:solidFill>
                      </w14:textFill>
                    </w:rPr>
                  </w:pPr>
                  <w:r>
                    <w:rPr>
                      <w:rFonts w:hint="default" w:ascii="Times New Roman" w:hAnsi="Times New Roman" w:cs="Times New Roman"/>
                      <w:color w:val="000000" w:themeColor="text1"/>
                      <w:sz w:val="21"/>
                      <w:szCs w:val="21"/>
                      <w:lang w:val="en-US" w:bidi="ar"/>
                      <w14:textFill>
                        <w14:solidFill>
                          <w14:schemeClr w14:val="tx1"/>
                        </w14:solidFill>
                      </w14:textFill>
                    </w:rPr>
                    <w:t>70</w:t>
                  </w:r>
                </w:p>
              </w:tc>
              <w:tc>
                <w:tcPr>
                  <w:tcW w:w="2500" w:type="pct"/>
                  <w:vAlign w:val="center"/>
                </w:tcPr>
                <w:p w14:paraId="1AC993B9">
                  <w:pPr>
                    <w:pStyle w:val="72"/>
                    <w:spacing w:line="240" w:lineRule="auto"/>
                    <w:ind w:firstLine="0" w:firstLineChars="0"/>
                    <w:jc w:val="center"/>
                    <w:rPr>
                      <w:rFonts w:hint="default" w:ascii="Times New Roman" w:hAnsi="Times New Roman" w:cs="Times New Roman"/>
                      <w:color w:val="000000" w:themeColor="text1"/>
                      <w:sz w:val="21"/>
                      <w:szCs w:val="21"/>
                      <w:lang w:val="en-US" w:bidi="ar"/>
                      <w14:textFill>
                        <w14:solidFill>
                          <w14:schemeClr w14:val="tx1"/>
                        </w14:solidFill>
                      </w14:textFill>
                    </w:rPr>
                  </w:pPr>
                  <w:r>
                    <w:rPr>
                      <w:rFonts w:hint="default" w:ascii="Times New Roman" w:hAnsi="Times New Roman" w:cs="Times New Roman"/>
                      <w:color w:val="000000" w:themeColor="text1"/>
                      <w:sz w:val="21"/>
                      <w:szCs w:val="21"/>
                      <w:lang w:val="en-US" w:bidi="ar"/>
                      <w14:textFill>
                        <w14:solidFill>
                          <w14:schemeClr w14:val="tx1"/>
                        </w14:solidFill>
                      </w14:textFill>
                    </w:rPr>
                    <w:t>55</w:t>
                  </w:r>
                </w:p>
              </w:tc>
            </w:tr>
          </w:tbl>
          <w:p w14:paraId="01E5B884">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（3）废水</w:t>
            </w:r>
          </w:p>
          <w:p w14:paraId="64E44484">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施工期施工车辆进出冲洗废水经临时沉淀池沉淀后回用于施工场地洒水降尘，不外排；养护用水经浸润吸收后，自然蒸发，无废水产生。生态修复回填区降雨形成的渗滤液经盲沟收集至渗滤液收集井及回用水池沉淀处理后回用于回填区洒水降尘。</w:t>
            </w:r>
          </w:p>
          <w:p w14:paraId="24256E5F">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（4）固体废物</w:t>
            </w:r>
          </w:p>
          <w:p w14:paraId="4B080B00">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生活垃圾遵循无害化、减量化、资源化的原则，在项目区内设置带盖垃圾桶收集垃圾，定期把垃圾清运至最近村庄垃圾收集点处置。</w:t>
            </w:r>
          </w:p>
          <w:p w14:paraId="0E9AECB3">
            <w:pPr>
              <w:pStyle w:val="72"/>
              <w:adjustRightInd w:val="0"/>
              <w:ind w:firstLine="496"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场地清理产生的土石方和沉淀池沉渣进行回填处置不外排。拆除工程产生的建筑垃圾清运至政府指定地点进行处置。</w:t>
            </w:r>
          </w:p>
          <w:p w14:paraId="68773F81">
            <w:pPr>
              <w:pStyle w:val="72"/>
              <w:adjustRightInd w:val="0"/>
              <w:ind w:firstLine="496" w:firstLineChars="0"/>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（5）防渗控制标准</w:t>
            </w:r>
          </w:p>
          <w:p w14:paraId="41CC25B5">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项目回填时防渗工程应满足《改性磷石膏用于矿山废弃地生态修复回填技术规范》（DB53/T1269-2024）要求“当矿山废弃地天然基础层饱和渗透系数≤1.0×10</w:t>
            </w:r>
            <w:r>
              <w:rPr>
                <w:rFonts w:hint="default" w:ascii="Times New Roman" w:hAnsi="Times New Roman" w:cs="Times New Roman"/>
                <w:color w:val="000000" w:themeColor="text1"/>
                <w:kern w:val="0"/>
                <w:vertAlign w:val="superscript"/>
                <w:lang w:val="en-US" w:bidi="ar"/>
                <w14:textFill>
                  <w14:solidFill>
                    <w14:schemeClr w14:val="tx1"/>
                  </w14:solidFill>
                </w14:textFill>
              </w:rPr>
              <w:t>-</w:t>
            </w:r>
            <w:r>
              <w:rPr>
                <w:rFonts w:hint="default" w:ascii="Times New Roman" w:hAnsi="Times New Roman" w:cs="Times New Roman"/>
                <w:color w:val="000000" w:themeColor="text1"/>
                <w:vertAlign w:val="superscript"/>
                <w:lang w:val="en-US"/>
                <w14:textFill>
                  <w14:solidFill>
                    <w14:schemeClr w14:val="tx1"/>
                  </w14:solidFill>
                </w14:textFill>
              </w:rPr>
              <w:t>5</w:t>
            </w:r>
            <w:r>
              <w:rPr>
                <w:rFonts w:hint="default" w:ascii="Times New Roman" w:hAnsi="Times New Roman" w:cs="Times New Roman"/>
                <w:color w:val="000000" w:themeColor="text1"/>
                <w:lang w:val="en-US"/>
                <w14:textFill>
                  <w14:solidFill>
                    <w14:schemeClr w14:val="tx1"/>
                  </w14:solidFill>
                </w14:textFill>
              </w:rPr>
              <w:t>cm/s，且厚度≥0.75m时，可采用天然基础层作为防渗衬层。当天然基础层不满足上述防渗要求时，应采用改性压实粘土类衬层或具有同等以上隔水效力的其他材料防渗衬层，其防渗性能应至少相当于渗透系数为1.0×10</w:t>
            </w:r>
            <w:r>
              <w:rPr>
                <w:rFonts w:hint="default" w:ascii="Times New Roman" w:hAnsi="Times New Roman" w:cs="Times New Roman"/>
                <w:color w:val="000000" w:themeColor="text1"/>
                <w:kern w:val="0"/>
                <w:vertAlign w:val="superscript"/>
                <w:lang w:val="en-US" w:bidi="ar"/>
                <w14:textFill>
                  <w14:solidFill>
                    <w14:schemeClr w14:val="tx1"/>
                  </w14:solidFill>
                </w14:textFill>
              </w:rPr>
              <w:t>-</w:t>
            </w:r>
            <w:r>
              <w:rPr>
                <w:rFonts w:hint="default" w:ascii="Times New Roman" w:hAnsi="Times New Roman" w:cs="Times New Roman"/>
                <w:color w:val="000000" w:themeColor="text1"/>
                <w:vertAlign w:val="superscript"/>
                <w:lang w:val="en-US"/>
                <w14:textFill>
                  <w14:solidFill>
                    <w14:schemeClr w14:val="tx1"/>
                  </w14:solidFill>
                </w14:textFill>
              </w:rPr>
              <w:t>5</w:t>
            </w:r>
            <w:r>
              <w:rPr>
                <w:rFonts w:hint="default" w:ascii="Times New Roman" w:hAnsi="Times New Roman" w:cs="Times New Roman"/>
                <w:color w:val="000000" w:themeColor="text1"/>
                <w:lang w:val="en-US"/>
                <w14:textFill>
                  <w14:solidFill>
                    <w14:schemeClr w14:val="tx1"/>
                  </w14:solidFill>
                </w14:textFill>
              </w:rPr>
              <w:t>cm/s，且厚度为0.75m的天然基础层；回填区域应设置渗漏监控系统，监控防渗衬层的完整性；回填区域应设计截排水、渗滤液集排水、堤、坝、挡土墙、导流渠、渗滤液收集井等设施。回填区域竖向设计应结合原有地形，做到有利于雨污分流、优化土石方平衡。应建立检查维护制度，按季度检查维护上述设施，发现有损坏或异常，应及时采取必要措施，保障正常运行。”</w:t>
            </w:r>
          </w:p>
          <w:p w14:paraId="4FCF7588">
            <w:pPr>
              <w:pStyle w:val="72"/>
              <w:adjustRightInd w:val="0"/>
              <w:ind w:firstLine="498"/>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14:textFill>
                  <w14:solidFill>
                    <w14:schemeClr w14:val="tx1"/>
                  </w14:solidFill>
                </w14:textFill>
              </w:rPr>
              <w:t>6</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14:textFill>
                  <w14:solidFill>
                    <w14:schemeClr w14:val="tx1"/>
                  </w14:solidFill>
                </w14:textFill>
              </w:rPr>
              <w:t>回填材料入场控制标准</w:t>
            </w:r>
          </w:p>
          <w:p w14:paraId="60D5C87A">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根据《改性磷石膏用于矿山废弃地生态修复回填技术规范》（DB53/T1269-2024）</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中相关要求，项目使用的改性磷石膏材料需要满足“</w:t>
            </w:r>
            <w:r>
              <w:rPr>
                <w:rFonts w:hint="default" w:ascii="Times New Roman" w:hAnsi="Times New Roman" w:cs="Times New Roman"/>
                <w:color w:val="000000" w:themeColor="text1"/>
                <w:kern w:val="0"/>
                <w:lang w:val="en-US" w:bidi="ar"/>
                <w14:textFill>
                  <w14:solidFill>
                    <w14:schemeClr w14:val="tx1"/>
                  </w14:solidFill>
                </w14:textFill>
              </w:rPr>
              <w:t>按照HJ557规定方法制备改性磷石膏浸出液中任何一种特征污染物浓度均不应超过GB 8978最高允许排放浓度（第二类污染物最高允许排放浓度按照一级标准执行）</w:t>
            </w:r>
            <w:r>
              <w:rPr>
                <w:rFonts w:hint="default" w:ascii="Times New Roman" w:hAnsi="Times New Roman" w:cs="Times New Roman"/>
                <w:color w:val="000000" w:themeColor="text1"/>
                <w:lang w:val="en-US"/>
                <w14:textFill>
                  <w14:solidFill>
                    <w14:schemeClr w14:val="tx1"/>
                  </w14:solidFill>
                </w14:textFill>
              </w:rPr>
              <w:t>”标准才可进行回填，具体指标见下表。</w:t>
            </w:r>
          </w:p>
          <w:p w14:paraId="0478DF25">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表3-2</w:t>
            </w:r>
            <w:r>
              <w:rPr>
                <w:rFonts w:hint="default"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14:textFill>
                  <w14:solidFill>
                    <w14:schemeClr w14:val="tx1"/>
                  </w14:solidFill>
                </w14:textFill>
              </w:rPr>
              <w:t>改性磷石膏浸出液标准</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3"/>
              <w:gridCol w:w="2583"/>
              <w:gridCol w:w="2583"/>
            </w:tblGrid>
            <w:tr w14:paraId="51D3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2C15345B">
                  <w:pPr>
                    <w:pStyle w:val="64"/>
                    <w:spacing w:beforeLines="0" w:afterLines="0" w:line="240" w:lineRule="auto"/>
                    <w:ind w:firstLine="0" w:firstLineChars="0"/>
                    <w:rPr>
                      <w:rFonts w:hint="default" w:ascii="Times New Roman" w:hAnsi="Times New Roman" w:cs="Times New Roman"/>
                      <w:b/>
                      <w:bCs/>
                      <w:color w:val="000000" w:themeColor="text1"/>
                      <w:sz w:val="21"/>
                      <w:lang w:bidi="ar"/>
                      <w14:textFill>
                        <w14:solidFill>
                          <w14:schemeClr w14:val="tx1"/>
                        </w14:solidFill>
                      </w14:textFill>
                    </w:rPr>
                  </w:pPr>
                  <w:r>
                    <w:rPr>
                      <w:rFonts w:hint="default" w:ascii="Times New Roman" w:hAnsi="Times New Roman" w:cs="Times New Roman"/>
                      <w:b/>
                      <w:bCs/>
                      <w:color w:val="000000" w:themeColor="text1"/>
                      <w:sz w:val="21"/>
                      <w:lang w:bidi="ar"/>
                      <w14:textFill>
                        <w14:solidFill>
                          <w14:schemeClr w14:val="tx1"/>
                        </w14:solidFill>
                      </w14:textFill>
                    </w:rPr>
                    <w:t>序号</w:t>
                  </w:r>
                </w:p>
              </w:tc>
              <w:tc>
                <w:tcPr>
                  <w:tcW w:w="1666" w:type="pct"/>
                </w:tcPr>
                <w:p w14:paraId="44865D73">
                  <w:pPr>
                    <w:pStyle w:val="64"/>
                    <w:spacing w:beforeLines="0" w:afterLines="0" w:line="240" w:lineRule="auto"/>
                    <w:ind w:firstLine="0" w:firstLineChars="0"/>
                    <w:rPr>
                      <w:rFonts w:hint="default" w:ascii="Times New Roman" w:hAnsi="Times New Roman" w:cs="Times New Roman"/>
                      <w:b/>
                      <w:bCs/>
                      <w:color w:val="000000" w:themeColor="text1"/>
                      <w:sz w:val="21"/>
                      <w:lang w:bidi="ar"/>
                      <w14:textFill>
                        <w14:solidFill>
                          <w14:schemeClr w14:val="tx1"/>
                        </w14:solidFill>
                      </w14:textFill>
                    </w:rPr>
                  </w:pPr>
                  <w:r>
                    <w:rPr>
                      <w:rFonts w:hint="default" w:ascii="Times New Roman" w:hAnsi="Times New Roman" w:cs="Times New Roman"/>
                      <w:b/>
                      <w:bCs/>
                      <w:color w:val="000000" w:themeColor="text1"/>
                      <w:sz w:val="21"/>
                      <w:lang w:bidi="ar"/>
                      <w14:textFill>
                        <w14:solidFill>
                          <w14:schemeClr w14:val="tx1"/>
                        </w14:solidFill>
                      </w14:textFill>
                    </w:rPr>
                    <w:t>污染物项目</w:t>
                  </w:r>
                </w:p>
              </w:tc>
              <w:tc>
                <w:tcPr>
                  <w:tcW w:w="1666" w:type="pct"/>
                </w:tcPr>
                <w:p w14:paraId="71BBEF2C">
                  <w:pPr>
                    <w:pStyle w:val="64"/>
                    <w:spacing w:beforeLines="0" w:afterLines="0" w:line="240" w:lineRule="auto"/>
                    <w:ind w:firstLine="0" w:firstLineChars="0"/>
                    <w:rPr>
                      <w:rFonts w:hint="default" w:ascii="Times New Roman" w:hAnsi="Times New Roman" w:cs="Times New Roman"/>
                      <w:b/>
                      <w:bCs/>
                      <w:color w:val="000000" w:themeColor="text1"/>
                      <w:sz w:val="21"/>
                      <w:lang w:bidi="ar"/>
                      <w14:textFill>
                        <w14:solidFill>
                          <w14:schemeClr w14:val="tx1"/>
                        </w14:solidFill>
                      </w14:textFill>
                    </w:rPr>
                  </w:pPr>
                  <w:r>
                    <w:rPr>
                      <w:rFonts w:hint="default" w:ascii="Times New Roman" w:hAnsi="Times New Roman" w:cs="Times New Roman"/>
                      <w:b/>
                      <w:bCs/>
                      <w:color w:val="000000" w:themeColor="text1"/>
                      <w:sz w:val="21"/>
                      <w:lang w:bidi="ar"/>
                      <w14:textFill>
                        <w14:solidFill>
                          <w14:schemeClr w14:val="tx1"/>
                        </w14:solidFill>
                      </w14:textFill>
                    </w:rPr>
                    <w:t>指标</w:t>
                  </w:r>
                </w:p>
              </w:tc>
            </w:tr>
            <w:tr w14:paraId="10BD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666" w:type="pct"/>
                </w:tcPr>
                <w:p w14:paraId="365C66D7">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w:t>
                  </w:r>
                </w:p>
              </w:tc>
              <w:tc>
                <w:tcPr>
                  <w:tcW w:w="1666" w:type="pct"/>
                </w:tcPr>
                <w:p w14:paraId="11E2215F">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pH</w:t>
                  </w:r>
                </w:p>
              </w:tc>
              <w:tc>
                <w:tcPr>
                  <w:tcW w:w="1666" w:type="pct"/>
                </w:tcPr>
                <w:p w14:paraId="2B26F621">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6~9</w:t>
                  </w:r>
                </w:p>
              </w:tc>
            </w:tr>
            <w:tr w14:paraId="3821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43ACDF2E">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2</w:t>
                  </w:r>
                </w:p>
              </w:tc>
              <w:tc>
                <w:tcPr>
                  <w:tcW w:w="1666" w:type="pct"/>
                </w:tcPr>
                <w:p w14:paraId="59FABD47">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磷酸盐（以P计）</w:t>
                  </w:r>
                </w:p>
              </w:tc>
              <w:tc>
                <w:tcPr>
                  <w:tcW w:w="1666" w:type="pct"/>
                </w:tcPr>
                <w:p w14:paraId="033C3745">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≤0.5</w:t>
                  </w:r>
                </w:p>
              </w:tc>
            </w:tr>
            <w:tr w14:paraId="73A5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66824FCC">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3</w:t>
                  </w:r>
                </w:p>
              </w:tc>
              <w:tc>
                <w:tcPr>
                  <w:tcW w:w="1666" w:type="pct"/>
                </w:tcPr>
                <w:p w14:paraId="303C30C8">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氟化物</w:t>
                  </w:r>
                </w:p>
              </w:tc>
              <w:tc>
                <w:tcPr>
                  <w:tcW w:w="1666" w:type="pct"/>
                </w:tcPr>
                <w:p w14:paraId="1028432C">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≤10</w:t>
                  </w:r>
                </w:p>
              </w:tc>
            </w:tr>
            <w:tr w14:paraId="3CED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36C33E9B">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4</w:t>
                  </w:r>
                </w:p>
              </w:tc>
              <w:tc>
                <w:tcPr>
                  <w:tcW w:w="1666" w:type="pct"/>
                </w:tcPr>
                <w:p w14:paraId="7B45920D">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总汞</w:t>
                  </w:r>
                </w:p>
              </w:tc>
              <w:tc>
                <w:tcPr>
                  <w:tcW w:w="1666" w:type="pct"/>
                </w:tcPr>
                <w:p w14:paraId="37010372">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≤0.05</w:t>
                  </w:r>
                </w:p>
              </w:tc>
            </w:tr>
            <w:tr w14:paraId="411C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101CD830">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5</w:t>
                  </w:r>
                </w:p>
              </w:tc>
              <w:tc>
                <w:tcPr>
                  <w:tcW w:w="1666" w:type="pct"/>
                </w:tcPr>
                <w:p w14:paraId="3D9E69A7">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总镉</w:t>
                  </w:r>
                </w:p>
              </w:tc>
              <w:tc>
                <w:tcPr>
                  <w:tcW w:w="1666" w:type="pct"/>
                </w:tcPr>
                <w:p w14:paraId="0147F8B3">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≤0.1</w:t>
                  </w:r>
                </w:p>
              </w:tc>
            </w:tr>
            <w:tr w14:paraId="3D37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00671EA5">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6</w:t>
                  </w:r>
                </w:p>
              </w:tc>
              <w:tc>
                <w:tcPr>
                  <w:tcW w:w="1666" w:type="pct"/>
                </w:tcPr>
                <w:p w14:paraId="0F0F5FEF">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总铬</w:t>
                  </w:r>
                </w:p>
              </w:tc>
              <w:tc>
                <w:tcPr>
                  <w:tcW w:w="1666" w:type="pct"/>
                </w:tcPr>
                <w:p w14:paraId="5BE00BF2">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≤1.5</w:t>
                  </w:r>
                </w:p>
              </w:tc>
            </w:tr>
            <w:tr w14:paraId="5505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08C5F5C7">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7</w:t>
                  </w:r>
                </w:p>
              </w:tc>
              <w:tc>
                <w:tcPr>
                  <w:tcW w:w="1666" w:type="pct"/>
                </w:tcPr>
                <w:p w14:paraId="2D727D2E">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六价铬</w:t>
                  </w:r>
                </w:p>
              </w:tc>
              <w:tc>
                <w:tcPr>
                  <w:tcW w:w="1666" w:type="pct"/>
                </w:tcPr>
                <w:p w14:paraId="1C3915CB">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≤0.5</w:t>
                  </w:r>
                </w:p>
              </w:tc>
            </w:tr>
            <w:tr w14:paraId="1F7B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5CEAAB7E">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8</w:t>
                  </w:r>
                </w:p>
              </w:tc>
              <w:tc>
                <w:tcPr>
                  <w:tcW w:w="1666" w:type="pct"/>
                </w:tcPr>
                <w:p w14:paraId="31C1E94D">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总砷</w:t>
                  </w:r>
                </w:p>
              </w:tc>
              <w:tc>
                <w:tcPr>
                  <w:tcW w:w="1666" w:type="pct"/>
                </w:tcPr>
                <w:p w14:paraId="771FF15B">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≤0.5</w:t>
                  </w:r>
                </w:p>
              </w:tc>
            </w:tr>
            <w:tr w14:paraId="7821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5395907C">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9</w:t>
                  </w:r>
                </w:p>
              </w:tc>
              <w:tc>
                <w:tcPr>
                  <w:tcW w:w="1666" w:type="pct"/>
                </w:tcPr>
                <w:p w14:paraId="2BD4B812">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总铅</w:t>
                  </w:r>
                </w:p>
              </w:tc>
              <w:tc>
                <w:tcPr>
                  <w:tcW w:w="1666" w:type="pct"/>
                </w:tcPr>
                <w:p w14:paraId="1AA647E8">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≤1.0</w:t>
                  </w:r>
                </w:p>
              </w:tc>
            </w:tr>
            <w:tr w14:paraId="0C87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336ECB95">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10</w:t>
                  </w:r>
                </w:p>
              </w:tc>
              <w:tc>
                <w:tcPr>
                  <w:tcW w:w="1666" w:type="pct"/>
                </w:tcPr>
                <w:p w14:paraId="3C84EC85">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总镍</w:t>
                  </w:r>
                </w:p>
              </w:tc>
              <w:tc>
                <w:tcPr>
                  <w:tcW w:w="1666" w:type="pct"/>
                </w:tcPr>
                <w:p w14:paraId="5272788A">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≤1.0</w:t>
                  </w:r>
                </w:p>
              </w:tc>
            </w:tr>
            <w:tr w14:paraId="6FB3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3A85BB3A">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11</w:t>
                  </w:r>
                </w:p>
              </w:tc>
              <w:tc>
                <w:tcPr>
                  <w:tcW w:w="1666" w:type="pct"/>
                </w:tcPr>
                <w:p w14:paraId="376C80F4">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总锌</w:t>
                  </w:r>
                </w:p>
              </w:tc>
              <w:tc>
                <w:tcPr>
                  <w:tcW w:w="1666" w:type="pct"/>
                </w:tcPr>
                <w:p w14:paraId="589BE529">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≤2.0</w:t>
                  </w:r>
                </w:p>
              </w:tc>
            </w:tr>
            <w:tr w14:paraId="48B0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479A1836">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12</w:t>
                  </w:r>
                </w:p>
              </w:tc>
              <w:tc>
                <w:tcPr>
                  <w:tcW w:w="1666" w:type="pct"/>
                </w:tcPr>
                <w:p w14:paraId="7D9FA9C1">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总铍</w:t>
                  </w:r>
                </w:p>
              </w:tc>
              <w:tc>
                <w:tcPr>
                  <w:tcW w:w="1666" w:type="pct"/>
                </w:tcPr>
                <w:p w14:paraId="71403EA8">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≤0.005</w:t>
                  </w:r>
                </w:p>
              </w:tc>
            </w:tr>
            <w:tr w14:paraId="6CC3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3B54F383">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13</w:t>
                  </w:r>
                </w:p>
              </w:tc>
              <w:tc>
                <w:tcPr>
                  <w:tcW w:w="1666" w:type="pct"/>
                </w:tcPr>
                <w:p w14:paraId="450ECB58">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总银</w:t>
                  </w:r>
                </w:p>
              </w:tc>
              <w:tc>
                <w:tcPr>
                  <w:tcW w:w="1666" w:type="pct"/>
                </w:tcPr>
                <w:p w14:paraId="639BD83E">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≤0.5</w:t>
                  </w:r>
                </w:p>
              </w:tc>
            </w:tr>
            <w:tr w14:paraId="384F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66" w:type="pct"/>
                </w:tcPr>
                <w:p w14:paraId="28803FE1">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14</w:t>
                  </w:r>
                </w:p>
              </w:tc>
              <w:tc>
                <w:tcPr>
                  <w:tcW w:w="1666" w:type="pct"/>
                </w:tcPr>
                <w:p w14:paraId="5B1F697D">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烷基汞</w:t>
                  </w:r>
                </w:p>
              </w:tc>
              <w:tc>
                <w:tcPr>
                  <w:tcW w:w="1666" w:type="pct"/>
                </w:tcPr>
                <w:p w14:paraId="5F1EB693">
                  <w:pPr>
                    <w:pStyle w:val="64"/>
                    <w:spacing w:beforeLines="0" w:afterLines="0" w:line="240" w:lineRule="auto"/>
                    <w:ind w:firstLine="0" w:firstLineChars="0"/>
                    <w:rPr>
                      <w:rFonts w:hint="default" w:ascii="Times New Roman" w:hAnsi="Times New Roman" w:cs="Times New Roman"/>
                      <w:color w:val="000000" w:themeColor="text1"/>
                      <w:sz w:val="21"/>
                      <w:lang w:bidi="ar"/>
                      <w14:textFill>
                        <w14:solidFill>
                          <w14:schemeClr w14:val="tx1"/>
                        </w14:solidFill>
                      </w14:textFill>
                    </w:rPr>
                  </w:pPr>
                  <w:r>
                    <w:rPr>
                      <w:rFonts w:hint="default" w:ascii="Times New Roman" w:hAnsi="Times New Roman" w:cs="Times New Roman"/>
                      <w:color w:val="000000" w:themeColor="text1"/>
                      <w:sz w:val="21"/>
                      <w:lang w:bidi="ar"/>
                      <w14:textFill>
                        <w14:solidFill>
                          <w14:schemeClr w14:val="tx1"/>
                        </w14:solidFill>
                      </w14:textFill>
                    </w:rPr>
                    <w:t>不得检出</w:t>
                  </w:r>
                </w:p>
              </w:tc>
            </w:tr>
          </w:tbl>
          <w:p w14:paraId="146D84EB">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表3-2</w:t>
            </w:r>
            <w:r>
              <w:rPr>
                <w:rFonts w:hint="default"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14:textFill>
                  <w14:solidFill>
                    <w14:schemeClr w14:val="tx1"/>
                  </w14:solidFill>
                </w14:textFill>
              </w:rPr>
              <w:t>改性磷石膏改性后质量检测要求</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6601"/>
            </w:tblGrid>
            <w:tr w14:paraId="7982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4890E3DE">
                  <w:pPr>
                    <w:pStyle w:val="87"/>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《改性磷石膏用于矿山废弃地生态修复回填技术规范》（DB53/T1269-2024）要求</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《磷石膏利用和无害化贮存污染控制技术规范》（HJ 1415-2025）</w:t>
                  </w:r>
                </w:p>
              </w:tc>
            </w:tr>
            <w:tr w14:paraId="03FB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216E70EE">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采样频次</w:t>
                  </w:r>
                </w:p>
              </w:tc>
              <w:tc>
                <w:tcPr>
                  <w:tcW w:w="4257" w:type="pct"/>
                  <w:vAlign w:val="center"/>
                </w:tcPr>
                <w:p w14:paraId="24EF1B6D">
                  <w:pPr>
                    <w:widowControl/>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回填规模≤300000T，以5000T改性磷石膏为一批次：300000T&lt;回填规模≤1000000T，以15000T改性磷石膏为一批次：回填规模&gt;1000000T，以30000T改性磷石膏为一批次。</w:t>
                  </w:r>
                </w:p>
              </w:tc>
            </w:tr>
            <w:tr w14:paraId="5531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Merge w:val="restart"/>
                  <w:vAlign w:val="center"/>
                </w:tcPr>
                <w:p w14:paraId="726322A1">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采样方法</w:t>
                  </w:r>
                </w:p>
              </w:tc>
              <w:tc>
                <w:tcPr>
                  <w:tcW w:w="4257" w:type="pct"/>
                  <w:vAlign w:val="center"/>
                </w:tcPr>
                <w:p w14:paraId="603465C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w:t>
                  </w:r>
                </w:p>
              </w:tc>
            </w:tr>
            <w:tr w14:paraId="37B6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7D54F0F6">
                  <w:pPr>
                    <w:pStyle w:val="87"/>
                    <w:rPr>
                      <w:rFonts w:hint="default" w:ascii="Times New Roman" w:hAnsi="Times New Roman" w:cs="Times New Roman"/>
                      <w:color w:val="000000" w:themeColor="text1"/>
                      <w14:textFill>
                        <w14:solidFill>
                          <w14:schemeClr w14:val="tx1"/>
                        </w14:solidFill>
                      </w14:textFill>
                    </w:rPr>
                  </w:pPr>
                </w:p>
              </w:tc>
              <w:tc>
                <w:tcPr>
                  <w:tcW w:w="4257" w:type="pct"/>
                  <w:vAlign w:val="center"/>
                </w:tcPr>
                <w:p w14:paraId="1A8F7A90">
                  <w:pPr>
                    <w:pStyle w:val="87"/>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磷石膏回填和土地利用产物中污染物的监测频次应不低于每周3次；连续2周监测结果均不超出5.2.3和5.4条规定限值时，在磷石膏来源及投加量稳定的前提下，频次可减为每月1次；连续3个月监测结果均不超出规定限值，频次可减为每年2次。若在此期间监测结果超出规定限值，或磷石膏来源发生变化，或利用活动中断3个月以上，则监测频次重新调整为每周3次，依次重复。每次采样数量应不少于10份，每份样品不小于0.5kg，混合均匀后进行分析测试。</w:t>
                  </w:r>
                </w:p>
              </w:tc>
            </w:tr>
            <w:tr w14:paraId="55DE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6DEF2759">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检测要求</w:t>
                  </w:r>
                </w:p>
              </w:tc>
              <w:tc>
                <w:tcPr>
                  <w:tcW w:w="4257" w:type="pct"/>
                  <w:vAlign w:val="center"/>
                </w:tcPr>
                <w:p w14:paraId="0AC5807D">
                  <w:pPr>
                    <w:pStyle w:val="8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应对改性磷石膏浸出液进行检测，浸出方法按照HJ557。</w:t>
                  </w:r>
                </w:p>
              </w:tc>
            </w:tr>
          </w:tbl>
          <w:p w14:paraId="65E97BD7">
            <w:pPr>
              <w:pStyle w:val="72"/>
              <w:adjustRightInd w:val="0"/>
              <w:ind w:firstLine="498"/>
              <w:jc w:val="both"/>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val="en-US"/>
                <w14:textFill>
                  <w14:solidFill>
                    <w14:schemeClr w14:val="tx1"/>
                  </w14:solidFill>
                </w14:textFill>
              </w:rPr>
              <w:t>渗滤液等回用水水质标准</w:t>
            </w:r>
          </w:p>
          <w:p w14:paraId="4940D254">
            <w:pPr>
              <w:pStyle w:val="72"/>
              <w:adjustRightInd w:val="0"/>
              <w:ind w:firstLine="496"/>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本项目项目渗滤液等收集后</w:t>
            </w:r>
            <w:r>
              <w:rPr>
                <w:rFonts w:hint="default" w:ascii="Times New Roman" w:hAnsi="Times New Roman" w:cs="Times New Roman"/>
                <w:color w:val="000000" w:themeColor="text1"/>
                <w:lang w:val="en-US" w:eastAsia="zh-CN"/>
                <w14:textFill>
                  <w14:solidFill>
                    <w14:schemeClr w14:val="tx1"/>
                  </w14:solidFill>
                </w14:textFill>
              </w:rPr>
              <w:t>施工期</w:t>
            </w:r>
            <w:r>
              <w:rPr>
                <w:rFonts w:hint="default" w:ascii="Times New Roman" w:hAnsi="Times New Roman" w:cs="Times New Roman"/>
                <w:color w:val="000000" w:themeColor="text1"/>
                <w:lang w:val="en-US"/>
                <w14:textFill>
                  <w14:solidFill>
                    <w14:schemeClr w14:val="tx1"/>
                  </w14:solidFill>
                </w14:textFill>
              </w:rPr>
              <w:t>回用于</w:t>
            </w:r>
            <w:r>
              <w:rPr>
                <w:rFonts w:hint="default" w:ascii="Times New Roman" w:hAnsi="Times New Roman" w:cs="Times New Roman"/>
                <w:color w:val="000000" w:themeColor="text1"/>
                <w:kern w:val="0"/>
                <w:lang w:val="en-US" w:bidi="ar"/>
                <w14:textFill>
                  <w14:solidFill>
                    <w14:schemeClr w14:val="tx1"/>
                  </w14:solidFill>
                </w14:textFill>
              </w:rPr>
              <w:t>生态修复区洒水降尘，</w:t>
            </w:r>
            <w:r>
              <w:rPr>
                <w:rFonts w:hint="default" w:ascii="Times New Roman" w:hAnsi="Times New Roman" w:cs="Times New Roman"/>
                <w:color w:val="000000" w:themeColor="text1"/>
                <w:lang w:val="en-US"/>
                <w14:textFill>
                  <w14:solidFill>
                    <w14:schemeClr w14:val="tx1"/>
                  </w14:solidFill>
                </w14:textFill>
              </w:rPr>
              <w:t>参考执行《城市污水再生利用城市杂用水水质》（GB/T 18920-2020）中城市绿化标准限值要求</w:t>
            </w:r>
            <w:r>
              <w:rPr>
                <w:rFonts w:hint="default" w:ascii="Times New Roman" w:hAnsi="Times New Roman" w:cs="Times New Roman"/>
                <w:color w:val="000000" w:themeColor="text1"/>
                <w:lang w:val="en-US" w:eastAsia="zh-CN"/>
                <w14:textFill>
                  <w14:solidFill>
                    <w14:schemeClr w14:val="tx1"/>
                  </w14:solidFill>
                </w14:textFill>
              </w:rPr>
              <w:t>，管护期在收集池中暂存后使用罐车拉回</w:t>
            </w:r>
            <w:r>
              <w:rPr>
                <w:rFonts w:hint="default" w:ascii="Times New Roman" w:hAnsi="Times New Roman" w:cs="Times New Roman"/>
                <w:color w:val="000000" w:themeColor="text1"/>
                <w14:textFill>
                  <w14:solidFill>
                    <w14:schemeClr w14:val="tx1"/>
                  </w14:solidFill>
                </w14:textFill>
              </w:rPr>
              <w:t>云南常青树化工有限公司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bidi="ar"/>
                <w14:textFill>
                  <w14:solidFill>
                    <w14:schemeClr w14:val="tx1"/>
                  </w14:solidFill>
                </w14:textFill>
              </w:rPr>
              <w:t>中化云龙有限公司</w:t>
            </w:r>
            <w:r>
              <w:rPr>
                <w:rFonts w:hint="default" w:ascii="Times New Roman" w:hAnsi="Times New Roman" w:cs="Times New Roman"/>
                <w:color w:val="000000" w:themeColor="text1"/>
                <w:lang w:val="en-US" w:eastAsia="zh-CN"/>
                <w14:textFill>
                  <w14:solidFill>
                    <w14:schemeClr w14:val="tx1"/>
                  </w14:solidFill>
                </w14:textFill>
              </w:rPr>
              <w:t>进行处理。</w:t>
            </w:r>
          </w:p>
          <w:p w14:paraId="56D1B795">
            <w:pPr>
              <w:pStyle w:val="72"/>
              <w:adjustRightInd w:val="0"/>
              <w:spacing w:line="240" w:lineRule="auto"/>
              <w:ind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表3-2</w:t>
            </w:r>
            <w:r>
              <w:rPr>
                <w:rFonts w:hint="default" w:ascii="Times New Roman" w:hAnsi="Times New Roman" w:cs="Times New Roman"/>
                <w:b/>
                <w:bCs/>
                <w:color w:val="000000" w:themeColor="text1"/>
                <w:sz w:val="24"/>
                <w:szCs w:val="24"/>
                <w:lang w:val="en-US" w:eastAsia="zh-CN"/>
                <w14:textFill>
                  <w14:solidFill>
                    <w14:schemeClr w14:val="tx1"/>
                  </w14:solidFill>
                </w14:textFill>
              </w:rPr>
              <w:t>8</w:t>
            </w:r>
            <w:r>
              <w:rPr>
                <w:rFonts w:hint="default" w:ascii="Times New Roman" w:hAnsi="Times New Roman" w:cs="Times New Roman"/>
                <w:b/>
                <w:bCs/>
                <w:color w:val="000000" w:themeColor="text1"/>
                <w:sz w:val="24"/>
                <w:szCs w:val="24"/>
                <w:lang w:val="en-US"/>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14:textFill>
                  <w14:solidFill>
                    <w14:schemeClr w14:val="tx1"/>
                  </w14:solidFill>
                </w14:textFill>
              </w:rPr>
              <w:t>回用水水质标准</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3163"/>
              <w:gridCol w:w="3349"/>
            </w:tblGrid>
            <w:tr w14:paraId="6F28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467CAB84">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序号</w:t>
                  </w:r>
                </w:p>
              </w:tc>
              <w:tc>
                <w:tcPr>
                  <w:tcW w:w="2041" w:type="pct"/>
                </w:tcPr>
                <w:p w14:paraId="37CCBF5F">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项目</w:t>
                  </w:r>
                </w:p>
              </w:tc>
              <w:tc>
                <w:tcPr>
                  <w:tcW w:w="2160" w:type="pct"/>
                </w:tcPr>
                <w:p w14:paraId="44D65FE0">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城市绿化、道路清扫、消防、建筑施工</w:t>
                  </w:r>
                </w:p>
              </w:tc>
            </w:tr>
            <w:tr w14:paraId="34A9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98" w:type="pct"/>
                </w:tcPr>
                <w:p w14:paraId="1072A3B7">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w:t>
                  </w:r>
                </w:p>
              </w:tc>
              <w:tc>
                <w:tcPr>
                  <w:tcW w:w="2041" w:type="pct"/>
                </w:tcPr>
                <w:p w14:paraId="18FF657F">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pH</w:t>
                  </w:r>
                </w:p>
              </w:tc>
              <w:tc>
                <w:tcPr>
                  <w:tcW w:w="2160" w:type="pct"/>
                </w:tcPr>
                <w:p w14:paraId="18E56D97">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6.0~9.0</w:t>
                  </w:r>
                </w:p>
              </w:tc>
            </w:tr>
            <w:tr w14:paraId="426F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76DD1DB8">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2</w:t>
                  </w:r>
                </w:p>
              </w:tc>
              <w:tc>
                <w:tcPr>
                  <w:tcW w:w="2041" w:type="pct"/>
                </w:tcPr>
                <w:p w14:paraId="1BCA154E">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色度，铂钴色度单位</w:t>
                  </w:r>
                </w:p>
              </w:tc>
              <w:tc>
                <w:tcPr>
                  <w:tcW w:w="2160" w:type="pct"/>
                </w:tcPr>
                <w:p w14:paraId="32A015BF">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30</w:t>
                  </w:r>
                </w:p>
              </w:tc>
            </w:tr>
            <w:tr w14:paraId="3EB0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3A5F5F7A">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3</w:t>
                  </w:r>
                </w:p>
              </w:tc>
              <w:tc>
                <w:tcPr>
                  <w:tcW w:w="2041" w:type="pct"/>
                </w:tcPr>
                <w:p w14:paraId="77DEA17C">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嗅</w:t>
                  </w:r>
                </w:p>
              </w:tc>
              <w:tc>
                <w:tcPr>
                  <w:tcW w:w="2160" w:type="pct"/>
                </w:tcPr>
                <w:p w14:paraId="32E60DE8">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无不快感</w:t>
                  </w:r>
                </w:p>
              </w:tc>
            </w:tr>
            <w:tr w14:paraId="38B7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09C10357">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4</w:t>
                  </w:r>
                </w:p>
              </w:tc>
              <w:tc>
                <w:tcPr>
                  <w:tcW w:w="2041" w:type="pct"/>
                </w:tcPr>
                <w:p w14:paraId="4CA9D4FB">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浊度/NTU</w:t>
                  </w:r>
                </w:p>
              </w:tc>
              <w:tc>
                <w:tcPr>
                  <w:tcW w:w="2160" w:type="pct"/>
                </w:tcPr>
                <w:p w14:paraId="2A5C79C0">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10</w:t>
                  </w:r>
                </w:p>
              </w:tc>
            </w:tr>
            <w:tr w14:paraId="549E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74118A71">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5</w:t>
                  </w:r>
                </w:p>
              </w:tc>
              <w:tc>
                <w:tcPr>
                  <w:tcW w:w="2041" w:type="pct"/>
                </w:tcPr>
                <w:p w14:paraId="5FF8FF45">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五日生化需氧量（BOD</w:t>
                  </w:r>
                  <w:r>
                    <w:rPr>
                      <w:rFonts w:hint="default" w:ascii="Times New Roman" w:hAnsi="Times New Roman" w:cs="Times New Roman"/>
                      <w:b w:val="0"/>
                      <w:bCs w:val="0"/>
                      <w:color w:val="000000" w:themeColor="text1"/>
                      <w:sz w:val="21"/>
                      <w:vertAlign w:val="subscript"/>
                      <w:lang w:bidi="ar"/>
                      <w14:textFill>
                        <w14:solidFill>
                          <w14:schemeClr w14:val="tx1"/>
                        </w14:solidFill>
                      </w14:textFill>
                    </w:rPr>
                    <w:t>5</w:t>
                  </w:r>
                  <w:r>
                    <w:rPr>
                      <w:rFonts w:hint="default" w:ascii="Times New Roman" w:hAnsi="Times New Roman" w:cs="Times New Roman"/>
                      <w:b w:val="0"/>
                      <w:bCs w:val="0"/>
                      <w:color w:val="000000" w:themeColor="text1"/>
                      <w:sz w:val="21"/>
                      <w:lang w:bidi="ar"/>
                      <w14:textFill>
                        <w14:solidFill>
                          <w14:schemeClr w14:val="tx1"/>
                        </w14:solidFill>
                      </w14:textFill>
                    </w:rPr>
                    <w:t>）/（mg/L）</w:t>
                  </w:r>
                </w:p>
              </w:tc>
              <w:tc>
                <w:tcPr>
                  <w:tcW w:w="2160" w:type="pct"/>
                </w:tcPr>
                <w:p w14:paraId="6E65DB65">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10</w:t>
                  </w:r>
                </w:p>
              </w:tc>
            </w:tr>
            <w:tr w14:paraId="177A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66D3933F">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6</w:t>
                  </w:r>
                </w:p>
              </w:tc>
              <w:tc>
                <w:tcPr>
                  <w:tcW w:w="2041" w:type="pct"/>
                </w:tcPr>
                <w:p w14:paraId="5DC4B326">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氨氮/（mg/L）</w:t>
                  </w:r>
                </w:p>
              </w:tc>
              <w:tc>
                <w:tcPr>
                  <w:tcW w:w="2160" w:type="pct"/>
                </w:tcPr>
                <w:p w14:paraId="5E199BC9">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8</w:t>
                  </w:r>
                </w:p>
              </w:tc>
            </w:tr>
            <w:tr w14:paraId="549B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48D5F816">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7</w:t>
                  </w:r>
                </w:p>
              </w:tc>
              <w:tc>
                <w:tcPr>
                  <w:tcW w:w="2041" w:type="pct"/>
                </w:tcPr>
                <w:p w14:paraId="539B398F">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阴离子表面活性剂/（mg/L）</w:t>
                  </w:r>
                </w:p>
              </w:tc>
              <w:tc>
                <w:tcPr>
                  <w:tcW w:w="2160" w:type="pct"/>
                </w:tcPr>
                <w:p w14:paraId="04FC0D6D">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0.5</w:t>
                  </w:r>
                </w:p>
              </w:tc>
            </w:tr>
            <w:tr w14:paraId="6C49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7714FD33">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8</w:t>
                  </w:r>
                </w:p>
              </w:tc>
              <w:tc>
                <w:tcPr>
                  <w:tcW w:w="2041" w:type="pct"/>
                </w:tcPr>
                <w:p w14:paraId="7B42888E">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铁/（mg/L）</w:t>
                  </w:r>
                </w:p>
              </w:tc>
              <w:tc>
                <w:tcPr>
                  <w:tcW w:w="2160" w:type="pct"/>
                </w:tcPr>
                <w:p w14:paraId="427DB9AE">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w:t>
                  </w:r>
                </w:p>
              </w:tc>
            </w:tr>
            <w:tr w14:paraId="3604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4B532DEA">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9</w:t>
                  </w:r>
                </w:p>
              </w:tc>
              <w:tc>
                <w:tcPr>
                  <w:tcW w:w="2041" w:type="pct"/>
                </w:tcPr>
                <w:p w14:paraId="51153F5A">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锰/（mg/L）</w:t>
                  </w:r>
                </w:p>
              </w:tc>
              <w:tc>
                <w:tcPr>
                  <w:tcW w:w="2160" w:type="pct"/>
                </w:tcPr>
                <w:p w14:paraId="372C3544">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w:t>
                  </w:r>
                </w:p>
              </w:tc>
            </w:tr>
            <w:tr w14:paraId="30E6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5A914AAC">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10</w:t>
                  </w:r>
                </w:p>
              </w:tc>
              <w:tc>
                <w:tcPr>
                  <w:tcW w:w="2041" w:type="pct"/>
                </w:tcPr>
                <w:p w14:paraId="12EA87B9">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溶解性总固体/（mg/L）</w:t>
                  </w:r>
                </w:p>
              </w:tc>
              <w:tc>
                <w:tcPr>
                  <w:tcW w:w="2160" w:type="pct"/>
                </w:tcPr>
                <w:p w14:paraId="4A657283">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1000（2000）</w:t>
                  </w:r>
                  <w:r>
                    <w:rPr>
                      <w:rFonts w:hint="default" w:ascii="Times New Roman" w:hAnsi="Times New Roman" w:cs="Times New Roman"/>
                      <w:b w:val="0"/>
                      <w:bCs w:val="0"/>
                      <w:color w:val="000000" w:themeColor="text1"/>
                      <w:sz w:val="21"/>
                      <w:vertAlign w:val="superscript"/>
                      <w:lang w:bidi="ar"/>
                      <w14:textFill>
                        <w14:solidFill>
                          <w14:schemeClr w14:val="tx1"/>
                        </w14:solidFill>
                      </w14:textFill>
                    </w:rPr>
                    <w:t>a</w:t>
                  </w:r>
                </w:p>
              </w:tc>
            </w:tr>
            <w:tr w14:paraId="0592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26722DD3">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11</w:t>
                  </w:r>
                </w:p>
              </w:tc>
              <w:tc>
                <w:tcPr>
                  <w:tcW w:w="2041" w:type="pct"/>
                </w:tcPr>
                <w:p w14:paraId="0554AC08">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溶解氧/（mg/L）</w:t>
                  </w:r>
                </w:p>
              </w:tc>
              <w:tc>
                <w:tcPr>
                  <w:tcW w:w="2160" w:type="pct"/>
                </w:tcPr>
                <w:p w14:paraId="1C58611C">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2.0</w:t>
                  </w:r>
                </w:p>
              </w:tc>
            </w:tr>
            <w:tr w14:paraId="7540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564D1DAD">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12</w:t>
                  </w:r>
                </w:p>
              </w:tc>
              <w:tc>
                <w:tcPr>
                  <w:tcW w:w="2041" w:type="pct"/>
                </w:tcPr>
                <w:p w14:paraId="67786411">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总氯/（mg/L）</w:t>
                  </w:r>
                </w:p>
              </w:tc>
              <w:tc>
                <w:tcPr>
                  <w:tcW w:w="2160" w:type="pct"/>
                </w:tcPr>
                <w:p w14:paraId="10A3C170">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1.0（出厂），0.2</w:t>
                  </w:r>
                  <w:r>
                    <w:rPr>
                      <w:rFonts w:hint="default" w:ascii="Times New Roman" w:hAnsi="Times New Roman" w:cs="Times New Roman"/>
                      <w:b w:val="0"/>
                      <w:bCs w:val="0"/>
                      <w:color w:val="000000" w:themeColor="text1"/>
                      <w:sz w:val="21"/>
                      <w:vertAlign w:val="superscript"/>
                      <w:lang w:bidi="ar"/>
                      <w14:textFill>
                        <w14:solidFill>
                          <w14:schemeClr w14:val="tx1"/>
                        </w14:solidFill>
                      </w14:textFill>
                    </w:rPr>
                    <w:t>b</w:t>
                  </w:r>
                  <w:r>
                    <w:rPr>
                      <w:rFonts w:hint="default" w:ascii="Times New Roman" w:hAnsi="Times New Roman" w:cs="Times New Roman"/>
                      <w:b w:val="0"/>
                      <w:bCs w:val="0"/>
                      <w:color w:val="000000" w:themeColor="text1"/>
                      <w:sz w:val="21"/>
                      <w:lang w:bidi="ar"/>
                      <w14:textFill>
                        <w14:solidFill>
                          <w14:schemeClr w14:val="tx1"/>
                        </w14:solidFill>
                      </w14:textFill>
                    </w:rPr>
                    <w:t>（管网末端）</w:t>
                  </w:r>
                </w:p>
              </w:tc>
            </w:tr>
            <w:tr w14:paraId="73CD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98" w:type="pct"/>
                </w:tcPr>
                <w:p w14:paraId="48ED8131">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13</w:t>
                  </w:r>
                </w:p>
              </w:tc>
              <w:tc>
                <w:tcPr>
                  <w:tcW w:w="2041" w:type="pct"/>
                </w:tcPr>
                <w:p w14:paraId="5A8201C0">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大肠埃希氏菌/（MPN/100mL或CFU/100mL）</w:t>
                  </w:r>
                </w:p>
              </w:tc>
              <w:tc>
                <w:tcPr>
                  <w:tcW w:w="2160" w:type="pct"/>
                </w:tcPr>
                <w:p w14:paraId="488A117E">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无</w:t>
                  </w:r>
                </w:p>
              </w:tc>
            </w:tr>
            <w:tr w14:paraId="6AD5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400DC1EE">
                  <w:pPr>
                    <w:pStyle w:val="64"/>
                    <w:spacing w:beforeLines="0" w:afterLines="0" w:line="240" w:lineRule="auto"/>
                    <w:ind w:firstLine="0" w:firstLineChars="0"/>
                    <w:jc w:val="left"/>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注：“—”表示对此项无要求。</w:t>
                  </w:r>
                </w:p>
              </w:tc>
            </w:tr>
            <w:tr w14:paraId="0756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1D46FEED">
                  <w:pPr>
                    <w:pStyle w:val="64"/>
                    <w:spacing w:beforeLines="0" w:afterLines="0" w:line="240" w:lineRule="auto"/>
                    <w:ind w:firstLine="0" w:firstLineChars="0"/>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a括号内指标值为沿海及本地水源中溶解性固体含量较高的区域的指标。</w:t>
                  </w:r>
                </w:p>
                <w:p w14:paraId="47AE9BD8">
                  <w:pPr>
                    <w:pStyle w:val="64"/>
                    <w:spacing w:beforeLines="0" w:afterLines="0" w:line="240" w:lineRule="auto"/>
                    <w:ind w:firstLine="420"/>
                    <w:jc w:val="both"/>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b 用于城市绿化时，不应超过2.5mg/L</w:t>
                  </w:r>
                </w:p>
                <w:p w14:paraId="109D8DD4">
                  <w:pPr>
                    <w:pStyle w:val="64"/>
                    <w:spacing w:beforeLines="0" w:afterLines="0" w:line="240" w:lineRule="auto"/>
                    <w:ind w:firstLine="420"/>
                    <w:jc w:val="both"/>
                    <w:rPr>
                      <w:rFonts w:hint="default" w:ascii="Times New Roman" w:hAnsi="Times New Roman" w:cs="Times New Roman"/>
                      <w:b w:val="0"/>
                      <w:bCs w:val="0"/>
                      <w:color w:val="000000" w:themeColor="text1"/>
                      <w:sz w:val="21"/>
                      <w:lang w:bidi="ar"/>
                      <w14:textFill>
                        <w14:solidFill>
                          <w14:schemeClr w14:val="tx1"/>
                        </w14:solidFill>
                      </w14:textFill>
                    </w:rPr>
                  </w:pPr>
                  <w:r>
                    <w:rPr>
                      <w:rFonts w:hint="default" w:ascii="Times New Roman" w:hAnsi="Times New Roman" w:cs="Times New Roman"/>
                      <w:b w:val="0"/>
                      <w:bCs w:val="0"/>
                      <w:color w:val="000000" w:themeColor="text1"/>
                      <w:sz w:val="21"/>
                      <w:lang w:bidi="ar"/>
                      <w14:textFill>
                        <w14:solidFill>
                          <w14:schemeClr w14:val="tx1"/>
                        </w14:solidFill>
                      </w14:textFill>
                    </w:rPr>
                    <w:t>c大肠埃希氏菌不应检出。</w:t>
                  </w:r>
                </w:p>
              </w:tc>
            </w:tr>
          </w:tbl>
          <w:p w14:paraId="6C73116B">
            <w:pPr>
              <w:pStyle w:val="72"/>
              <w:adjustRightInd w:val="0"/>
              <w:ind w:firstLine="496"/>
              <w:jc w:val="both"/>
              <w:rPr>
                <w:rFonts w:hint="default" w:ascii="Times New Roman" w:hAnsi="Times New Roman" w:cs="Times New Roman"/>
                <w:b w:val="0"/>
                <w:bCs/>
                <w:color w:val="000000" w:themeColor="text1"/>
                <w:kern w:val="0"/>
                <w:sz w:val="24"/>
                <w:szCs w:val="24"/>
                <w:lang w:val="en-US" w:eastAsia="zh-CN" w:bidi="ar"/>
                <w14:textFill>
                  <w14:solidFill>
                    <w14:schemeClr w14:val="tx1"/>
                  </w14:solidFill>
                </w14:textFill>
              </w:rPr>
            </w:pPr>
          </w:p>
        </w:tc>
      </w:tr>
      <w:tr w14:paraId="2471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1002FA01">
            <w:pPr>
              <w:adjustRightInd w:val="0"/>
              <w:snapToGrid w:val="0"/>
              <w:ind w:firstLine="0" w:firstLineChars="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w:t>
            </w:r>
          </w:p>
        </w:tc>
        <w:tc>
          <w:tcPr>
            <w:tcW w:w="7977" w:type="dxa"/>
            <w:vAlign w:val="center"/>
          </w:tcPr>
          <w:p w14:paraId="5D3DBC66">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无</w:t>
            </w:r>
          </w:p>
          <w:p w14:paraId="7B4B0131">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6E6107B3">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16D77872">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56260226">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5BBC8413">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175775C4">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6E87599D">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35D0249D">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340C4915">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46071810">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4F318CC9">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4D7B74B2">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4421016A">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1242273B">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243E086C">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26A45D54">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229CF956">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1A942962">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64C111B6">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p w14:paraId="6E5BE0E8">
            <w:pPr>
              <w:pStyle w:val="72"/>
              <w:adjustRightInd w:val="0"/>
              <w:ind w:firstLine="496"/>
              <w:jc w:val="both"/>
              <w:rPr>
                <w:rFonts w:hint="default" w:ascii="Times New Roman" w:hAnsi="Times New Roman" w:cs="Times New Roman"/>
                <w:color w:val="000000" w:themeColor="text1"/>
                <w:lang w:val="en-US"/>
                <w14:textFill>
                  <w14:solidFill>
                    <w14:schemeClr w14:val="tx1"/>
                  </w14:solidFill>
                </w14:textFill>
              </w:rPr>
            </w:pPr>
          </w:p>
        </w:tc>
      </w:tr>
    </w:tbl>
    <w:p w14:paraId="65B7CB9C">
      <w:pPr>
        <w:pStyle w:val="48"/>
        <w:rPr>
          <w:color w:val="000000" w:themeColor="text1"/>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570B06C6">
      <w:pPr>
        <w:pStyle w:val="72"/>
        <w:adjustRightInd w:val="0"/>
        <w:ind w:firstLine="0" w:firstLineChars="0"/>
        <w:jc w:val="center"/>
        <w:outlineLvl w:val="0"/>
        <w:rPr>
          <w:snapToGrid w:val="0"/>
          <w:color w:val="000000" w:themeColor="text1"/>
          <w:spacing w:val="0"/>
          <w:kern w:val="0"/>
          <w:sz w:val="30"/>
          <w:szCs w:val="30"/>
          <w:lang w:val="en-US"/>
          <w14:textFill>
            <w14:solidFill>
              <w14:schemeClr w14:val="tx1"/>
            </w14:solidFill>
          </w14:textFill>
        </w:rPr>
      </w:pPr>
      <w:bookmarkStart w:id="26" w:name="_Toc26209"/>
      <w:r>
        <w:rPr>
          <w:rFonts w:hint="eastAsia"/>
          <w:snapToGrid w:val="0"/>
          <w:color w:val="000000" w:themeColor="text1"/>
          <w:spacing w:val="0"/>
          <w:kern w:val="0"/>
          <w:sz w:val="30"/>
          <w:szCs w:val="30"/>
          <w:lang w:val="en-US"/>
          <w14:textFill>
            <w14:solidFill>
              <w14:schemeClr w14:val="tx1"/>
            </w14:solidFill>
          </w14:textFill>
        </w:rPr>
        <w:t>四、生态环境影响分析</w:t>
      </w:r>
      <w:bookmarkEnd w:id="26"/>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051"/>
      </w:tblGrid>
      <w:tr w14:paraId="72E6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474" w:type="dxa"/>
            <w:vAlign w:val="center"/>
          </w:tcPr>
          <w:p w14:paraId="5D0FB15F">
            <w:pPr>
              <w:adjustRightInd w:val="0"/>
              <w:snapToGrid w:val="0"/>
              <w:spacing w:line="240" w:lineRule="auto"/>
              <w:ind w:firstLine="0" w:firstLineChars="0"/>
              <w:jc w:val="center"/>
              <w:rPr>
                <w:bCs/>
                <w:color w:val="000000" w:themeColor="text1"/>
                <w:spacing w:val="10"/>
                <w14:textFill>
                  <w14:solidFill>
                    <w14:schemeClr w14:val="tx1"/>
                  </w14:solidFill>
                </w14:textFill>
              </w:rPr>
            </w:pPr>
            <w:r>
              <w:rPr>
                <w:rFonts w:hint="eastAsia"/>
                <w:bCs/>
                <w:color w:val="000000" w:themeColor="text1"/>
                <w:spacing w:val="10"/>
                <w14:textFill>
                  <w14:solidFill>
                    <w14:schemeClr w14:val="tx1"/>
                  </w14:solidFill>
                </w14:textFill>
              </w:rPr>
              <w:t>施工期生态环境影响分析</w:t>
            </w:r>
          </w:p>
        </w:tc>
        <w:tc>
          <w:tcPr>
            <w:tcW w:w="8048" w:type="dxa"/>
          </w:tcPr>
          <w:p w14:paraId="3E146261">
            <w:pPr>
              <w:adjustRightInd w:val="0"/>
              <w:snapToGrid w:val="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1、施工期工艺及产污节点</w:t>
            </w:r>
          </w:p>
          <w:p w14:paraId="2F0EE70D">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矿坑回填及生态修复产污节点：</w:t>
            </w:r>
          </w:p>
          <w:p w14:paraId="3823297A">
            <w:pPr>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object>
                <v:shape id="_x0000_i1025" o:spt="75" type="#_x0000_t75" style="height:457.5pt;width:371.25pt;" o:ole="t" filled="f" o:preferrelative="t" stroked="f" coordsize="21600,21600">
                  <v:path/>
                  <v:fill on="f" focussize="0,0"/>
                  <v:stroke on="f" joinstyle="miter"/>
                  <v:imagedata r:id="rId21" o:title=""/>
                  <o:lock v:ext="edit" aspectratio="f"/>
                  <w10:wrap type="none"/>
                  <w10:anchorlock/>
                </v:shape>
                <o:OLEObject Type="Embed" ProgID="Visio.Drawing.11" ShapeID="_x0000_i1025" DrawAspect="Content" ObjectID="_1468075725" r:id="rId20">
                  <o:LockedField>false</o:LockedField>
                </o:OLEObject>
              </w:object>
            </w:r>
          </w:p>
          <w:p w14:paraId="6A7F69B8">
            <w:pPr>
              <w:ind w:firstLine="0" w:firstLineChars="0"/>
              <w:jc w:val="center"/>
              <w:rPr>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 xml:space="preserve">图4-1 </w:t>
            </w:r>
            <w:r>
              <w:rPr>
                <w:rFonts w:hint="eastAsia"/>
                <w:b/>
                <w:bCs/>
                <w:color w:val="000000" w:themeColor="text1"/>
                <w:kern w:val="0"/>
                <w:sz w:val="24"/>
                <w:szCs w:val="24"/>
                <w:lang w:val="en-US" w:eastAsia="zh-CN" w:bidi="ar"/>
                <w14:textFill>
                  <w14:solidFill>
                    <w14:schemeClr w14:val="tx1"/>
                  </w14:solidFill>
                </w14:textFill>
              </w:rPr>
              <w:t xml:space="preserve"> </w:t>
            </w:r>
            <w:r>
              <w:rPr>
                <w:rFonts w:hint="eastAsia"/>
                <w:b/>
                <w:bCs/>
                <w:color w:val="000000" w:themeColor="text1"/>
                <w:kern w:val="0"/>
                <w:sz w:val="24"/>
                <w:szCs w:val="24"/>
                <w:lang w:bidi="ar"/>
                <w14:textFill>
                  <w14:solidFill>
                    <w14:schemeClr w14:val="tx1"/>
                  </w14:solidFill>
                </w14:textFill>
              </w:rPr>
              <w:t>施工期工艺流程及产污节点图</w:t>
            </w:r>
          </w:p>
          <w:p w14:paraId="3507B161">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对矿坑清基、边坡整治时，分台施工时可能会破坏部分植被，加重区域的水土流失情况，施工过程中会产生部分废气、废水、噪声以及固废。项目施工过程中产生的废气主要为场地平整、截排水沟开挖时的扬尘，运输车辆、施工机械产生的尾气；废水主要为矿坑回填时遇到下雨天产生的渗滤液、施工车辆清洗废水、施工人员洗手废水；噪声主要来源于施工现场的各类机械设备噪声、施工作业噪声以及物料运输造成的交通噪声；施工期固体废物主要为矿坑清基、防渗工程场地平整、渗滤液收集井开挖、截排水沟开挖等产生的土石方以及施工人员生活垃圾。</w:t>
            </w:r>
          </w:p>
          <w:p w14:paraId="032CA18C">
            <w:pPr>
              <w:widowControl/>
              <w:ind w:firstLine="482"/>
              <w:jc w:val="left"/>
              <w:rPr>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2、大气环境影响分析</w:t>
            </w:r>
          </w:p>
          <w:p w14:paraId="623E1A0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（1）大气环境影响环节及因素</w:t>
            </w:r>
          </w:p>
          <w:p w14:paraId="037951C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本项目为废弃矿坑生态修复工程，施工期大气环境影响因素主要为场地清理平整、截排水沟开挖等工程施工地面扰动无组织扬尘和道路运输扬尘。</w:t>
            </w:r>
          </w:p>
          <w:p w14:paraId="60439BA8">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①地表扰动扬尘</w:t>
            </w:r>
          </w:p>
          <w:p w14:paraId="1CB75DBD">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地表扰动扬尘主要来源于场地清理、截排水沟开挖、拆除</w:t>
            </w:r>
            <w:r>
              <w:rPr>
                <w:rFonts w:hint="eastAsia"/>
                <w:color w:val="000000" w:themeColor="text1"/>
                <w:kern w:val="0"/>
                <w:lang w:val="en-US" w:eastAsia="zh-CN" w:bidi="ar"/>
                <w14:textFill>
                  <w14:solidFill>
                    <w14:schemeClr w14:val="tx1"/>
                  </w14:solidFill>
                </w14:textFill>
              </w:rPr>
              <w:t>原矿山</w:t>
            </w:r>
            <w:r>
              <w:rPr>
                <w:rFonts w:hint="eastAsia"/>
                <w:color w:val="000000" w:themeColor="text1"/>
                <w:kern w:val="0"/>
                <w:lang w:bidi="ar"/>
                <w14:textFill>
                  <w14:solidFill>
                    <w14:schemeClr w14:val="tx1"/>
                  </w14:solidFill>
                </w14:textFill>
              </w:rPr>
              <w:t>遗留建筑物等。</w:t>
            </w:r>
          </w:p>
          <w:p w14:paraId="4193F01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根据统计，此次修复工程拟扰动面积约</w:t>
            </w:r>
            <w:r>
              <w:rPr>
                <w:rFonts w:hint="eastAsia"/>
                <w:color w:val="000000" w:themeColor="text1"/>
                <w:kern w:val="0"/>
                <w:lang w:val="en-US" w:eastAsia="zh-CN" w:bidi="ar"/>
                <w14:textFill>
                  <w14:solidFill>
                    <w14:schemeClr w14:val="tx1"/>
                  </w14:solidFill>
                </w14:textFill>
              </w:rPr>
              <w:t>63132m</w:t>
            </w:r>
            <w:r>
              <w:rPr>
                <w:rFonts w:hint="eastAsia"/>
                <w:color w:val="000000" w:themeColor="text1"/>
                <w:kern w:val="0"/>
                <w:vertAlign w:val="superscript"/>
                <w:lang w:val="en-US" w:eastAsia="zh-CN" w:bidi="ar"/>
                <w14:textFill>
                  <w14:solidFill>
                    <w14:schemeClr w14:val="tx1"/>
                  </w14:solidFill>
                </w14:textFill>
              </w:rPr>
              <w:t>2</w:t>
            </w:r>
            <w:r>
              <w:rPr>
                <w:rFonts w:hint="eastAsia"/>
                <w:color w:val="000000" w:themeColor="text1"/>
                <w:kern w:val="0"/>
                <w:lang w:bidi="ar"/>
                <w14:textFill>
                  <w14:solidFill>
                    <w14:schemeClr w14:val="tx1"/>
                  </w14:solidFill>
                </w14:textFill>
              </w:rPr>
              <w:t>，采用经验公式计算，计算公式如下：</w:t>
            </w:r>
          </w:p>
          <w:p w14:paraId="636F0A7B">
            <w:pPr>
              <w:widowControl/>
              <w:ind w:firstLine="0" w:firstLineChars="0"/>
              <w:jc w:val="center"/>
              <w:rPr>
                <w:color w:val="000000" w:themeColor="text1"/>
                <w:kern w:val="0"/>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424940" cy="274320"/>
                  <wp:effectExtent l="0" t="0" r="3810" b="11430"/>
                  <wp:docPr id="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3"/>
                          <pic:cNvPicPr>
                            <a:picLocks noChangeAspect="1"/>
                          </pic:cNvPicPr>
                        </pic:nvPicPr>
                        <pic:blipFill>
                          <a:blip r:embed="rId22"/>
                          <a:stretch>
                            <a:fillRect/>
                          </a:stretch>
                        </pic:blipFill>
                        <pic:spPr>
                          <a:xfrm>
                            <a:off x="0" y="0"/>
                            <a:ext cx="1424940" cy="274320"/>
                          </a:xfrm>
                          <a:prstGeom prst="rect">
                            <a:avLst/>
                          </a:prstGeom>
                          <a:noFill/>
                          <a:ln>
                            <a:noFill/>
                          </a:ln>
                        </pic:spPr>
                      </pic:pic>
                    </a:graphicData>
                  </a:graphic>
                </wp:inline>
              </w:drawing>
            </w:r>
          </w:p>
          <w:p w14:paraId="35F2063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其中：</w:t>
            </w:r>
            <w:r>
              <w:rPr>
                <w:color w:val="000000" w:themeColor="text1"/>
                <w:kern w:val="0"/>
                <w:lang w:bidi="ar"/>
                <w14:textFill>
                  <w14:solidFill>
                    <w14:schemeClr w14:val="tx1"/>
                  </w14:solidFill>
                </w14:textFill>
              </w:rPr>
              <w:t>Q——</w:t>
            </w:r>
            <w:r>
              <w:rPr>
                <w:rFonts w:hint="eastAsia"/>
                <w:color w:val="000000" w:themeColor="text1"/>
                <w:kern w:val="0"/>
                <w:lang w:bidi="ar"/>
                <w14:textFill>
                  <w14:solidFill>
                    <w14:schemeClr w14:val="tx1"/>
                  </w14:solidFill>
                </w14:textFill>
              </w:rPr>
              <w:t>扬尘量，</w:t>
            </w:r>
            <w:r>
              <w:rPr>
                <w:color w:val="000000" w:themeColor="text1"/>
                <w:kern w:val="0"/>
                <w:lang w:bidi="ar"/>
                <w14:textFill>
                  <w14:solidFill>
                    <w14:schemeClr w14:val="tx1"/>
                  </w14:solidFill>
                </w14:textFill>
              </w:rPr>
              <w:t>kg/a.m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20E67881">
            <w:pPr>
              <w:widowControl/>
              <w:ind w:firstLine="1200" w:firstLineChars="5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U——</w:t>
            </w:r>
            <w:r>
              <w:rPr>
                <w:rFonts w:hint="eastAsia"/>
                <w:color w:val="000000" w:themeColor="text1"/>
                <w:kern w:val="0"/>
                <w:lang w:bidi="ar"/>
                <w14:textFill>
                  <w14:solidFill>
                    <w14:schemeClr w14:val="tx1"/>
                  </w14:solidFill>
                </w14:textFill>
              </w:rPr>
              <w:t>风速，</w:t>
            </w:r>
            <w:r>
              <w:rPr>
                <w:color w:val="000000" w:themeColor="text1"/>
                <w:kern w:val="0"/>
                <w:lang w:bidi="ar"/>
                <w14:textFill>
                  <w14:solidFill>
                    <w14:schemeClr w14:val="tx1"/>
                  </w14:solidFill>
                </w14:textFill>
              </w:rPr>
              <w:t>m/s</w:t>
            </w:r>
            <w:r>
              <w:rPr>
                <w:rFonts w:hint="eastAsia"/>
                <w:color w:val="000000" w:themeColor="text1"/>
                <w:kern w:val="0"/>
                <w:lang w:bidi="ar"/>
                <w14:textFill>
                  <w14:solidFill>
                    <w14:schemeClr w14:val="tx1"/>
                  </w14:solidFill>
                </w14:textFill>
              </w:rPr>
              <w:t>（本项目区年均风速1.3</w:t>
            </w:r>
            <w:r>
              <w:rPr>
                <w:color w:val="000000" w:themeColor="text1"/>
                <w:kern w:val="0"/>
                <w:lang w:bidi="ar"/>
                <w14:textFill>
                  <w14:solidFill>
                    <w14:schemeClr w14:val="tx1"/>
                  </w14:solidFill>
                </w14:textFill>
              </w:rPr>
              <w:t>m/s</w:t>
            </w:r>
            <w:r>
              <w:rPr>
                <w:rFonts w:hint="eastAsia"/>
                <w:color w:val="000000" w:themeColor="text1"/>
                <w:kern w:val="0"/>
                <w:lang w:bidi="ar"/>
                <w14:textFill>
                  <w14:solidFill>
                    <w14:schemeClr w14:val="tx1"/>
                  </w14:solidFill>
                </w14:textFill>
              </w:rPr>
              <w:t>）；</w:t>
            </w:r>
          </w:p>
          <w:p w14:paraId="44A9A9A1">
            <w:pPr>
              <w:widowControl/>
              <w:ind w:firstLine="1200" w:firstLineChars="5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W</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含水率（15%）。</w:t>
            </w:r>
          </w:p>
          <w:p w14:paraId="3BDD6B3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经计算，本项目地表扰动扬尘量为0.0243</w:t>
            </w:r>
            <w:r>
              <w:rPr>
                <w:color w:val="000000" w:themeColor="text1"/>
                <w:kern w:val="0"/>
                <w:lang w:bidi="ar"/>
                <w14:textFill>
                  <w14:solidFill>
                    <w14:schemeClr w14:val="tx1"/>
                  </w14:solidFill>
                </w14:textFill>
              </w:rPr>
              <w:t>kg/a.m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3867F6A0">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本项目采用改性磷石膏材料对露天采空区进行生态修复治理，项目场地清理、截排水沟开挖、拆除</w:t>
            </w:r>
            <w:r>
              <w:rPr>
                <w:rFonts w:hint="eastAsia"/>
                <w:color w:val="000000" w:themeColor="text1"/>
                <w:kern w:val="0"/>
                <w:lang w:val="en-US" w:eastAsia="zh-CN" w:bidi="ar"/>
                <w14:textFill>
                  <w14:solidFill>
                    <w14:schemeClr w14:val="tx1"/>
                  </w14:solidFill>
                </w14:textFill>
              </w:rPr>
              <w:t>原矿山</w:t>
            </w:r>
            <w:r>
              <w:rPr>
                <w:rFonts w:hint="eastAsia"/>
                <w:color w:val="000000" w:themeColor="text1"/>
                <w:kern w:val="0"/>
                <w:lang w:bidi="ar"/>
                <w14:textFill>
                  <w14:solidFill>
                    <w14:schemeClr w14:val="tx1"/>
                  </w14:solidFill>
                </w14:textFill>
              </w:rPr>
              <w:t>遗留建筑物等施工作业时间以每天8小时，项目场地清理、截排水沟开挖</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施工作业时间以90天计，项目修复面积为</w:t>
            </w:r>
            <w:r>
              <w:rPr>
                <w:rFonts w:hint="eastAsia"/>
                <w:color w:val="000000" w:themeColor="text1"/>
                <w:kern w:val="0"/>
                <w:lang w:eastAsia="zh-CN" w:bidi="ar"/>
                <w14:textFill>
                  <w14:solidFill>
                    <w14:schemeClr w14:val="tx1"/>
                  </w14:solidFill>
                </w14:textFill>
              </w:rPr>
              <w:t>63132</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，则地表扰动扬尘量为</w:t>
            </w:r>
            <w:r>
              <w:rPr>
                <w:rFonts w:hint="eastAsia"/>
                <w:color w:val="000000" w:themeColor="text1"/>
                <w:kern w:val="0"/>
                <w:lang w:val="en-US" w:eastAsia="zh-CN" w:bidi="ar"/>
                <w14:textFill>
                  <w14:solidFill>
                    <w14:schemeClr w14:val="tx1"/>
                  </w14:solidFill>
                </w14:textFill>
              </w:rPr>
              <w:t>2.13</w:t>
            </w:r>
            <w:r>
              <w:rPr>
                <w:color w:val="000000" w:themeColor="text1"/>
                <w:kern w:val="0"/>
                <w:lang w:bidi="ar"/>
                <w14:textFill>
                  <w14:solidFill>
                    <w14:schemeClr w14:val="tx1"/>
                  </w14:solidFill>
                </w14:textFill>
              </w:rPr>
              <w:t>kg/</w:t>
            </w:r>
            <w:r>
              <w:rPr>
                <w:rFonts w:hint="eastAsia"/>
                <w:color w:val="000000" w:themeColor="text1"/>
                <w:kern w:val="0"/>
                <w:lang w:bidi="ar"/>
                <w14:textFill>
                  <w14:solidFill>
                    <w14:schemeClr w14:val="tx1"/>
                  </w14:solidFill>
                </w14:textFill>
              </w:rPr>
              <w:t>h。本项目采用洒水车洒水降尘，非雨天每天洒水两次，雨天不进行作业。根据《固体物料堆存颗粒物产排污核算系数手册》，在对道路进行洒水降尘后可减少约74%扬尘。计算得到项目施工期地表扰动扬尘排放量（</w:t>
            </w:r>
            <w:r>
              <w:rPr>
                <w:rFonts w:hint="eastAsia"/>
                <w:color w:val="000000" w:themeColor="text1"/>
                <w:kern w:val="0"/>
                <w:lang w:val="en-US" w:eastAsia="zh-CN" w:bidi="ar"/>
                <w14:textFill>
                  <w14:solidFill>
                    <w14:schemeClr w14:val="tx1"/>
                  </w14:solidFill>
                </w14:textFill>
              </w:rPr>
              <w:t>0.554</w:t>
            </w:r>
            <w:r>
              <w:rPr>
                <w:color w:val="000000" w:themeColor="text1"/>
                <w:kern w:val="0"/>
                <w:lang w:bidi="ar"/>
                <w14:textFill>
                  <w14:solidFill>
                    <w14:schemeClr w14:val="tx1"/>
                  </w14:solidFill>
                </w14:textFill>
              </w:rPr>
              <w:t>kg/h</w:t>
            </w:r>
            <w:r>
              <w:rPr>
                <w:rFonts w:hint="eastAsia"/>
                <w:color w:val="000000" w:themeColor="text1"/>
                <w:kern w:val="0"/>
                <w:lang w:bidi="ar"/>
                <w14:textFill>
                  <w14:solidFill>
                    <w14:schemeClr w14:val="tx1"/>
                  </w14:solidFill>
                </w14:textFill>
              </w:rPr>
              <w:t>、0.</w:t>
            </w:r>
            <w:r>
              <w:rPr>
                <w:rFonts w:hint="eastAsia"/>
                <w:color w:val="000000" w:themeColor="text1"/>
                <w:kern w:val="0"/>
                <w:lang w:val="en-US" w:eastAsia="zh-CN" w:bidi="ar"/>
                <w14:textFill>
                  <w14:solidFill>
                    <w14:schemeClr w14:val="tx1"/>
                  </w14:solidFill>
                </w14:textFill>
              </w:rPr>
              <w:t>399</w:t>
            </w:r>
            <w:r>
              <w:rPr>
                <w:color w:val="000000" w:themeColor="text1"/>
                <w:kern w:val="0"/>
                <w:lang w:bidi="ar"/>
                <w14:textFill>
                  <w14:solidFill>
                    <w14:schemeClr w14:val="tx1"/>
                  </w14:solidFill>
                </w14:textFill>
              </w:rPr>
              <w:t>t/a</w:t>
            </w:r>
            <w:r>
              <w:rPr>
                <w:rFonts w:hint="eastAsia"/>
                <w:color w:val="000000" w:themeColor="text1"/>
                <w:kern w:val="0"/>
                <w:lang w:bidi="ar"/>
                <w14:textFill>
                  <w14:solidFill>
                    <w14:schemeClr w14:val="tx1"/>
                  </w14:solidFill>
                </w14:textFill>
              </w:rPr>
              <w:t>），为无组织排放。</w:t>
            </w:r>
          </w:p>
          <w:p w14:paraId="076D2E7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②回填作业、覆土绿化作业扬尘</w:t>
            </w:r>
          </w:p>
          <w:p w14:paraId="029B887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本项目使用改性磷石膏材料进行回填修复，</w:t>
            </w:r>
            <w:r>
              <w:rPr>
                <w:rFonts w:hint="eastAsia" w:ascii="宋体" w:hAnsi="宋体" w:cs="宋体"/>
                <w:color w:val="000000" w:themeColor="text1"/>
                <w:kern w:val="0"/>
                <w:lang w:bidi="ar"/>
                <w14:textFill>
                  <w14:solidFill>
                    <w14:schemeClr w14:val="tx1"/>
                  </w14:solidFill>
                </w14:textFill>
              </w:rPr>
              <w:t>回填和覆土过程中，进行洒水抑尘，适当增加修复材料和绿化覆土的湿度，扬尘产生量很小，对环境影响不大。</w:t>
            </w:r>
          </w:p>
          <w:p w14:paraId="23CFB1F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③运输扬尘</w:t>
            </w:r>
          </w:p>
          <w:p w14:paraId="71EA73E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从</w:t>
            </w:r>
            <w:r>
              <w:rPr>
                <w:color w:val="000000" w:themeColor="text1"/>
                <w14:textFill>
                  <w14:solidFill>
                    <w14:schemeClr w14:val="tx1"/>
                  </w14:solidFill>
                </w14:textFill>
              </w:rPr>
              <w:t>云南常青树化工有限公司厂区</w:t>
            </w:r>
            <w:r>
              <w:rPr>
                <w:rFonts w:hint="eastAsia"/>
                <w:color w:val="000000" w:themeColor="text1"/>
                <w:kern w:val="0"/>
                <w:lang w:bidi="ar"/>
                <w14:textFill>
                  <w14:solidFill>
                    <w14:schemeClr w14:val="tx1"/>
                  </w14:solidFill>
                </w14:textFill>
              </w:rPr>
              <w:t>到</w:t>
            </w:r>
            <w:r>
              <w:rPr>
                <w:rFonts w:hint="eastAsia"/>
                <w:color w:val="000000" w:themeColor="text1"/>
                <w:szCs w:val="21"/>
                <w:lang w:val="en-US" w:eastAsia="zh-CN"/>
                <w14:textFill>
                  <w14:solidFill>
                    <w14:schemeClr w14:val="tx1"/>
                  </w14:solidFill>
                </w14:textFill>
              </w:rPr>
              <w:t>令友</w:t>
            </w:r>
            <w:r>
              <w:rPr>
                <w:rFonts w:hint="eastAsia"/>
                <w:color w:val="000000" w:themeColor="text1"/>
                <w:szCs w:val="21"/>
                <w14:textFill>
                  <w14:solidFill>
                    <w14:schemeClr w14:val="tx1"/>
                  </w14:solidFill>
                </w14:textFill>
              </w:rPr>
              <w:t>采石场</w:t>
            </w:r>
            <w:r>
              <w:rPr>
                <w:rFonts w:hint="eastAsia"/>
                <w:color w:val="000000" w:themeColor="text1"/>
                <w:kern w:val="0"/>
                <w:lang w:bidi="ar"/>
                <w14:textFill>
                  <w14:solidFill>
                    <w14:schemeClr w14:val="tx1"/>
                  </w14:solidFill>
                </w14:textFill>
              </w:rPr>
              <w:t>均为水泥路面，从新石桥村进矿区段运输道路为砂石路面，运输扬尘较大。本评价采用汽车道路扬尘经验公式进行计算，公式如下：</w:t>
            </w:r>
          </w:p>
          <w:p w14:paraId="4A6D0703">
            <w:pPr>
              <w:widowControl/>
              <w:ind w:firstLine="0" w:firstLineChars="0"/>
              <w:jc w:val="center"/>
              <w:rPr>
                <w:color w:val="000000" w:themeColor="text1"/>
                <w14:textFill>
                  <w14:solidFill>
                    <w14:schemeClr w14:val="tx1"/>
                  </w14:solidFill>
                </w14:textFill>
              </w:rPr>
            </w:pPr>
            <w:r>
              <w:rPr>
                <w:color w:val="000000" w:themeColor="text1"/>
                <w:kern w:val="0"/>
                <w:lang w:bidi="ar"/>
                <w14:textFill>
                  <w14:solidFill>
                    <w14:schemeClr w14:val="tx1"/>
                  </w14:solidFill>
                </w14:textFill>
              </w:rPr>
              <w:t>Qi=0.0079VW</w:t>
            </w:r>
            <w:r>
              <w:rPr>
                <w:color w:val="000000" w:themeColor="text1"/>
                <w:kern w:val="0"/>
                <w:vertAlign w:val="superscript"/>
                <w:lang w:bidi="ar"/>
                <w14:textFill>
                  <w14:solidFill>
                    <w14:schemeClr w14:val="tx1"/>
                  </w14:solidFill>
                </w14:textFill>
              </w:rPr>
              <w:t>0.85</w:t>
            </w:r>
            <w:r>
              <w:rPr>
                <w:color w:val="000000" w:themeColor="text1"/>
                <w:kern w:val="0"/>
                <w:lang w:bidi="ar"/>
                <w14:textFill>
                  <w14:solidFill>
                    <w14:schemeClr w14:val="tx1"/>
                  </w14:solidFill>
                </w14:textFill>
              </w:rPr>
              <w:t>P</w:t>
            </w:r>
            <w:r>
              <w:rPr>
                <w:color w:val="000000" w:themeColor="text1"/>
                <w:kern w:val="0"/>
                <w:vertAlign w:val="superscript"/>
                <w:lang w:bidi="ar"/>
                <w14:textFill>
                  <w14:solidFill>
                    <w14:schemeClr w14:val="tx1"/>
                  </w14:solidFill>
                </w14:textFill>
              </w:rPr>
              <w:t>0.72</w:t>
            </w:r>
          </w:p>
          <w:p w14:paraId="53B2CA71">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w:t>
            </w:r>
            <w:r>
              <w:rPr>
                <w:color w:val="000000" w:themeColor="text1"/>
                <w:kern w:val="0"/>
                <w:lang w:bidi="ar"/>
                <w14:textFill>
                  <w14:solidFill>
                    <w14:schemeClr w14:val="tx1"/>
                  </w14:solidFill>
                </w14:textFill>
              </w:rPr>
              <w:t>Qi—</w:t>
            </w:r>
            <w:r>
              <w:rPr>
                <w:rFonts w:hint="eastAsia"/>
                <w:color w:val="000000" w:themeColor="text1"/>
                <w:kern w:val="0"/>
                <w:lang w:bidi="ar"/>
                <w14:textFill>
                  <w14:solidFill>
                    <w14:schemeClr w14:val="tx1"/>
                  </w14:solidFill>
                </w14:textFill>
              </w:rPr>
              <w:t>每辆汽车行驶扬尘量（</w:t>
            </w:r>
            <w:r>
              <w:rPr>
                <w:color w:val="000000" w:themeColor="text1"/>
                <w:kern w:val="0"/>
                <w:lang w:bidi="ar"/>
                <w14:textFill>
                  <w14:solidFill>
                    <w14:schemeClr w14:val="tx1"/>
                  </w14:solidFill>
                </w14:textFill>
              </w:rPr>
              <w:t>kg/km·</w:t>
            </w:r>
            <w:r>
              <w:rPr>
                <w:rFonts w:hint="eastAsia"/>
                <w:color w:val="000000" w:themeColor="text1"/>
                <w:kern w:val="0"/>
                <w:lang w:bidi="ar"/>
                <w14:textFill>
                  <w14:solidFill>
                    <w14:schemeClr w14:val="tx1"/>
                  </w14:solidFill>
                </w14:textFill>
              </w:rPr>
              <w:t>辆）；</w:t>
            </w:r>
          </w:p>
          <w:p w14:paraId="0D0D2E6A">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V—</w:t>
            </w:r>
            <w:r>
              <w:rPr>
                <w:rFonts w:hint="eastAsia"/>
                <w:color w:val="000000" w:themeColor="text1"/>
                <w:kern w:val="0"/>
                <w:lang w:bidi="ar"/>
                <w14:textFill>
                  <w14:solidFill>
                    <w14:schemeClr w14:val="tx1"/>
                  </w14:solidFill>
                </w14:textFill>
              </w:rPr>
              <w:t>汽车速度（</w:t>
            </w:r>
            <w:r>
              <w:rPr>
                <w:color w:val="000000" w:themeColor="text1"/>
                <w:kern w:val="0"/>
                <w:lang w:bidi="ar"/>
                <w14:textFill>
                  <w14:solidFill>
                    <w14:schemeClr w14:val="tx1"/>
                  </w14:solidFill>
                </w14:textFill>
              </w:rPr>
              <w:t>km/h</w:t>
            </w:r>
            <w:r>
              <w:rPr>
                <w:rFonts w:hint="eastAsia"/>
                <w:color w:val="000000" w:themeColor="text1"/>
                <w:kern w:val="0"/>
                <w:lang w:bidi="ar"/>
                <w14:textFill>
                  <w14:solidFill>
                    <w14:schemeClr w14:val="tx1"/>
                  </w14:solidFill>
                </w14:textFill>
              </w:rPr>
              <w:t>）；</w:t>
            </w:r>
          </w:p>
          <w:p w14:paraId="4DBA586C">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W—</w:t>
            </w:r>
            <w:r>
              <w:rPr>
                <w:rFonts w:hint="eastAsia"/>
                <w:color w:val="000000" w:themeColor="text1"/>
                <w:kern w:val="0"/>
                <w:lang w:bidi="ar"/>
                <w14:textFill>
                  <w14:solidFill>
                    <w14:schemeClr w14:val="tx1"/>
                  </w14:solidFill>
                </w14:textFill>
              </w:rPr>
              <w:t>汽车重量（</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w:t>
            </w:r>
          </w:p>
          <w:p w14:paraId="00DEFEC1">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P—</w:t>
            </w:r>
            <w:r>
              <w:rPr>
                <w:rFonts w:hint="eastAsia"/>
                <w:color w:val="000000" w:themeColor="text1"/>
                <w:kern w:val="0"/>
                <w:lang w:bidi="ar"/>
                <w14:textFill>
                  <w14:solidFill>
                    <w14:schemeClr w14:val="tx1"/>
                  </w14:solidFill>
                </w14:textFill>
              </w:rPr>
              <w:t>道路表面粉尘量（</w:t>
            </w:r>
            <w:r>
              <w:rPr>
                <w:color w:val="000000" w:themeColor="text1"/>
                <w:kern w:val="0"/>
                <w:lang w:bidi="ar"/>
                <w14:textFill>
                  <w14:solidFill>
                    <w14:schemeClr w14:val="tx1"/>
                  </w14:solidFill>
                </w14:textFill>
              </w:rPr>
              <w:t>kg/㎡</w:t>
            </w:r>
            <w:r>
              <w:rPr>
                <w:rFonts w:hint="eastAsia"/>
                <w:color w:val="000000" w:themeColor="text1"/>
                <w:kern w:val="0"/>
                <w:lang w:bidi="ar"/>
                <w14:textFill>
                  <w14:solidFill>
                    <w14:schemeClr w14:val="tx1"/>
                  </w14:solidFill>
                </w14:textFill>
              </w:rPr>
              <w:t>）。</w:t>
            </w:r>
          </w:p>
          <w:p w14:paraId="05DFEB9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项目采用</w:t>
            </w:r>
            <w:r>
              <w:rPr>
                <w:rFonts w:hint="eastAsia"/>
                <w:color w:val="000000" w:themeColor="text1"/>
                <w:kern w:val="0"/>
                <w:lang w:val="en-US" w:eastAsia="zh-CN" w:bidi="ar"/>
                <w14:textFill>
                  <w14:solidFill>
                    <w14:schemeClr w14:val="tx1"/>
                  </w14:solidFill>
                </w14:textFill>
              </w:rPr>
              <w:t>30</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自卸车对耕植土及修复材料进行运输，平均时速</w:t>
            </w:r>
            <w:r>
              <w:rPr>
                <w:color w:val="000000" w:themeColor="text1"/>
                <w:kern w:val="0"/>
                <w:lang w:bidi="ar"/>
                <w14:textFill>
                  <w14:solidFill>
                    <w14:schemeClr w14:val="tx1"/>
                  </w14:solidFill>
                </w14:textFill>
              </w:rPr>
              <w:t>10km/h</w:t>
            </w:r>
            <w:r>
              <w:rPr>
                <w:rFonts w:hint="eastAsia"/>
                <w:color w:val="000000" w:themeColor="text1"/>
                <w:kern w:val="0"/>
                <w:lang w:bidi="ar"/>
                <w14:textFill>
                  <w14:solidFill>
                    <w14:schemeClr w14:val="tx1"/>
                  </w14:solidFill>
                </w14:textFill>
              </w:rPr>
              <w:t>、道路表面粉尘量按</w:t>
            </w:r>
            <w:r>
              <w:rPr>
                <w:rFonts w:hint="eastAsia"/>
                <w:color w:val="000000" w:themeColor="text1"/>
                <w:kern w:val="0"/>
                <w:lang w:val="en-US" w:eastAsia="zh-CN" w:bidi="ar"/>
                <w14:textFill>
                  <w14:solidFill>
                    <w14:schemeClr w14:val="tx1"/>
                  </w14:solidFill>
                </w14:textFill>
              </w:rPr>
              <w:t>0.1</w:t>
            </w:r>
            <w:r>
              <w:rPr>
                <w:color w:val="000000" w:themeColor="text1"/>
                <w:kern w:val="0"/>
                <w:lang w:bidi="ar"/>
                <w14:textFill>
                  <w14:solidFill>
                    <w14:schemeClr w14:val="tx1"/>
                  </w14:solidFill>
                </w14:textFill>
              </w:rPr>
              <w:t>kg/</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计算</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则每辆汽车行使扬尘量为0.27</w:t>
            </w:r>
            <w:r>
              <w:rPr>
                <w:color w:val="000000" w:themeColor="text1"/>
                <w:kern w:val="0"/>
                <w:lang w:bidi="ar"/>
                <w14:textFill>
                  <w14:solidFill>
                    <w14:schemeClr w14:val="tx1"/>
                  </w14:solidFill>
                </w14:textFill>
              </w:rPr>
              <w:t>kg/km·</w:t>
            </w:r>
            <w:r>
              <w:rPr>
                <w:rFonts w:hint="eastAsia"/>
                <w:color w:val="000000" w:themeColor="text1"/>
                <w:kern w:val="0"/>
                <w:lang w:bidi="ar"/>
                <w14:textFill>
                  <w14:solidFill>
                    <w14:schemeClr w14:val="tx1"/>
                  </w14:solidFill>
                </w14:textFill>
              </w:rPr>
              <w:t>辆</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土路运距</w:t>
            </w:r>
            <w:r>
              <w:rPr>
                <w:rFonts w:hint="eastAsia"/>
                <w:color w:val="000000" w:themeColor="text1"/>
                <w:kern w:val="0"/>
                <w:lang w:val="en-US" w:eastAsia="zh-CN" w:bidi="ar"/>
                <w14:textFill>
                  <w14:solidFill>
                    <w14:schemeClr w14:val="tx1"/>
                  </w14:solidFill>
                </w14:textFill>
              </w:rPr>
              <w:t>1</w:t>
            </w:r>
            <w:r>
              <w:rPr>
                <w:color w:val="000000" w:themeColor="text1"/>
                <w:kern w:val="0"/>
                <w:lang w:bidi="ar"/>
                <w14:textFill>
                  <w14:solidFill>
                    <w14:schemeClr w14:val="tx1"/>
                  </w14:solidFill>
                </w14:textFill>
              </w:rPr>
              <w:t>km</w:t>
            </w:r>
            <w:r>
              <w:rPr>
                <w:rFonts w:hint="eastAsia"/>
                <w:color w:val="000000" w:themeColor="text1"/>
                <w:kern w:val="0"/>
                <w:lang w:bidi="ar"/>
                <w14:textFill>
                  <w14:solidFill>
                    <w14:schemeClr w14:val="tx1"/>
                  </w14:solidFill>
                </w14:textFill>
              </w:rPr>
              <w:t>，运输期间每天约</w:t>
            </w:r>
            <w:r>
              <w:rPr>
                <w:rFonts w:hint="eastAsia"/>
                <w:color w:val="000000" w:themeColor="text1"/>
                <w:kern w:val="0"/>
                <w:lang w:val="en-US" w:eastAsia="zh-CN" w:bidi="ar"/>
                <w14:textFill>
                  <w14:solidFill>
                    <w14:schemeClr w14:val="tx1"/>
                  </w14:solidFill>
                </w14:textFill>
              </w:rPr>
              <w:t>137</w:t>
            </w:r>
            <w:r>
              <w:rPr>
                <w:rFonts w:hint="eastAsia"/>
                <w:color w:val="000000" w:themeColor="text1"/>
                <w:kern w:val="0"/>
                <w:lang w:bidi="ar"/>
                <w14:textFill>
                  <w14:solidFill>
                    <w14:schemeClr w14:val="tx1"/>
                  </w14:solidFill>
                </w14:textFill>
              </w:rPr>
              <w:t>车次，在不采取防治措施的情况下，汽车道路扬尘达</w:t>
            </w:r>
            <w:r>
              <w:rPr>
                <w:rFonts w:hint="eastAsia"/>
                <w:color w:val="000000" w:themeColor="text1"/>
                <w:kern w:val="0"/>
                <w:lang w:val="en-US" w:eastAsia="zh-CN" w:bidi="ar"/>
                <w14:textFill>
                  <w14:solidFill>
                    <w14:schemeClr w14:val="tx1"/>
                  </w14:solidFill>
                </w14:textFill>
              </w:rPr>
              <w:t>36.99</w:t>
            </w:r>
            <w:r>
              <w:rPr>
                <w:color w:val="000000" w:themeColor="text1"/>
                <w:kern w:val="0"/>
                <w:lang w:bidi="ar"/>
                <w14:textFill>
                  <w14:solidFill>
                    <w14:schemeClr w14:val="tx1"/>
                  </w14:solidFill>
                </w14:textFill>
              </w:rPr>
              <w:t>kg/d</w:t>
            </w:r>
            <w:r>
              <w:rPr>
                <w:rFonts w:hint="eastAsia"/>
                <w:color w:val="000000" w:themeColor="text1"/>
                <w:kern w:val="0"/>
                <w:lang w:bidi="ar"/>
                <w14:textFill>
                  <w14:solidFill>
                    <w14:schemeClr w14:val="tx1"/>
                  </w14:solidFill>
                </w14:textFill>
              </w:rPr>
              <w:t>，根据施工进度，项目区回填时间约</w:t>
            </w:r>
            <w:r>
              <w:rPr>
                <w:rFonts w:hint="eastAsia"/>
                <w:color w:val="000000" w:themeColor="text1"/>
                <w:kern w:val="0"/>
                <w:lang w:val="en-US" w:eastAsia="zh-CN" w:bidi="ar"/>
                <w14:textFill>
                  <w14:solidFill>
                    <w14:schemeClr w14:val="tx1"/>
                  </w14:solidFill>
                </w14:textFill>
              </w:rPr>
              <w:t>365</w:t>
            </w:r>
            <w:r>
              <w:rPr>
                <w:rFonts w:hint="eastAsia"/>
                <w:color w:val="000000" w:themeColor="text1"/>
                <w:kern w:val="0"/>
                <w:lang w:bidi="ar"/>
                <w14:textFill>
                  <w14:solidFill>
                    <w14:schemeClr w14:val="tx1"/>
                  </w14:solidFill>
                </w14:textFill>
              </w:rPr>
              <w:t>天，则施工期间非雨天运输扬尘产生量为</w:t>
            </w:r>
            <w:r>
              <w:rPr>
                <w:rFonts w:hint="eastAsia"/>
                <w:color w:val="000000" w:themeColor="text1"/>
                <w:kern w:val="0"/>
                <w:lang w:val="en-US" w:eastAsia="zh-CN" w:bidi="ar"/>
                <w14:textFill>
                  <w14:solidFill>
                    <w14:schemeClr w14:val="tx1"/>
                  </w14:solidFill>
                </w14:textFill>
              </w:rPr>
              <w:t>13.5</w:t>
            </w:r>
            <w:r>
              <w:rPr>
                <w:color w:val="000000" w:themeColor="text1"/>
                <w:kern w:val="0"/>
                <w:lang w:bidi="ar"/>
                <w14:textFill>
                  <w14:solidFill>
                    <w14:schemeClr w14:val="tx1"/>
                  </w14:solidFill>
                </w14:textFill>
              </w:rPr>
              <w:t>t/a</w:t>
            </w:r>
            <w:r>
              <w:rPr>
                <w:rFonts w:hint="eastAsia"/>
                <w:color w:val="000000" w:themeColor="text1"/>
                <w:kern w:val="0"/>
                <w:lang w:bidi="ar"/>
                <w14:textFill>
                  <w14:solidFill>
                    <w14:schemeClr w14:val="tx1"/>
                  </w14:solidFill>
                </w14:textFill>
              </w:rPr>
              <w:t>。</w:t>
            </w:r>
          </w:p>
          <w:p w14:paraId="7A5D992E">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根据《固体物料堆存颗粒物产排污核算系数手册》，在对道路进行洒水降尘措施后可减少约74%扬尘，则运输扬尘排放量下降至</w:t>
            </w:r>
            <w:r>
              <w:rPr>
                <w:rFonts w:hint="eastAsia"/>
                <w:color w:val="000000" w:themeColor="text1"/>
                <w:kern w:val="0"/>
                <w:lang w:val="en-US" w:eastAsia="zh-CN" w:bidi="ar"/>
                <w14:textFill>
                  <w14:solidFill>
                    <w14:schemeClr w14:val="tx1"/>
                  </w14:solidFill>
                </w14:textFill>
              </w:rPr>
              <w:t>9.62</w:t>
            </w:r>
            <w:r>
              <w:rPr>
                <w:rFonts w:hint="eastAsia"/>
                <w:color w:val="000000" w:themeColor="text1"/>
                <w:kern w:val="0"/>
                <w:lang w:bidi="ar"/>
                <w14:textFill>
                  <w14:solidFill>
                    <w14:schemeClr w14:val="tx1"/>
                  </w14:solidFill>
                </w14:textFill>
              </w:rPr>
              <w:t>kg/d，施工期运输扬尘排放量</w:t>
            </w:r>
            <w:r>
              <w:rPr>
                <w:rFonts w:hint="eastAsia"/>
                <w:color w:val="000000" w:themeColor="text1"/>
                <w:kern w:val="0"/>
                <w:lang w:val="en-US" w:eastAsia="zh-CN" w:bidi="ar"/>
                <w14:textFill>
                  <w14:solidFill>
                    <w14:schemeClr w14:val="tx1"/>
                  </w14:solidFill>
                </w14:textFill>
              </w:rPr>
              <w:t>3.511</w:t>
            </w:r>
            <w:r>
              <w:rPr>
                <w:rFonts w:hint="eastAsia"/>
                <w:color w:val="000000" w:themeColor="text1"/>
                <w:kern w:val="0"/>
                <w:lang w:bidi="ar"/>
                <w14:textFill>
                  <w14:solidFill>
                    <w14:schemeClr w14:val="tx1"/>
                  </w14:solidFill>
                </w14:textFill>
              </w:rPr>
              <w:t>t/a。</w:t>
            </w:r>
          </w:p>
          <w:p w14:paraId="73CA6E2E">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项目土路运距很短，在对道路进行洒水降尘措施后，运输扬尘排放量极小。</w:t>
            </w:r>
          </w:p>
          <w:p w14:paraId="37F1CE0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通过洒水降尘、密闭运输、篷布遮盖等措施，可有效减少扬尘的影响范围其影响范围可控制在项目施工区域内。</w:t>
            </w:r>
          </w:p>
          <w:p w14:paraId="5279AAFF">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采取上述措施后，场界颗粒物浓度可达《大气污染物综合排放标准》（GB16297-1996）表2无组织排放限值要求，即：颗粒物浓度≤1.0mg/m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w:t>
            </w:r>
          </w:p>
          <w:p w14:paraId="20A1EB47">
            <w:pPr>
              <w:widowControl/>
              <w:ind w:firstLine="48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④</w:t>
            </w:r>
            <w:r>
              <w:rPr>
                <w:rFonts w:hint="eastAsia"/>
                <w:color w:val="000000" w:themeColor="text1"/>
                <w:kern w:val="0"/>
                <w:lang w:bidi="ar"/>
                <w14:textFill>
                  <w14:solidFill>
                    <w14:schemeClr w14:val="tx1"/>
                  </w14:solidFill>
                </w14:textFill>
              </w:rPr>
              <w:t>运输车辆、施工机械尾气</w:t>
            </w:r>
          </w:p>
          <w:p w14:paraId="7ECBD92F">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施工中运输车辆及施工机械运行产生的废气均是动力燃料柴油和汽油燃烧后所产生，主要成分是烃类、CO和NOx，属间歇性无组织排放，各类污染物产生量有限，量不大，且随着施工期的结束而消失。进出施工场地的车辆应尽量减速行驶，定期对车辆保养，防止带病作业，以减少汽车尾气对周围大气环境的污染。</w:t>
            </w:r>
          </w:p>
          <w:p w14:paraId="6D57CA78">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 xml:space="preserve">按照《建设项目环境影响报告表编制技术指南（生态影响类）（试行）》 </w:t>
            </w:r>
          </w:p>
          <w:p w14:paraId="5BFF5B19">
            <w:pPr>
              <w:widowControl/>
              <w:ind w:firstLine="0" w:firstLineChars="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（环办环评</w:t>
            </w:r>
            <w:r>
              <w:rPr>
                <w:color w:val="000000" w:themeColor="text1"/>
                <w:kern w:val="0"/>
                <w:lang w:bidi="ar"/>
                <w14:textFill>
                  <w14:solidFill>
                    <w14:schemeClr w14:val="tx1"/>
                  </w14:solidFill>
                </w14:textFill>
              </w:rPr>
              <w:t xml:space="preserve">[2020]33 </w:t>
            </w:r>
            <w:r>
              <w:rPr>
                <w:rFonts w:hint="eastAsia" w:ascii="宋体" w:hAnsi="宋体" w:cs="宋体"/>
                <w:color w:val="000000" w:themeColor="text1"/>
                <w:kern w:val="0"/>
                <w:lang w:bidi="ar"/>
                <w14:textFill>
                  <w14:solidFill>
                    <w14:schemeClr w14:val="tx1"/>
                  </w14:solidFill>
                </w14:textFill>
              </w:rPr>
              <w:t>号），本项目不设置大气专项评价，对大气环境影响进行定性分析。矿坑生态修复实施期间，在进行削坡造台、场地平整、矿坑回填、绿化覆土等施工都会产生扬尘，扬尘呈无组织排放，经对施工现场采取洒水抑尘措施，按照《环境影响评价技术导则</w:t>
            </w:r>
            <w:r>
              <w:rPr>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大气环境》（</w:t>
            </w:r>
            <w:r>
              <w:rPr>
                <w:color w:val="000000" w:themeColor="text1"/>
                <w:kern w:val="0"/>
                <w:lang w:bidi="ar"/>
                <w14:textFill>
                  <w14:solidFill>
                    <w14:schemeClr w14:val="tx1"/>
                  </w14:solidFill>
                </w14:textFill>
              </w:rPr>
              <w:t>HJ2.2-2018</w:t>
            </w:r>
            <w:r>
              <w:rPr>
                <w:rFonts w:hint="eastAsia" w:ascii="宋体" w:hAnsi="宋体" w:cs="宋体"/>
                <w:color w:val="000000" w:themeColor="text1"/>
                <w:kern w:val="0"/>
                <w:lang w:bidi="ar"/>
                <w14:textFill>
                  <w14:solidFill>
                    <w14:schemeClr w14:val="tx1"/>
                  </w14:solidFill>
                </w14:textFill>
              </w:rPr>
              <w:t>）要求采用附录</w:t>
            </w:r>
            <w:r>
              <w:rPr>
                <w:color w:val="000000" w:themeColor="text1"/>
                <w:kern w:val="0"/>
                <w:lang w:bidi="ar"/>
                <w14:textFill>
                  <w14:solidFill>
                    <w14:schemeClr w14:val="tx1"/>
                  </w14:solidFill>
                </w14:textFill>
              </w:rPr>
              <w:t>A</w:t>
            </w:r>
            <w:r>
              <w:rPr>
                <w:rFonts w:hint="eastAsia" w:ascii="宋体" w:hAnsi="宋体" w:cs="宋体"/>
                <w:color w:val="000000" w:themeColor="text1"/>
                <w:kern w:val="0"/>
                <w:lang w:bidi="ar"/>
                <w14:textFill>
                  <w14:solidFill>
                    <w14:schemeClr w14:val="tx1"/>
                  </w14:solidFill>
                </w14:textFill>
              </w:rPr>
              <w:t>推荐模型中估算模型估算矿坑修复区无组织颗粒物对大气环境的最大影响，结果见表</w:t>
            </w:r>
            <w:r>
              <w:rPr>
                <w:rFonts w:hint="eastAsia"/>
                <w:color w:val="000000" w:themeColor="text1"/>
                <w:kern w:val="0"/>
                <w:lang w:bidi="ar"/>
                <w14:textFill>
                  <w14:solidFill>
                    <w14:schemeClr w14:val="tx1"/>
                  </w14:solidFill>
                </w14:textFill>
              </w:rPr>
              <w:t>3-15</w:t>
            </w:r>
            <w:r>
              <w:rPr>
                <w:rFonts w:hint="eastAsia" w:ascii="宋体" w:hAnsi="宋体" w:cs="宋体"/>
                <w:color w:val="000000" w:themeColor="text1"/>
                <w:kern w:val="0"/>
                <w:lang w:bidi="ar"/>
                <w14:textFill>
                  <w14:solidFill>
                    <w14:schemeClr w14:val="tx1"/>
                  </w14:solidFill>
                </w14:textFill>
              </w:rPr>
              <w:t>，矿坑修复区施工期厂界颗粒物最大落地浓度为</w:t>
            </w:r>
            <w:r>
              <w:rPr>
                <w:rFonts w:hint="eastAsia"/>
                <w:color w:val="000000" w:themeColor="text1"/>
                <w:kern w:val="0"/>
                <w:lang w:val="en-US" w:eastAsia="zh-CN" w:bidi="ar"/>
                <w14:textFill>
                  <w14:solidFill>
                    <w14:schemeClr w14:val="tx1"/>
                  </w14:solidFill>
                </w14:textFill>
              </w:rPr>
              <w:t>0.1324mg</w:t>
            </w:r>
            <w:r>
              <w:rPr>
                <w:color w:val="000000" w:themeColor="text1"/>
                <w:kern w:val="0"/>
                <w:lang w:bidi="ar"/>
                <w14:textFill>
                  <w14:solidFill>
                    <w14:schemeClr w14:val="tx1"/>
                  </w14:solidFill>
                </w14:textFill>
              </w:rPr>
              <w:t>/m</w:t>
            </w:r>
            <w:r>
              <w:rPr>
                <w:rFonts w:hint="eastAsia"/>
                <w:color w:val="000000" w:themeColor="text1"/>
                <w:kern w:val="0"/>
                <w:vertAlign w:val="superscript"/>
                <w:lang w:val="en-US" w:eastAsia="zh-CN"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，最大落地浓度占标率</w:t>
            </w:r>
            <w:r>
              <w:rPr>
                <w:rFonts w:hint="eastAsia"/>
                <w:color w:val="000000" w:themeColor="text1"/>
                <w:kern w:val="0"/>
                <w:lang w:val="en-US" w:eastAsia="zh-CN" w:bidi="ar"/>
                <w14:textFill>
                  <w14:solidFill>
                    <w14:schemeClr w14:val="tx1"/>
                  </w14:solidFill>
                </w14:textFill>
              </w:rPr>
              <w:t>14.71</w:t>
            </w:r>
            <w:r>
              <w:rPr>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，满足《环境空气质量标准》（</w:t>
            </w:r>
            <w:r>
              <w:rPr>
                <w:color w:val="000000" w:themeColor="text1"/>
                <w:kern w:val="0"/>
                <w:lang w:bidi="ar"/>
                <w14:textFill>
                  <w14:solidFill>
                    <w14:schemeClr w14:val="tx1"/>
                  </w14:solidFill>
                </w14:textFill>
              </w:rPr>
              <w:t>GB3095-2012</w:t>
            </w:r>
            <w:r>
              <w:rPr>
                <w:rFonts w:hint="eastAsia" w:ascii="宋体" w:hAnsi="宋体" w:cs="宋体"/>
                <w:color w:val="000000" w:themeColor="text1"/>
                <w:kern w:val="0"/>
                <w:lang w:bidi="ar"/>
                <w14:textFill>
                  <w14:solidFill>
                    <w14:schemeClr w14:val="tx1"/>
                  </w14:solidFill>
                </w14:textFill>
              </w:rPr>
              <w:t>）二级标准。施工场界无组织颗粒物能满足《大气污染物综合排放标准》（</w:t>
            </w:r>
            <w:r>
              <w:rPr>
                <w:color w:val="000000" w:themeColor="text1"/>
                <w:kern w:val="0"/>
                <w:lang w:bidi="ar"/>
                <w14:textFill>
                  <w14:solidFill>
                    <w14:schemeClr w14:val="tx1"/>
                  </w14:solidFill>
                </w14:textFill>
              </w:rPr>
              <w:t>GB16297-1996</w:t>
            </w:r>
            <w:r>
              <w:rPr>
                <w:rFonts w:hint="eastAsia" w:ascii="宋体" w:hAnsi="宋体" w:cs="宋体"/>
                <w:color w:val="000000" w:themeColor="text1"/>
                <w:kern w:val="0"/>
                <w:lang w:bidi="ar"/>
                <w14:textFill>
                  <w14:solidFill>
                    <w14:schemeClr w14:val="tx1"/>
                  </w14:solidFill>
                </w14:textFill>
              </w:rPr>
              <w:t>）表</w:t>
            </w:r>
            <w:r>
              <w:rPr>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中无组织排放限值</w:t>
            </w:r>
            <w:r>
              <w:rPr>
                <w:color w:val="000000" w:themeColor="text1"/>
                <w:kern w:val="0"/>
                <w:lang w:bidi="ar"/>
                <w14:textFill>
                  <w14:solidFill>
                    <w14:schemeClr w14:val="tx1"/>
                  </w14:solidFill>
                </w14:textFill>
              </w:rPr>
              <w:t>1.0mg/</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，对大气环境影响较小。</w:t>
            </w:r>
            <w:r>
              <w:rPr>
                <w:rFonts w:hint="eastAsia"/>
                <w:color w:val="000000" w:themeColor="text1"/>
                <w:kern w:val="0"/>
                <w:lang w:bidi="ar"/>
                <w14:textFill>
                  <w14:solidFill>
                    <w14:schemeClr w14:val="tx1"/>
                  </w14:solidFill>
                </w14:textFill>
              </w:rPr>
              <w:t>污染物均能达标排放，对环境的影响可以接受。</w:t>
            </w:r>
          </w:p>
          <w:p w14:paraId="6E56B182">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综上，项目采取的污染防治措施可行。</w:t>
            </w:r>
          </w:p>
          <w:p w14:paraId="0EE4C9DB">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3、地表水环境影响</w:t>
            </w:r>
          </w:p>
          <w:p w14:paraId="7A209352">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项目施工期废水主要为回填渗滤液、地表径流、施工废水、施工人员洗手废水。</w:t>
            </w:r>
          </w:p>
          <w:p w14:paraId="4EC0BCE8">
            <w:pPr>
              <w:widowControl/>
              <w:ind w:firstLine="482"/>
              <w:jc w:val="left"/>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bidi="ar"/>
                <w14:textFill>
                  <w14:solidFill>
                    <w14:schemeClr w14:val="tx1"/>
                  </w14:solidFill>
                </w14:textFill>
              </w:rPr>
              <w:t>）渗滤液产生量核算</w:t>
            </w:r>
          </w:p>
          <w:p w14:paraId="395F9A9C">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生态修复作业过程中，降雨时，雨水进入改性磷石膏基生态修复材料回填区会产生一定量的渗滤液。为降低改性磷石膏基生态修复材料堆填过程中渗滤液环境风险，本项目采用分层堆填方式开展改性磷石膏基生态修复材料堆填工作</w:t>
            </w:r>
            <w:r>
              <w:rPr>
                <w:rFonts w:hint="eastAsia"/>
                <w:color w:val="000000" w:themeColor="text1"/>
                <w:highlight w:val="none"/>
                <w:lang w:eastAsia="zh-CN"/>
                <w14:textFill>
                  <w14:solidFill>
                    <w14:schemeClr w14:val="tx1"/>
                  </w14:solidFill>
                </w14:textFill>
              </w:rPr>
              <w:t>。</w:t>
            </w:r>
          </w:p>
          <w:p w14:paraId="197E50AC">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根据项目实施方案，</w:t>
            </w:r>
            <w:r>
              <w:rPr>
                <w:rFonts w:hint="default" w:ascii="Times New Roman" w:hAnsi="Times New Roman" w:eastAsia="宋体" w:cs="Times New Roman"/>
                <w:color w:val="000000" w:themeColor="text1"/>
                <w:sz w:val="24"/>
                <w:szCs w:val="24"/>
                <w:highlight w:val="none"/>
                <w14:textFill>
                  <w14:solidFill>
                    <w14:schemeClr w14:val="tx1"/>
                  </w14:solidFill>
                </w14:textFill>
              </w:rPr>
              <w:t>采石场露天采场汇水面积为</w:t>
            </w:r>
            <w:r>
              <w:rPr>
                <w:rFonts w:hint="eastAsia" w:cs="Times New Roman"/>
                <w:color w:val="000000" w:themeColor="text1"/>
                <w:sz w:val="24"/>
                <w:szCs w:val="24"/>
                <w:highlight w:val="none"/>
                <w:lang w:val="en-US" w:eastAsia="zh-CN"/>
                <w14:textFill>
                  <w14:solidFill>
                    <w14:schemeClr w14:val="tx1"/>
                  </w14:solidFill>
                </w14:textFill>
              </w:rPr>
              <w:t>0.122</w:t>
            </w:r>
            <w:r>
              <w:rPr>
                <w:rFonts w:hint="default" w:ascii="Times New Roman" w:hAnsi="Times New Roman" w:eastAsia="宋体" w:cs="Times New Roman"/>
                <w:color w:val="000000" w:themeColor="text1"/>
                <w:sz w:val="24"/>
                <w:szCs w:val="24"/>
                <w:highlight w:val="none"/>
                <w14:textFill>
                  <w14:solidFill>
                    <w14:schemeClr w14:val="tx1"/>
                  </w14:solidFill>
                </w14:textFill>
              </w:rPr>
              <w:t>km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kern w:val="0"/>
                <w:highlight w:val="none"/>
                <w:lang w:bidi="ar"/>
                <w14:textFill>
                  <w14:solidFill>
                    <w14:schemeClr w14:val="tx1"/>
                  </w14:solidFill>
                </w14:textFill>
              </w:rPr>
              <w:t>按照不利原则，</w:t>
            </w:r>
            <w:r>
              <w:rPr>
                <w:rFonts w:hint="default" w:ascii="Times New Roman" w:hAnsi="Times New Roman" w:cs="Times New Roman"/>
                <w:color w:val="000000" w:themeColor="text1"/>
                <w:sz w:val="24"/>
                <w:highlight w:val="none"/>
                <w14:textFill>
                  <w14:solidFill>
                    <w14:schemeClr w14:val="tx1"/>
                  </w14:solidFill>
                </w14:textFill>
              </w:rPr>
              <w:t>采石场露天采场回填区汇水面积为</w:t>
            </w:r>
            <w:r>
              <w:rPr>
                <w:rFonts w:hint="eastAsia" w:cs="Times New Roman"/>
                <w:color w:val="000000" w:themeColor="text1"/>
                <w:kern w:val="0"/>
                <w:highlight w:val="none"/>
                <w:lang w:val="en-US" w:eastAsia="zh-CN" w:bidi="ar"/>
                <w14:textFill>
                  <w14:solidFill>
                    <w14:schemeClr w14:val="tx1"/>
                  </w14:solidFill>
                </w14:textFill>
              </w:rPr>
              <w:t>0.122</w:t>
            </w:r>
            <w:r>
              <w:rPr>
                <w:rFonts w:hint="default" w:ascii="Times New Roman" w:hAnsi="Times New Roman" w:cs="Times New Roman"/>
                <w:color w:val="000000" w:themeColor="text1"/>
                <w:sz w:val="24"/>
                <w:highlight w:val="none"/>
                <w14:textFill>
                  <w14:solidFill>
                    <w14:schemeClr w14:val="tx1"/>
                  </w14:solidFill>
                </w14:textFill>
              </w:rPr>
              <w:t>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kern w:val="0"/>
                <w:highlight w:val="none"/>
                <w:lang w:bidi="ar"/>
                <w14:textFill>
                  <w14:solidFill>
                    <w14:schemeClr w14:val="tx1"/>
                  </w14:solidFill>
                </w14:textFill>
              </w:rPr>
              <w:t>即蒸发面积取</w:t>
            </w:r>
            <w:r>
              <w:rPr>
                <w:rFonts w:hint="eastAsia" w:cs="Times New Roman"/>
                <w:color w:val="000000" w:themeColor="text1"/>
                <w:kern w:val="0"/>
                <w:highlight w:val="none"/>
                <w:lang w:val="en-US" w:eastAsia="zh-CN" w:bidi="ar"/>
                <w14:textFill>
                  <w14:solidFill>
                    <w14:schemeClr w14:val="tx1"/>
                  </w14:solidFill>
                </w14:textFill>
              </w:rPr>
              <w:t>0.122</w:t>
            </w:r>
            <w:r>
              <w:rPr>
                <w:rFonts w:hint="default" w:ascii="Times New Roman" w:hAnsi="Times New Roman" w:cs="Times New Roman"/>
                <w:color w:val="000000" w:themeColor="text1"/>
                <w:kern w:val="0"/>
                <w:highlight w:val="none"/>
                <w:lang w:bidi="ar"/>
                <w14:textFill>
                  <w14:solidFill>
                    <w14:schemeClr w14:val="tx1"/>
                  </w14:solidFill>
                </w14:textFill>
              </w:rPr>
              <w:t>km</w:t>
            </w:r>
            <w:r>
              <w:rPr>
                <w:rFonts w:hint="default" w:ascii="Times New Roman" w:hAnsi="Times New Roman" w:cs="Times New Roman"/>
                <w:color w:val="000000" w:themeColor="text1"/>
                <w:kern w:val="0"/>
                <w:highlight w:val="none"/>
                <w:vertAlign w:val="superscript"/>
                <w:lang w:bidi="ar"/>
                <w14:textFill>
                  <w14:solidFill>
                    <w14:schemeClr w14:val="tx1"/>
                  </w14:solidFill>
                </w14:textFill>
              </w:rPr>
              <w:t>2</w:t>
            </w:r>
            <w:r>
              <w:rPr>
                <w:rFonts w:hint="default" w:ascii="Times New Roman" w:hAnsi="Times New Roman" w:cs="Times New Roman"/>
                <w:color w:val="000000" w:themeColor="text1"/>
                <w:kern w:val="0"/>
                <w:highlight w:val="none"/>
                <w:lang w:eastAsia="zh-CN" w:bidi="ar"/>
                <w14:textFill>
                  <w14:solidFill>
                    <w14:schemeClr w14:val="tx1"/>
                  </w14:solidFill>
                </w14:textFill>
              </w:rPr>
              <w:t>；</w:t>
            </w:r>
          </w:p>
          <w:p w14:paraId="1C83C49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渗滤液产生量</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降雨量</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地表径流量-蒸发量</w:t>
            </w:r>
            <w:r>
              <w:rPr>
                <w:rFonts w:hint="eastAsia" w:ascii="宋体" w:hAnsi="宋体" w:cs="宋体"/>
                <w:color w:val="000000" w:themeColor="text1"/>
                <w:kern w:val="0"/>
                <w:lang w:bidi="ar"/>
                <w14:textFill>
                  <w14:solidFill>
                    <w14:schemeClr w14:val="tx1"/>
                  </w14:solidFill>
                </w14:textFill>
              </w:rPr>
              <w:t>-回填料饱和吸水量</w:t>
            </w:r>
            <w:r>
              <w:rPr>
                <w:rFonts w:hint="eastAsia"/>
                <w:color w:val="000000" w:themeColor="text1"/>
                <w:kern w:val="0"/>
                <w:lang w:bidi="ar"/>
                <w14:textFill>
                  <w14:solidFill>
                    <w14:schemeClr w14:val="tx1"/>
                  </w14:solidFill>
                </w14:textFill>
              </w:rPr>
              <w:t>。</w:t>
            </w:r>
          </w:p>
          <w:p w14:paraId="06196438">
            <w:pPr>
              <w:widowControl/>
              <w:ind w:firstLine="480"/>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①降雨量</w:t>
            </w:r>
          </w:p>
          <w:p w14:paraId="172674E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降雨量按下式进行计算：</w:t>
            </w:r>
          </w:p>
          <w:p w14:paraId="395EF950">
            <w:pPr>
              <w:widowControl/>
              <w:ind w:firstLine="0" w:firstLineChars="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Q＝F×H×1000</w:t>
            </w:r>
          </w:p>
          <w:p w14:paraId="0B8F4B88">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w:t>
            </w:r>
            <w:r>
              <w:rPr>
                <w:color w:val="000000" w:themeColor="text1"/>
                <w:kern w:val="0"/>
                <w:lang w:bidi="ar"/>
                <w14:textFill>
                  <w14:solidFill>
                    <w14:schemeClr w14:val="tx1"/>
                  </w14:solidFill>
                </w14:textFill>
              </w:rPr>
              <w:t>Q—</w:t>
            </w:r>
            <w:r>
              <w:rPr>
                <w:rFonts w:hint="eastAsia"/>
                <w:color w:val="000000" w:themeColor="text1"/>
                <w:kern w:val="0"/>
                <w:lang w:bidi="ar"/>
                <w14:textFill>
                  <w14:solidFill>
                    <w14:schemeClr w14:val="tx1"/>
                  </w14:solidFill>
                </w14:textFill>
              </w:rPr>
              <w:t>降水量，m³；</w:t>
            </w:r>
          </w:p>
          <w:p w14:paraId="13514F3D">
            <w:pPr>
              <w:widowControl/>
              <w:ind w:firstLine="1200" w:firstLineChars="5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F—</w:t>
            </w:r>
            <w:r>
              <w:rPr>
                <w:rFonts w:hint="eastAsia"/>
                <w:color w:val="000000" w:themeColor="text1"/>
                <w:kern w:val="0"/>
                <w:lang w:bidi="ar"/>
                <w14:textFill>
                  <w14:solidFill>
                    <w14:schemeClr w14:val="tx1"/>
                  </w14:solidFill>
                </w14:textFill>
              </w:rPr>
              <w:t>汇水面积，</w:t>
            </w:r>
            <w:r>
              <w:rPr>
                <w:color w:val="000000" w:themeColor="text1"/>
                <w:kern w:val="0"/>
                <w:lang w:bidi="ar"/>
                <w14:textFill>
                  <w14:solidFill>
                    <w14:schemeClr w14:val="tx1"/>
                  </w14:solidFill>
                </w14:textFill>
              </w:rPr>
              <w:t>km</w:t>
            </w:r>
            <w:r>
              <w:rPr>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31599ECB">
            <w:pPr>
              <w:widowControl/>
              <w:ind w:firstLine="1200" w:firstLineChars="5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H—</w:t>
            </w:r>
            <w:r>
              <w:rPr>
                <w:rFonts w:hint="eastAsia"/>
                <w:color w:val="000000" w:themeColor="text1"/>
                <w:kern w:val="0"/>
                <w:lang w:bidi="ar"/>
                <w14:textFill>
                  <w14:solidFill>
                    <w14:schemeClr w14:val="tx1"/>
                  </w14:solidFill>
                </w14:textFill>
              </w:rPr>
              <w:t>降水量，</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562D9E19">
            <w:pPr>
              <w:widowControl/>
              <w:ind w:firstLine="480"/>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②场地地表径流量</w:t>
            </w:r>
          </w:p>
          <w:p w14:paraId="2F170272">
            <w:pPr>
              <w:widowControl/>
              <w:ind w:firstLine="0" w:firstLineChars="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Qm＝C×H×F×1000</w:t>
            </w:r>
          </w:p>
          <w:p w14:paraId="20C58F55">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式中：Qm</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径流量；</w:t>
            </w:r>
          </w:p>
          <w:p w14:paraId="56186108">
            <w:pPr>
              <w:widowControl/>
              <w:ind w:firstLine="1200" w:firstLineChars="50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C</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集水区径流系数取值0.</w:t>
            </w:r>
            <w:r>
              <w:rPr>
                <w:rFonts w:hint="eastAsia"/>
                <w:color w:val="000000" w:themeColor="text1"/>
                <w:kern w:val="0"/>
                <w:lang w:val="en-US" w:eastAsia="zh-CN"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004F4FBE">
            <w:pPr>
              <w:widowControl/>
              <w:ind w:firstLine="1200" w:firstLineChars="50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H</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降雨量，</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7DB2EBB6">
            <w:pPr>
              <w:widowControl/>
              <w:ind w:firstLine="1200" w:firstLineChars="50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F—汇水面积km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54098E18">
            <w:pPr>
              <w:widowControl/>
              <w:ind w:firstLine="480"/>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③蒸发量</w:t>
            </w:r>
          </w:p>
          <w:p w14:paraId="0D9D0304">
            <w:pPr>
              <w:widowControl/>
              <w:ind w:firstLine="480"/>
              <w:jc w:val="left"/>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根据相关数据可知，寻甸县2018—2022年降雨量最多的月份集中在7月、8月。7月最大</w:t>
            </w:r>
            <w:r>
              <w:rPr>
                <w:rFonts w:hint="eastAsia" w:ascii="宋体" w:hAnsi="宋体" w:cs="宋体"/>
                <w:color w:val="000000" w:themeColor="text1"/>
                <w:kern w:val="0"/>
                <w:lang w:bidi="ar"/>
                <w14:textFill>
                  <w14:solidFill>
                    <w14:schemeClr w14:val="tx1"/>
                  </w14:solidFill>
                </w14:textFill>
              </w:rPr>
              <w:t>降雨量为</w:t>
            </w:r>
            <w:r>
              <w:rPr>
                <w:rFonts w:hint="eastAsia"/>
                <w:color w:val="000000" w:themeColor="text1"/>
                <w:kern w:val="0"/>
                <w:lang w:bidi="ar"/>
                <w14:textFill>
                  <w14:solidFill>
                    <w14:schemeClr w14:val="tx1"/>
                  </w14:solidFill>
                </w14:textFill>
              </w:rPr>
              <w:t>205</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，8月最大降雨量197</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，7月蒸发量157.8mm，8月蒸发量153.9</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5B897131">
            <w:pPr>
              <w:spacing w:line="24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表4-1  寻甸县2018-2022年降雨量数据  单位：mm</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418"/>
              <w:gridCol w:w="1404"/>
              <w:gridCol w:w="1401"/>
              <w:gridCol w:w="1509"/>
              <w:gridCol w:w="1414"/>
            </w:tblGrid>
            <w:tr w14:paraId="3CE5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2C83C3E">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月份</w:t>
                  </w:r>
                </w:p>
              </w:tc>
              <w:tc>
                <w:tcPr>
                  <w:tcW w:w="906" w:type="pct"/>
                  <w:vAlign w:val="center"/>
                </w:tcPr>
                <w:p w14:paraId="16BBEF64">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2018年</w:t>
                  </w:r>
                </w:p>
              </w:tc>
              <w:tc>
                <w:tcPr>
                  <w:tcW w:w="897" w:type="pct"/>
                  <w:vAlign w:val="center"/>
                </w:tcPr>
                <w:p w14:paraId="42DB9323">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2019年</w:t>
                  </w:r>
                </w:p>
              </w:tc>
              <w:tc>
                <w:tcPr>
                  <w:tcW w:w="895" w:type="pct"/>
                  <w:vAlign w:val="center"/>
                </w:tcPr>
                <w:p w14:paraId="7CA88E50">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2020年</w:t>
                  </w:r>
                </w:p>
              </w:tc>
              <w:tc>
                <w:tcPr>
                  <w:tcW w:w="964" w:type="pct"/>
                  <w:vAlign w:val="center"/>
                </w:tcPr>
                <w:p w14:paraId="696882C7">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2021年</w:t>
                  </w:r>
                </w:p>
              </w:tc>
              <w:tc>
                <w:tcPr>
                  <w:tcW w:w="903" w:type="pct"/>
                  <w:vAlign w:val="center"/>
                </w:tcPr>
                <w:p w14:paraId="696E05E6">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2022年</w:t>
                  </w:r>
                </w:p>
              </w:tc>
            </w:tr>
            <w:tr w14:paraId="7350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202B936">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7月</w:t>
                  </w:r>
                </w:p>
              </w:tc>
              <w:tc>
                <w:tcPr>
                  <w:tcW w:w="1423" w:type="dxa"/>
                  <w:vAlign w:val="center"/>
                </w:tcPr>
                <w:p w14:paraId="7D88203C">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153.5</w:t>
                  </w:r>
                </w:p>
              </w:tc>
              <w:tc>
                <w:tcPr>
                  <w:tcW w:w="1408" w:type="dxa"/>
                  <w:vAlign w:val="center"/>
                </w:tcPr>
                <w:p w14:paraId="6A4992E8">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205</w:t>
                  </w:r>
                </w:p>
              </w:tc>
              <w:tc>
                <w:tcPr>
                  <w:tcW w:w="1405" w:type="dxa"/>
                  <w:vAlign w:val="center"/>
                </w:tcPr>
                <w:p w14:paraId="2395CAE4">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66</w:t>
                  </w:r>
                </w:p>
              </w:tc>
              <w:tc>
                <w:tcPr>
                  <w:tcW w:w="1514" w:type="dxa"/>
                  <w:vAlign w:val="center"/>
                </w:tcPr>
                <w:p w14:paraId="449542ED">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197</w:t>
                  </w:r>
                </w:p>
              </w:tc>
              <w:tc>
                <w:tcPr>
                  <w:tcW w:w="1418" w:type="dxa"/>
                  <w:vAlign w:val="center"/>
                </w:tcPr>
                <w:p w14:paraId="2D355D7C">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107</w:t>
                  </w:r>
                </w:p>
              </w:tc>
            </w:tr>
            <w:tr w14:paraId="547A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630D6438">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8月</w:t>
                  </w:r>
                </w:p>
              </w:tc>
              <w:tc>
                <w:tcPr>
                  <w:tcW w:w="1423" w:type="dxa"/>
                  <w:vAlign w:val="center"/>
                </w:tcPr>
                <w:p w14:paraId="13CAA25F">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180.5</w:t>
                  </w:r>
                </w:p>
              </w:tc>
              <w:tc>
                <w:tcPr>
                  <w:tcW w:w="1408" w:type="dxa"/>
                  <w:vAlign w:val="center"/>
                </w:tcPr>
                <w:p w14:paraId="5FC3CACF">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165.5</w:t>
                  </w:r>
                </w:p>
              </w:tc>
              <w:tc>
                <w:tcPr>
                  <w:tcW w:w="1405" w:type="dxa"/>
                  <w:vAlign w:val="center"/>
                </w:tcPr>
                <w:p w14:paraId="75485F28">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74.5</w:t>
                  </w:r>
                </w:p>
              </w:tc>
              <w:tc>
                <w:tcPr>
                  <w:tcW w:w="1514" w:type="dxa"/>
                  <w:vAlign w:val="center"/>
                </w:tcPr>
                <w:p w14:paraId="74777A50">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78.5</w:t>
                  </w:r>
                </w:p>
              </w:tc>
              <w:tc>
                <w:tcPr>
                  <w:tcW w:w="1418" w:type="dxa"/>
                  <w:vAlign w:val="center"/>
                </w:tcPr>
                <w:p w14:paraId="269C47C6">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197</w:t>
                  </w:r>
                </w:p>
              </w:tc>
            </w:tr>
          </w:tbl>
          <w:p w14:paraId="71518011">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蒸发量按下式进行计算：</w:t>
            </w:r>
          </w:p>
          <w:p w14:paraId="5EAAFD8A">
            <w:pPr>
              <w:widowControl/>
              <w:ind w:firstLine="48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Q</w:t>
            </w:r>
            <w:r>
              <w:rPr>
                <w:rFonts w:hint="eastAsia"/>
                <w:color w:val="000000" w:themeColor="text1"/>
                <w:kern w:val="0"/>
                <w:vertAlign w:val="subscript"/>
                <w:lang w:bidi="ar"/>
                <w14:textFill>
                  <w14:solidFill>
                    <w14:schemeClr w14:val="tx1"/>
                  </w14:solidFill>
                </w14:textFill>
              </w:rPr>
              <w:t>y</w:t>
            </w:r>
            <w:r>
              <w:rPr>
                <w:rFonts w:hint="eastAsia"/>
                <w:color w:val="000000" w:themeColor="text1"/>
                <w:kern w:val="0"/>
                <w:lang w:bidi="ar"/>
                <w14:textFill>
                  <w14:solidFill>
                    <w14:schemeClr w14:val="tx1"/>
                  </w14:solidFill>
                </w14:textFill>
              </w:rPr>
              <w:t>＝F</w:t>
            </w:r>
            <w:r>
              <w:rPr>
                <w:rFonts w:hint="eastAsia"/>
                <w:color w:val="000000" w:themeColor="text1"/>
                <w:kern w:val="0"/>
                <w:vertAlign w:val="subscript"/>
                <w:lang w:bidi="ar"/>
                <w14:textFill>
                  <w14:solidFill>
                    <w14:schemeClr w14:val="tx1"/>
                  </w14:solidFill>
                </w14:textFill>
              </w:rPr>
              <w:t>y</w:t>
            </w:r>
            <w:r>
              <w:rPr>
                <w:rFonts w:hint="eastAsia"/>
                <w:color w:val="000000" w:themeColor="text1"/>
                <w:kern w:val="0"/>
                <w:lang w:bidi="ar"/>
                <w14:textFill>
                  <w14:solidFill>
                    <w14:schemeClr w14:val="tx1"/>
                  </w14:solidFill>
                </w14:textFill>
              </w:rPr>
              <w:t>×H</w:t>
            </w:r>
            <w:r>
              <w:rPr>
                <w:rFonts w:hint="eastAsia"/>
                <w:color w:val="000000" w:themeColor="text1"/>
                <w:kern w:val="0"/>
                <w:vertAlign w:val="subscript"/>
                <w:lang w:bidi="ar"/>
                <w14:textFill>
                  <w14:solidFill>
                    <w14:schemeClr w14:val="tx1"/>
                  </w14:solidFill>
                </w14:textFill>
              </w:rPr>
              <w:t>y</w:t>
            </w:r>
            <w:r>
              <w:rPr>
                <w:rFonts w:hint="eastAsia"/>
                <w:color w:val="000000" w:themeColor="text1"/>
                <w:kern w:val="0"/>
                <w:lang w:bidi="ar"/>
                <w14:textFill>
                  <w14:solidFill>
                    <w14:schemeClr w14:val="tx1"/>
                  </w14:solidFill>
                </w14:textFill>
              </w:rPr>
              <w:t>×y×1000</w:t>
            </w:r>
          </w:p>
          <w:p w14:paraId="60CD9097">
            <w:pPr>
              <w:widowControl/>
              <w:ind w:firstLine="480"/>
              <w:jc w:val="left"/>
              <w:rPr>
                <w:rFonts w:hint="default" w:ascii="Times New Roman" w:hAnsi="Times New Roman" w:cs="Times New Roman"/>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式中：Q</w:t>
            </w:r>
            <w:r>
              <w:rPr>
                <w:rFonts w:hint="eastAsia"/>
                <w:color w:val="000000" w:themeColor="text1"/>
                <w:kern w:val="0"/>
                <w:vertAlign w:val="subscript"/>
                <w:lang w:bidi="ar"/>
                <w14:textFill>
                  <w14:solidFill>
                    <w14:schemeClr w14:val="tx1"/>
                  </w14:solidFill>
                </w14:textFill>
              </w:rPr>
              <w:t>y</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蒸发量，</w:t>
            </w:r>
            <w:r>
              <w:rPr>
                <w:rFonts w:hint="default" w:ascii="Times New Roman" w:hAnsi="Times New Roman" w:cs="Times New Roman"/>
                <w:color w:val="000000" w:themeColor="text1"/>
                <w:kern w:val="0"/>
                <w:lang w:bidi="ar"/>
                <w14:textFill>
                  <w14:solidFill>
                    <w14:schemeClr w14:val="tx1"/>
                  </w14:solidFill>
                </w14:textFill>
              </w:rPr>
              <w:t>m</w:t>
            </w:r>
            <w:r>
              <w:rPr>
                <w:rFonts w:hint="eastAsia" w:ascii="Times New Roman" w:hAnsi="Times New Roman" w:cs="Times New Roman"/>
                <w:color w:val="000000" w:themeColor="text1"/>
                <w:kern w:val="0"/>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lang w:bidi="ar"/>
                <w14:textFill>
                  <w14:solidFill>
                    <w14:schemeClr w14:val="tx1"/>
                  </w14:solidFill>
                </w14:textFill>
              </w:rPr>
              <w:t>；</w:t>
            </w:r>
          </w:p>
          <w:p w14:paraId="4930DB8E">
            <w:pPr>
              <w:widowControl/>
              <w:ind w:firstLine="1200" w:firstLineChars="5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F</w:t>
            </w:r>
            <w:r>
              <w:rPr>
                <w:rFonts w:hint="default" w:ascii="Times New Roman" w:hAnsi="Times New Roman" w:cs="Times New Roman"/>
                <w:color w:val="000000" w:themeColor="text1"/>
                <w:kern w:val="0"/>
                <w:vertAlign w:val="subscript"/>
                <w:lang w:bidi="ar"/>
                <w14:textFill>
                  <w14:solidFill>
                    <w14:schemeClr w14:val="tx1"/>
                  </w14:solidFill>
                </w14:textFill>
              </w:rPr>
              <w:t>y</w:t>
            </w:r>
            <w:r>
              <w:rPr>
                <w:rFonts w:hint="default" w:ascii="Times New Roman" w:hAnsi="Times New Roman" w:cs="Times New Roman"/>
                <w:color w:val="000000" w:themeColor="text1"/>
                <w:kern w:val="0"/>
                <w:lang w:bidi="ar"/>
                <w14:textFill>
                  <w14:solidFill>
                    <w14:schemeClr w14:val="tx1"/>
                  </w14:solidFill>
                </w14:textFill>
              </w:rPr>
              <w:t>—蒸发面积，km</w:t>
            </w:r>
            <w:r>
              <w:rPr>
                <w:rFonts w:hint="default" w:ascii="Times New Roman" w:hAnsi="Times New Roman" w:cs="Times New Roman"/>
                <w:color w:val="000000" w:themeColor="text1"/>
                <w:kern w:val="0"/>
                <w:vertAlign w:val="superscript"/>
                <w:lang w:bidi="ar"/>
                <w14:textFill>
                  <w14:solidFill>
                    <w14:schemeClr w14:val="tx1"/>
                  </w14:solidFill>
                </w14:textFill>
              </w:rPr>
              <w:t>2</w:t>
            </w:r>
            <w:r>
              <w:rPr>
                <w:rFonts w:hint="default" w:ascii="Times New Roman" w:hAnsi="Times New Roman" w:cs="Times New Roman"/>
                <w:color w:val="000000" w:themeColor="text1"/>
                <w:kern w:val="0"/>
                <w:lang w:bidi="ar"/>
                <w14:textFill>
                  <w14:solidFill>
                    <w14:schemeClr w14:val="tx1"/>
                  </w14:solidFill>
                </w14:textFill>
              </w:rPr>
              <w:t>；</w:t>
            </w:r>
          </w:p>
          <w:p w14:paraId="7263A33C">
            <w:pPr>
              <w:widowControl/>
              <w:ind w:firstLine="1200" w:firstLineChars="50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H</w:t>
            </w:r>
            <w:r>
              <w:rPr>
                <w:rFonts w:hint="eastAsia"/>
                <w:color w:val="000000" w:themeColor="text1"/>
                <w:kern w:val="0"/>
                <w:vertAlign w:val="subscript"/>
                <w:lang w:bidi="ar"/>
                <w14:textFill>
                  <w14:solidFill>
                    <w14:schemeClr w14:val="tx1"/>
                  </w14:solidFill>
                </w14:textFill>
              </w:rPr>
              <w:t>y</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蒸发量，</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737A2E07">
            <w:pPr>
              <w:widowControl/>
              <w:ind w:firstLine="1200" w:firstLineChars="5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y</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陆地蒸发系数，0.85；</w:t>
            </w:r>
          </w:p>
          <w:p w14:paraId="6BC5DC80">
            <w:pPr>
              <w:widowControl/>
              <w:ind w:firstLine="480"/>
              <w:jc w:val="left"/>
              <w:rPr>
                <w:rFonts w:hint="eastAsia"/>
                <w:color w:val="000000" w:themeColor="text1"/>
                <w:kern w:val="0"/>
                <w:highlight w:val="none"/>
                <w:vertAlign w:val="superscript"/>
                <w:lang w:eastAsia="zh-CN"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根据计算可知，</w:t>
            </w:r>
            <w:r>
              <w:rPr>
                <w:rFonts w:hint="default" w:ascii="Times New Roman" w:hAnsi="Times New Roman" w:cs="Times New Roman"/>
                <w:color w:val="000000" w:themeColor="text1"/>
                <w:sz w:val="24"/>
                <w:highlight w:val="none"/>
                <w14:textFill>
                  <w14:solidFill>
                    <w14:schemeClr w14:val="tx1"/>
                  </w14:solidFill>
                </w14:textFill>
              </w:rPr>
              <w:t>采石场露天采场回填区</w:t>
            </w:r>
            <w:r>
              <w:rPr>
                <w:rFonts w:hint="eastAsia"/>
                <w:color w:val="000000" w:themeColor="text1"/>
                <w:kern w:val="0"/>
                <w:highlight w:val="none"/>
                <w:lang w:bidi="ar"/>
                <w14:textFill>
                  <w14:solidFill>
                    <w14:schemeClr w14:val="tx1"/>
                  </w14:solidFill>
                </w14:textFill>
              </w:rPr>
              <w:t>7、8月份降雨量分别为</w:t>
            </w:r>
            <w:r>
              <w:rPr>
                <w:rFonts w:hint="eastAsia"/>
                <w:color w:val="000000" w:themeColor="text1"/>
                <w:kern w:val="0"/>
                <w:highlight w:val="none"/>
                <w:lang w:val="en-US" w:eastAsia="zh-CN" w:bidi="ar"/>
                <w14:textFill>
                  <w14:solidFill>
                    <w14:schemeClr w14:val="tx1"/>
                  </w14:solidFill>
                </w14:textFill>
              </w:rPr>
              <w:t>25010</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w:t>
            </w:r>
            <w:r>
              <w:rPr>
                <w:rFonts w:hint="eastAsia"/>
                <w:color w:val="000000" w:themeColor="text1"/>
                <w:kern w:val="0"/>
                <w:highlight w:val="none"/>
                <w:lang w:val="en-US" w:eastAsia="zh-CN" w:bidi="ar"/>
                <w14:textFill>
                  <w14:solidFill>
                    <w14:schemeClr w14:val="tx1"/>
                  </w14:solidFill>
                </w14:textFill>
              </w:rPr>
              <w:t>24034</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，减去降雨产生的地表径流量7月份为</w:t>
            </w:r>
            <w:r>
              <w:rPr>
                <w:rFonts w:hint="eastAsia"/>
                <w:color w:val="000000" w:themeColor="text1"/>
                <w:kern w:val="0"/>
                <w:highlight w:val="none"/>
                <w:lang w:val="en-US" w:eastAsia="zh-CN" w:bidi="ar"/>
                <w14:textFill>
                  <w14:solidFill>
                    <w14:schemeClr w14:val="tx1"/>
                  </w14:solidFill>
                </w14:textFill>
              </w:rPr>
              <w:t>5002</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、8月份为</w:t>
            </w:r>
            <w:r>
              <w:rPr>
                <w:rFonts w:hint="eastAsia"/>
                <w:color w:val="000000" w:themeColor="text1"/>
                <w:kern w:val="0"/>
                <w:highlight w:val="none"/>
                <w:lang w:val="en-US" w:eastAsia="zh-CN" w:bidi="ar"/>
                <w14:textFill>
                  <w14:solidFill>
                    <w14:schemeClr w14:val="tx1"/>
                  </w14:solidFill>
                </w14:textFill>
              </w:rPr>
              <w:t>4806.8</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，渗到回填区水量的蒸发量为7月份</w:t>
            </w:r>
            <w:r>
              <w:rPr>
                <w:rFonts w:hint="eastAsia"/>
                <w:color w:val="000000" w:themeColor="text1"/>
                <w:kern w:val="0"/>
                <w:highlight w:val="none"/>
                <w:lang w:val="en-US" w:eastAsia="zh-CN" w:bidi="ar"/>
                <w14:textFill>
                  <w14:solidFill>
                    <w14:schemeClr w14:val="tx1"/>
                  </w14:solidFill>
                </w14:textFill>
              </w:rPr>
              <w:t>16363.86</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，8月份为</w:t>
            </w:r>
            <w:r>
              <w:rPr>
                <w:rFonts w:hint="eastAsia"/>
                <w:color w:val="000000" w:themeColor="text1"/>
                <w:kern w:val="0"/>
                <w:highlight w:val="none"/>
                <w:lang w:val="en-US" w:eastAsia="zh-CN" w:bidi="ar"/>
                <w14:textFill>
                  <w14:solidFill>
                    <w14:schemeClr w14:val="tx1"/>
                  </w14:solidFill>
                </w14:textFill>
              </w:rPr>
              <w:t>15959.43</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vertAlign w:val="baseline"/>
                <w:lang w:eastAsia="zh-CN" w:bidi="ar"/>
                <w14:textFill>
                  <w14:solidFill>
                    <w14:schemeClr w14:val="tx1"/>
                  </w14:solidFill>
                </w14:textFill>
              </w:rPr>
              <w:t>。</w:t>
            </w:r>
          </w:p>
          <w:p w14:paraId="355A71DC">
            <w:pPr>
              <w:widowControl/>
              <w:ind w:firstLine="480"/>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④回填料饱和吸水量</w:t>
            </w:r>
          </w:p>
          <w:p w14:paraId="69CED565">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本项目以改性磷石膏作为回填料，改性磷石膏经压滤并在暂存场熟化后的含水率可控制在20</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以下，入场改性磷石膏基生态修复材料的含水率要求不大于20</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，改性磷石膏基生态修复材料饱和含水率在25-30%左右。项目回填材料的含水率按20%，容重按</w:t>
            </w:r>
            <w:r>
              <w:rPr>
                <w:rFonts w:hint="eastAsia"/>
                <w:color w:val="000000" w:themeColor="text1"/>
                <w:highlight w:val="none"/>
                <w:lang w:val="en-US" w:eastAsia="zh-CN"/>
                <w14:textFill>
                  <w14:solidFill>
                    <w14:schemeClr w14:val="tx1"/>
                  </w14:solidFill>
                </w14:textFill>
              </w:rPr>
              <w:t>850</w:t>
            </w:r>
            <w:r>
              <w:rPr>
                <w:color w:val="000000" w:themeColor="text1"/>
                <w:highlight w:val="none"/>
                <w14:textFill>
                  <w14:solidFill>
                    <w14:schemeClr w14:val="tx1"/>
                  </w14:solidFill>
                </w14:textFill>
              </w:rPr>
              <w:t>kg/</w:t>
            </w:r>
            <w:r>
              <w:rPr>
                <w:rFonts w:hint="eastAsia"/>
                <w:color w:val="000000" w:themeColor="text1"/>
                <w:highlight w:val="none"/>
                <w14:textFill>
                  <w14:solidFill>
                    <w14:schemeClr w14:val="tx1"/>
                  </w14:solidFill>
                </w14:textFill>
              </w:rPr>
              <w:t>m³</w:t>
            </w:r>
            <w:r>
              <w:rPr>
                <w:rFonts w:hint="eastAsia"/>
                <w:color w:val="000000" w:themeColor="text1"/>
                <w:kern w:val="0"/>
                <w:lang w:bidi="ar"/>
                <w14:textFill>
                  <w14:solidFill>
                    <w14:schemeClr w14:val="tx1"/>
                  </w14:solidFill>
                </w14:textFill>
              </w:rPr>
              <w:t>，饱和含水率按25%作为渗滤液计算条件，则回填料饱和吸水量=回填量×（饱和含水率-入场含水率）。</w:t>
            </w:r>
          </w:p>
          <w:p w14:paraId="0E031F31">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kern w:val="0"/>
                <w:lang w:bidi="ar"/>
                <w14:textFill>
                  <w14:solidFill>
                    <w14:schemeClr w14:val="tx1"/>
                  </w14:solidFill>
                </w14:textFill>
              </w:rPr>
              <w:t>本次评估以生态修复区底部完全铺满改性磷石膏基生态修复材料，且改性磷石膏基生态修复材料回填厚度</w:t>
            </w:r>
            <w:r>
              <w:rPr>
                <w:color w:val="000000" w:themeColor="text1"/>
                <w:kern w:val="0"/>
                <w:lang w:bidi="ar"/>
                <w14:textFill>
                  <w14:solidFill>
                    <w14:schemeClr w14:val="tx1"/>
                  </w14:solidFill>
                </w14:textFill>
              </w:rPr>
              <w:t>1m</w:t>
            </w:r>
            <w:r>
              <w:rPr>
                <w:rFonts w:hint="eastAsia"/>
                <w:color w:val="000000" w:themeColor="text1"/>
                <w:kern w:val="0"/>
                <w:lang w:bidi="ar"/>
                <w14:textFill>
                  <w14:solidFill>
                    <w14:schemeClr w14:val="tx1"/>
                  </w14:solidFill>
                </w14:textFill>
              </w:rPr>
              <w:t>时，作为计算渗滤液产生量条件。此时，无害化处理后改性磷石膏基生态修复材料回填量约</w:t>
            </w:r>
            <w:r>
              <w:rPr>
                <w:rFonts w:hint="eastAsia"/>
                <w:color w:val="000000" w:themeColor="text1"/>
                <w:highlight w:val="none"/>
                <w:lang w:val="en-US" w:eastAsia="zh-CN"/>
                <w14:textFill>
                  <w14:solidFill>
                    <w14:schemeClr w14:val="tx1"/>
                  </w14:solidFill>
                </w14:textFill>
              </w:rPr>
              <w:t>63132</w:t>
            </w:r>
            <w:r>
              <w:rPr>
                <w:rFonts w:hint="eastAsia"/>
                <w:color w:val="000000" w:themeColor="text1"/>
                <w:highlight w:val="none"/>
                <w14:textFill>
                  <w14:solidFill>
                    <w14:schemeClr w14:val="tx1"/>
                  </w14:solidFill>
                </w14:textFill>
              </w:rPr>
              <w:t>m³</w:t>
            </w:r>
            <w:r>
              <w:rPr>
                <w:rFonts w:hint="eastAsia"/>
                <w:color w:val="000000" w:themeColor="text1"/>
                <w:kern w:val="0"/>
                <w:lang w:bidi="ar"/>
                <w14:textFill>
                  <w14:solidFill>
                    <w14:schemeClr w14:val="tx1"/>
                  </w14:solidFill>
                </w14:textFill>
              </w:rPr>
              <w:t>，</w:t>
            </w:r>
            <w:r>
              <w:rPr>
                <w:rFonts w:hint="eastAsia"/>
                <w:color w:val="000000" w:themeColor="text1"/>
                <w:highlight w:val="none"/>
                <w14:textFill>
                  <w14:solidFill>
                    <w14:schemeClr w14:val="tx1"/>
                  </w14:solidFill>
                </w14:textFill>
              </w:rPr>
              <w:t>约</w:t>
            </w:r>
            <w:r>
              <w:rPr>
                <w:rFonts w:hint="eastAsia"/>
                <w:color w:val="000000" w:themeColor="text1"/>
                <w:highlight w:val="none"/>
                <w:lang w:val="en-US" w:eastAsia="zh-CN"/>
                <w14:textFill>
                  <w14:solidFill>
                    <w14:schemeClr w14:val="tx1"/>
                  </w14:solidFill>
                </w14:textFill>
              </w:rPr>
              <w:t>53662</w:t>
            </w:r>
            <w:r>
              <w:rPr>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，则改性磷石膏基生态修复材料饱和吸水量为</w:t>
            </w:r>
            <w:r>
              <w:rPr>
                <w:rFonts w:hint="eastAsia"/>
                <w:color w:val="000000" w:themeColor="text1"/>
                <w:highlight w:val="none"/>
                <w:lang w:val="en-US" w:eastAsia="zh-CN"/>
                <w14:textFill>
                  <w14:solidFill>
                    <w14:schemeClr w14:val="tx1"/>
                  </w14:solidFill>
                </w14:textFill>
              </w:rPr>
              <w:t>2683.11</w:t>
            </w:r>
            <w:r>
              <w:rPr>
                <w:rFonts w:hint="eastAsia"/>
                <w:color w:val="000000" w:themeColor="text1"/>
                <w:highlight w:val="none"/>
                <w14:textFill>
                  <w14:solidFill>
                    <w14:schemeClr w14:val="tx1"/>
                  </w14:solidFill>
                </w14:textFill>
              </w:rPr>
              <w:t>m³</w:t>
            </w:r>
            <w:r>
              <w:rPr>
                <w:rFonts w:hint="eastAsia"/>
                <w:color w:val="000000" w:themeColor="text1"/>
                <w:highlight w:val="none"/>
                <w:lang w:eastAsia="zh-CN"/>
                <w14:textFill>
                  <w14:solidFill>
                    <w14:schemeClr w14:val="tx1"/>
                  </w14:solidFill>
                </w14:textFill>
              </w:rPr>
              <w:t>。</w:t>
            </w:r>
          </w:p>
          <w:p w14:paraId="4DD2B6A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渗滤液量按</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月、8月渗滤液量计算，近几年</w:t>
            </w:r>
            <w:r>
              <w:rPr>
                <w:color w:val="000000" w:themeColor="text1"/>
                <w:kern w:val="0"/>
                <w:lang w:bidi="ar"/>
                <w14:textFill>
                  <w14:solidFill>
                    <w14:schemeClr w14:val="tx1"/>
                  </w14:solidFill>
                </w14:textFill>
              </w:rPr>
              <w:t>7</w:t>
            </w:r>
            <w:r>
              <w:rPr>
                <w:rFonts w:hint="eastAsia"/>
                <w:color w:val="000000" w:themeColor="text1"/>
                <w:kern w:val="0"/>
                <w:lang w:bidi="ar"/>
                <w14:textFill>
                  <w14:solidFill>
                    <w14:schemeClr w14:val="tx1"/>
                  </w14:solidFill>
                </w14:textFill>
              </w:rPr>
              <w:t>月降雨天数约为19天、8月份降雨天数约为23天，7、8月份降雨天数约为42天。</w:t>
            </w:r>
            <w:r>
              <w:rPr>
                <w:rFonts w:hint="eastAsia"/>
                <w:color w:val="000000" w:themeColor="text1"/>
                <w14:textFill>
                  <w14:solidFill>
                    <w14:schemeClr w14:val="tx1"/>
                  </w14:solidFill>
                </w14:textFill>
              </w:rPr>
              <w:t>则回填修复区产生渗滤液量见下表。</w:t>
            </w:r>
          </w:p>
          <w:p w14:paraId="27B5C411">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表4-2</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 xml:space="preserve"> 矿坑回填渗滤液计算结果</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043"/>
              <w:gridCol w:w="1177"/>
              <w:gridCol w:w="1174"/>
              <w:gridCol w:w="1266"/>
              <w:gridCol w:w="1266"/>
              <w:gridCol w:w="1188"/>
            </w:tblGrid>
            <w:tr w14:paraId="6745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032F77C7">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月份</w:t>
                  </w:r>
                </w:p>
              </w:tc>
              <w:tc>
                <w:tcPr>
                  <w:tcW w:w="667" w:type="pct"/>
                  <w:vAlign w:val="center"/>
                </w:tcPr>
                <w:p w14:paraId="4F12B83A">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修复区内降雨量（m</w:t>
                  </w:r>
                  <w:r>
                    <w:rPr>
                      <w:rFonts w:hint="eastAsia" w:ascii="Times New Roman"/>
                      <w:b/>
                      <w:bCs/>
                      <w:color w:val="000000" w:themeColor="text1"/>
                      <w:sz w:val="21"/>
                      <w:vertAlign w:val="superscript"/>
                      <w14:textFill>
                        <w14:solidFill>
                          <w14:schemeClr w14:val="tx1"/>
                        </w14:solidFill>
                      </w14:textFill>
                    </w:rPr>
                    <w:t>3</w:t>
                  </w:r>
                  <w:r>
                    <w:rPr>
                      <w:rFonts w:hint="eastAsia" w:ascii="Times New Roman"/>
                      <w:b/>
                      <w:bCs/>
                      <w:color w:val="000000" w:themeColor="text1"/>
                      <w:sz w:val="21"/>
                      <w14:textFill>
                        <w14:solidFill>
                          <w14:schemeClr w14:val="tx1"/>
                        </w14:solidFill>
                      </w14:textFill>
                    </w:rPr>
                    <w:t>）</w:t>
                  </w:r>
                </w:p>
              </w:tc>
              <w:tc>
                <w:tcPr>
                  <w:tcW w:w="752" w:type="pct"/>
                  <w:vAlign w:val="center"/>
                </w:tcPr>
                <w:p w14:paraId="1C3265FC">
                  <w:pPr>
                    <w:pStyle w:val="64"/>
                    <w:spacing w:before="24" w:after="24" w:line="240" w:lineRule="auto"/>
                    <w:ind w:firstLine="0" w:firstLineChars="0"/>
                    <w:jc w:val="both"/>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修复区地表径流（m</w:t>
                  </w:r>
                  <w:r>
                    <w:rPr>
                      <w:rFonts w:hint="eastAsia" w:ascii="Times New Roman"/>
                      <w:b/>
                      <w:bCs/>
                      <w:color w:val="000000" w:themeColor="text1"/>
                      <w:sz w:val="21"/>
                      <w:vertAlign w:val="superscript"/>
                      <w14:textFill>
                        <w14:solidFill>
                          <w14:schemeClr w14:val="tx1"/>
                        </w14:solidFill>
                      </w14:textFill>
                    </w:rPr>
                    <w:t>3</w:t>
                  </w:r>
                  <w:r>
                    <w:rPr>
                      <w:rFonts w:hint="eastAsia" w:ascii="Times New Roman"/>
                      <w:b/>
                      <w:bCs/>
                      <w:color w:val="000000" w:themeColor="text1"/>
                      <w:sz w:val="21"/>
                      <w14:textFill>
                        <w14:solidFill>
                          <w14:schemeClr w14:val="tx1"/>
                        </w14:solidFill>
                      </w14:textFill>
                    </w:rPr>
                    <w:t>）</w:t>
                  </w:r>
                </w:p>
              </w:tc>
              <w:tc>
                <w:tcPr>
                  <w:tcW w:w="750" w:type="pct"/>
                  <w:vAlign w:val="center"/>
                </w:tcPr>
                <w:p w14:paraId="547F4804">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修复区蒸发量（m³）</w:t>
                  </w:r>
                </w:p>
              </w:tc>
              <w:tc>
                <w:tcPr>
                  <w:tcW w:w="809" w:type="pct"/>
                  <w:vAlign w:val="center"/>
                </w:tcPr>
                <w:p w14:paraId="31FAA8A1">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回填料饱和吸水量（m³）</w:t>
                  </w:r>
                </w:p>
              </w:tc>
              <w:tc>
                <w:tcPr>
                  <w:tcW w:w="809" w:type="pct"/>
                  <w:vAlign w:val="center"/>
                </w:tcPr>
                <w:p w14:paraId="782406E5">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渗滤液产生量（m³/a）</w:t>
                  </w:r>
                </w:p>
              </w:tc>
              <w:tc>
                <w:tcPr>
                  <w:tcW w:w="759" w:type="pct"/>
                  <w:vAlign w:val="center"/>
                </w:tcPr>
                <w:p w14:paraId="19297A4D">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渗滤液日均产生量（m³/d）</w:t>
                  </w:r>
                </w:p>
              </w:tc>
            </w:tr>
            <w:tr w14:paraId="777D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7520E37A">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7月</w:t>
                  </w:r>
                </w:p>
              </w:tc>
              <w:tc>
                <w:tcPr>
                  <w:tcW w:w="1044" w:type="dxa"/>
                  <w:vAlign w:val="center"/>
                </w:tcPr>
                <w:p w14:paraId="09C3BCA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25010</w:t>
                  </w:r>
                </w:p>
              </w:tc>
              <w:tc>
                <w:tcPr>
                  <w:tcW w:w="1177" w:type="dxa"/>
                  <w:vAlign w:val="center"/>
                </w:tcPr>
                <w:p w14:paraId="352A0E5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5002</w:t>
                  </w:r>
                </w:p>
              </w:tc>
              <w:tc>
                <w:tcPr>
                  <w:tcW w:w="1174" w:type="dxa"/>
                  <w:vAlign w:val="center"/>
                </w:tcPr>
                <w:p w14:paraId="2975031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16363.86</w:t>
                  </w:r>
                </w:p>
              </w:tc>
              <w:tc>
                <w:tcPr>
                  <w:tcW w:w="1266" w:type="dxa"/>
                  <w:vMerge w:val="restart"/>
                  <w:vAlign w:val="center"/>
                </w:tcPr>
                <w:p w14:paraId="09052B6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2683.11</w:t>
                  </w:r>
                </w:p>
              </w:tc>
              <w:tc>
                <w:tcPr>
                  <w:tcW w:w="1266" w:type="dxa"/>
                  <w:vMerge w:val="restart"/>
                  <w:vAlign w:val="center"/>
                </w:tcPr>
                <w:p w14:paraId="265EED4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4228.80 </w:t>
                  </w:r>
                </w:p>
              </w:tc>
              <w:tc>
                <w:tcPr>
                  <w:tcW w:w="1189" w:type="dxa"/>
                  <w:vMerge w:val="restart"/>
                  <w:vAlign w:val="center"/>
                </w:tcPr>
                <w:p w14:paraId="22C194F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100.69 </w:t>
                  </w:r>
                </w:p>
              </w:tc>
            </w:tr>
            <w:tr w14:paraId="02BC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Align w:val="center"/>
                </w:tcPr>
                <w:p w14:paraId="1EDA527A">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8月</w:t>
                  </w:r>
                </w:p>
              </w:tc>
              <w:tc>
                <w:tcPr>
                  <w:tcW w:w="1044" w:type="dxa"/>
                  <w:vAlign w:val="center"/>
                </w:tcPr>
                <w:p w14:paraId="389AD86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24034</w:t>
                  </w:r>
                </w:p>
              </w:tc>
              <w:tc>
                <w:tcPr>
                  <w:tcW w:w="1177" w:type="dxa"/>
                  <w:vAlign w:val="center"/>
                </w:tcPr>
                <w:p w14:paraId="276BD4B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4806.8</w:t>
                  </w:r>
                </w:p>
              </w:tc>
              <w:tc>
                <w:tcPr>
                  <w:tcW w:w="1174" w:type="dxa"/>
                  <w:vAlign w:val="center"/>
                </w:tcPr>
                <w:p w14:paraId="6ECC0AE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15959.43</w:t>
                  </w:r>
                </w:p>
              </w:tc>
              <w:tc>
                <w:tcPr>
                  <w:tcW w:w="809" w:type="pct"/>
                  <w:vMerge w:val="continue"/>
                  <w:vAlign w:val="center"/>
                </w:tcPr>
                <w:p w14:paraId="24CC2A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09" w:type="pct"/>
                  <w:vMerge w:val="continue"/>
                  <w:vAlign w:val="center"/>
                </w:tcPr>
                <w:p w14:paraId="479581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59" w:type="pct"/>
                  <w:vMerge w:val="continue"/>
                  <w:vAlign w:val="center"/>
                </w:tcPr>
                <w:p w14:paraId="4D9FB3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bl>
          <w:p w14:paraId="27CF2B33">
            <w:pPr>
              <w:ind w:firstLine="480"/>
              <w:rPr>
                <w:rFonts w:hint="eastAsia"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在改性磷石膏堆填区的拦挡坝后建设地下水收集池和渗滤液收集池</w:t>
            </w:r>
            <w:r>
              <w:rPr>
                <w:rFonts w:hint="eastAsia" w:ascii="Times New Roman" w:hAnsi="Times New Roman"/>
                <w:color w:val="000000" w:themeColor="text1"/>
                <w:sz w:val="24"/>
                <w:szCs w:val="24"/>
                <w:lang w:eastAsia="zh-CN"/>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渗滤液收集池、地下水收集池均采用钢筋混凝土矩形水池</w:t>
            </w:r>
            <w:r>
              <w:rPr>
                <w:rFonts w:hint="eastAsia" w:ascii="Times New Roman" w:hAnsi="Times New Roman"/>
                <w:color w:val="000000" w:themeColor="text1"/>
                <w:sz w:val="24"/>
                <w:szCs w:val="24"/>
                <w:lang w:eastAsia="zh-CN"/>
                <w14:textFill>
                  <w14:solidFill>
                    <w14:schemeClr w14:val="tx1"/>
                  </w14:solidFill>
                </w14:textFill>
              </w:rPr>
              <w:t>。</w:t>
            </w:r>
          </w:p>
          <w:p w14:paraId="302FE796">
            <w:pPr>
              <w:ind w:firstLine="480"/>
              <w:rPr>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根据项目实施方案及堆填设计方案，</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矿坑修复区</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新建</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地下水收集井</w:t>
            </w:r>
            <w:r>
              <w:rPr>
                <w:rFonts w:hint="eastAsia" w:cs="Times New Roman"/>
                <w:color w:val="000000" w:themeColor="text1"/>
                <w:kern w:val="0"/>
                <w:sz w:val="24"/>
                <w:szCs w:val="24"/>
                <w:highlight w:val="none"/>
                <w:lang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地下水收集池，1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15.488</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渗滤液收集井，</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和</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w:t>
            </w:r>
            <w:r>
              <w:rPr>
                <w:rFonts w:hint="eastAsia" w:cs="Times New Roman"/>
                <w:color w:val="000000" w:themeColor="text1"/>
                <w:kern w:val="0"/>
                <w:sz w:val="24"/>
                <w:szCs w:val="24"/>
                <w:highlight w:val="none"/>
                <w:lang w:val="en-US" w:eastAsia="zh-CN" w:bidi="ar"/>
                <w14:textFill>
                  <w14:solidFill>
                    <w14:schemeClr w14:val="tx1"/>
                  </w14:solidFill>
                </w14:textFill>
              </w:rPr>
              <w:t>800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sz w:val="24"/>
                <w:szCs w:val="24"/>
                <w:highlight w:val="none"/>
                <w:lang w:val="en-US" w:eastAsia="zh-CN"/>
                <w14:textFill>
                  <w14:solidFill>
                    <w14:schemeClr w14:val="tx1"/>
                  </w14:solidFill>
                </w14:textFill>
              </w:rPr>
              <w:t>渗滤液收集池</w:t>
            </w:r>
            <w:r>
              <w:rPr>
                <w:rFonts w:hint="eastAsia" w:cs="Times New Roman"/>
                <w:color w:val="000000" w:themeColor="text1"/>
                <w:kern w:val="0"/>
                <w:sz w:val="24"/>
                <w:szCs w:val="24"/>
                <w:highlight w:val="none"/>
                <w:lang w:eastAsia="zh-CN" w:bidi="ar"/>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1个120</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雨水收集池</w:t>
            </w:r>
            <w:r>
              <w:rPr>
                <w:rFonts w:hint="eastAsia"/>
                <w:color w:val="000000" w:themeColor="text1"/>
                <w:sz w:val="24"/>
                <w:szCs w:val="24"/>
                <w:lang w:eastAsia="zh-CN"/>
                <w14:textFill>
                  <w14:solidFill>
                    <w14:schemeClr w14:val="tx1"/>
                  </w14:solidFill>
                </w14:textFill>
              </w:rPr>
              <w:t>；</w:t>
            </w:r>
            <w:r>
              <w:rPr>
                <w:rFonts w:hint="eastAsia"/>
                <w:color w:val="000000" w:themeColor="text1"/>
                <w14:textFill>
                  <w14:solidFill>
                    <w14:schemeClr w14:val="tx1"/>
                  </w14:solidFill>
                </w14:textFill>
              </w:rPr>
              <w:t>根据核算项目</w:t>
            </w:r>
            <w:r>
              <w:rPr>
                <w:rFonts w:hint="eastAsia"/>
                <w:color w:val="000000" w:themeColor="text1"/>
                <w:lang w:val="en-US" w:eastAsia="zh-CN"/>
                <w14:textFill>
                  <w14:solidFill>
                    <w14:schemeClr w14:val="tx1"/>
                  </w14:solidFill>
                </w14:textFill>
              </w:rPr>
              <w:t>回填区</w:t>
            </w:r>
            <w:r>
              <w:rPr>
                <w:rFonts w:hint="eastAsia"/>
                <w:color w:val="000000" w:themeColor="text1"/>
                <w14:textFill>
                  <w14:solidFill>
                    <w14:schemeClr w14:val="tx1"/>
                  </w14:solidFill>
                </w14:textFill>
              </w:rPr>
              <w:t>地表径流量为</w:t>
            </w:r>
            <w:r>
              <w:rPr>
                <w:rFonts w:hint="eastAsia"/>
                <w:color w:val="000000" w:themeColor="text1"/>
                <w:lang w:val="en-US" w:eastAsia="zh-CN"/>
                <w14:textFill>
                  <w14:solidFill>
                    <w14:schemeClr w14:val="tx1"/>
                  </w14:solidFill>
                </w14:textFill>
              </w:rPr>
              <w:t>119.1</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渗滤液日均产生量为100.69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/d，渗滤液收集池容积可以容纳连续降雨</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天产生的渗滤液</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渗滤液经收集后施工期用于回填区绿化及洒水降尘，地表径流在雨水收集池暂存后，后期雨水延排水沟外排。</w:t>
            </w:r>
          </w:p>
          <w:p w14:paraId="38D4362E">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本项目渗滤液水质类比《宣威市落水镇白路采砂场历史遗留矿山生态修复治理项目环境影响报告表》中渗滤液水质，“宣威市落水镇白路采砂场历史遗留矿山生态修复治理项目”采用改性磷石膏对</w:t>
            </w:r>
            <w:r>
              <w:rPr>
                <w:rFonts w:hint="eastAsia" w:ascii="宋体" w:hAnsi="宋体" w:cs="宋体"/>
                <w:color w:val="000000" w:themeColor="text1"/>
                <w:kern w:val="0"/>
                <w:lang w:bidi="ar"/>
                <w14:textFill>
                  <w14:solidFill>
                    <w14:schemeClr w14:val="tx1"/>
                  </w14:solidFill>
                </w14:textFill>
              </w:rPr>
              <w:t>宣威市落水镇白路采砂厂历史遗留矿山进行回填修复，</w:t>
            </w:r>
            <w:r>
              <w:rPr>
                <w:rFonts w:hint="eastAsia"/>
                <w:color w:val="000000" w:themeColor="text1"/>
                <w14:textFill>
                  <w14:solidFill>
                    <w14:schemeClr w14:val="tx1"/>
                  </w14:solidFill>
                </w14:textFill>
              </w:rPr>
              <w:t>回填量约33.39万m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；本项目采用改性磷石膏修复材料对</w:t>
            </w:r>
            <w:r>
              <w:rPr>
                <w:rFonts w:hint="eastAsia"/>
                <w:color w:val="000000" w:themeColor="text1"/>
                <w:lang w:eastAsia="zh-CN"/>
                <w14:textFill>
                  <w14:solidFill>
                    <w14:schemeClr w14:val="tx1"/>
                  </w14:solidFill>
                </w14:textFill>
              </w:rPr>
              <w:t>塘子镇钟灵村委会令友采石场废弃矿坑</w:t>
            </w:r>
            <w:r>
              <w:rPr>
                <w:rFonts w:hint="eastAsia"/>
                <w:color w:val="000000" w:themeColor="text1"/>
                <w14:textFill>
                  <w14:solidFill>
                    <w14:schemeClr w14:val="tx1"/>
                  </w14:solidFill>
                </w14:textFill>
              </w:rPr>
              <w:t>进行修复，回填量</w:t>
            </w:r>
            <w:r>
              <w:rPr>
                <w:rFonts w:hint="eastAsia"/>
                <w:color w:val="000000" w:themeColor="text1"/>
                <w:lang w:val="en-US" w:eastAsia="zh-CN"/>
                <w14:textFill>
                  <w14:solidFill>
                    <w14:schemeClr w14:val="tx1"/>
                  </w14:solidFill>
                </w14:textFill>
              </w:rPr>
              <w:t>253.673</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215.622</w:t>
            </w:r>
            <w:r>
              <w:rPr>
                <w:rFonts w:hint="eastAsia"/>
                <w:color w:val="000000" w:themeColor="text1"/>
                <w:kern w:val="0"/>
                <w:lang w:bidi="ar"/>
                <w14:textFill>
                  <w14:solidFill>
                    <w14:schemeClr w14:val="tx1"/>
                  </w14:solidFill>
                </w14:textFill>
              </w:rPr>
              <w:t>万吨）</w:t>
            </w:r>
            <w:r>
              <w:rPr>
                <w:rFonts w:hint="eastAsia"/>
                <w:color w:val="000000" w:themeColor="text1"/>
                <w14:textFill>
                  <w14:solidFill>
                    <w14:schemeClr w14:val="tx1"/>
                  </w14:solidFill>
                </w14:textFill>
              </w:rPr>
              <w:t>，项目生态修复类型一致，采用修复材料都为改性磷石膏，“宣威市落水镇白路采砂场历史遗留矿山生态修复治理项目”改性磷石膏采</w:t>
            </w:r>
            <w:r>
              <w:rPr>
                <w:rFonts w:hint="eastAsia" w:ascii="宋体" w:hAnsi="宋体" w:cs="宋体"/>
                <w:color w:val="000000" w:themeColor="text1"/>
                <w:kern w:val="0"/>
                <w:lang w:bidi="ar"/>
                <w14:textFill>
                  <w14:solidFill>
                    <w14:schemeClr w14:val="tx1"/>
                  </w14:solidFill>
                </w14:textFill>
              </w:rPr>
              <w:t>用石灰乳和磷石膏中可溶性</w:t>
            </w:r>
            <w:r>
              <w:rPr>
                <w:color w:val="000000" w:themeColor="text1"/>
                <w:kern w:val="0"/>
                <w:lang w:bidi="ar"/>
                <w14:textFill>
                  <w14:solidFill>
                    <w14:schemeClr w14:val="tx1"/>
                  </w14:solidFill>
                </w14:textFill>
              </w:rPr>
              <w:t>P</w:t>
            </w:r>
            <w:r>
              <w:rPr>
                <w:color w:val="000000" w:themeColor="text1"/>
                <w:kern w:val="0"/>
                <w:sz w:val="15"/>
                <w:szCs w:val="15"/>
                <w:lang w:bidi="ar"/>
                <w14:textFill>
                  <w14:solidFill>
                    <w14:schemeClr w14:val="tx1"/>
                  </w14:solidFill>
                </w14:textFill>
              </w:rPr>
              <w:t>2</w:t>
            </w:r>
            <w:r>
              <w:rPr>
                <w:color w:val="000000" w:themeColor="text1"/>
                <w:kern w:val="0"/>
                <w:lang w:bidi="ar"/>
                <w14:textFill>
                  <w14:solidFill>
                    <w14:schemeClr w14:val="tx1"/>
                  </w14:solidFill>
                </w14:textFill>
              </w:rPr>
              <w:t>O</w:t>
            </w:r>
            <w:r>
              <w:rPr>
                <w:color w:val="000000" w:themeColor="text1"/>
                <w:kern w:val="0"/>
                <w:sz w:val="15"/>
                <w:szCs w:val="15"/>
                <w:lang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F</w:t>
            </w:r>
            <w:r>
              <w:rPr>
                <w:rFonts w:hint="eastAsia" w:ascii="宋体" w:hAnsi="宋体" w:cs="宋体"/>
                <w:color w:val="000000" w:themeColor="text1"/>
                <w:kern w:val="0"/>
                <w:lang w:bidi="ar"/>
                <w14:textFill>
                  <w14:solidFill>
                    <w14:schemeClr w14:val="tx1"/>
                  </w14:solidFill>
                </w14:textFill>
              </w:rPr>
              <w:t>发生反应生成磷酸钙、氟化钙等不溶性物质，进而去除可溶磷和氟</w:t>
            </w:r>
            <w:r>
              <w:rPr>
                <w:rFonts w:hint="eastAsia"/>
                <w:color w:val="000000" w:themeColor="text1"/>
                <w14:textFill>
                  <w14:solidFill>
                    <w14:schemeClr w14:val="tx1"/>
                  </w14:solidFill>
                </w14:textFill>
              </w:rPr>
              <w:t>，本项目改性磷石膏采用生石灰</w:t>
            </w:r>
            <w:r>
              <w:rPr>
                <w:color w:val="000000" w:themeColor="text1"/>
                <w14:textFill>
                  <w14:solidFill>
                    <w14:schemeClr w14:val="tx1"/>
                  </w14:solidFill>
                </w14:textFill>
              </w:rPr>
              <w:t>与磷石膏游离水中的磷酸、可溶磷酸盐及氟离子等经化学反应生成难溶化合物，从而被固定为固态形式。</w:t>
            </w:r>
            <w:r>
              <w:rPr>
                <w:rFonts w:hint="eastAsia"/>
                <w:color w:val="000000" w:themeColor="text1"/>
                <w14:textFill>
                  <w14:solidFill>
                    <w14:schemeClr w14:val="tx1"/>
                  </w14:solidFill>
                </w14:textFill>
              </w:rPr>
              <w:t>改性磷石膏改性工艺类似，因此类比可行。</w:t>
            </w:r>
          </w:p>
          <w:p w14:paraId="402F65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类比项目污染物及浓度见下表。</w:t>
            </w:r>
          </w:p>
          <w:p w14:paraId="75501FBC">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表4-3</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类比渗滤液污染物及浓度</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955"/>
              <w:gridCol w:w="1959"/>
              <w:gridCol w:w="1959"/>
            </w:tblGrid>
            <w:tr w14:paraId="026C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tcPr>
                <w:p w14:paraId="1DDE5AAC">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污染物名称</w:t>
                  </w:r>
                </w:p>
              </w:tc>
              <w:tc>
                <w:tcPr>
                  <w:tcW w:w="1962" w:type="dxa"/>
                </w:tcPr>
                <w:p w14:paraId="76493732">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pH（无量纲）</w:t>
                  </w:r>
                </w:p>
              </w:tc>
              <w:tc>
                <w:tcPr>
                  <w:tcW w:w="1963" w:type="dxa"/>
                </w:tcPr>
                <w:p w14:paraId="71D77AA3">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氟化物（mg/L）</w:t>
                  </w:r>
                </w:p>
              </w:tc>
              <w:tc>
                <w:tcPr>
                  <w:tcW w:w="1963" w:type="dxa"/>
                </w:tcPr>
                <w:p w14:paraId="7288BA9E">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总磷（mg/L）</w:t>
                  </w:r>
                </w:p>
              </w:tc>
            </w:tr>
            <w:tr w14:paraId="7593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tcPr>
                <w:p w14:paraId="0EC23DD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污染物浓度</w:t>
                  </w:r>
                </w:p>
              </w:tc>
              <w:tc>
                <w:tcPr>
                  <w:tcW w:w="1962" w:type="dxa"/>
                </w:tcPr>
                <w:p w14:paraId="4CCACD7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7.82</w:t>
                  </w:r>
                </w:p>
              </w:tc>
              <w:tc>
                <w:tcPr>
                  <w:tcW w:w="1963" w:type="dxa"/>
                </w:tcPr>
                <w:p w14:paraId="1B399B8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0.326</w:t>
                  </w:r>
                </w:p>
              </w:tc>
              <w:tc>
                <w:tcPr>
                  <w:tcW w:w="1963" w:type="dxa"/>
                </w:tcPr>
                <w:p w14:paraId="0C10A4E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0.05</w:t>
                  </w:r>
                </w:p>
              </w:tc>
            </w:tr>
          </w:tbl>
          <w:p w14:paraId="3ECDDC6A">
            <w:pPr>
              <w:spacing w:line="240" w:lineRule="auto"/>
              <w:ind w:firstLine="0" w:firstLineChars="0"/>
              <w:jc w:val="center"/>
              <w:rPr>
                <w:b/>
                <w:bCs/>
                <w:color w:val="000000" w:themeColor="text1"/>
                <w:sz w:val="21"/>
                <w:szCs w:val="21"/>
                <w14:textFill>
                  <w14:solidFill>
                    <w14:schemeClr w14:val="tx1"/>
                  </w14:solidFill>
                </w14:textFill>
              </w:rPr>
            </w:pPr>
          </w:p>
          <w:p w14:paraId="7A8DAF16">
            <w:pPr>
              <w:adjustRightInd w:val="0"/>
              <w:snapToGrid w:val="0"/>
              <w:ind w:firstLine="482"/>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w:t>
            </w:r>
            <w:r>
              <w:rPr>
                <w:rFonts w:hint="eastAsia"/>
                <w:b/>
                <w:bCs/>
                <w:color w:val="000000" w:themeColor="text1"/>
                <w14:textFill>
                  <w14:solidFill>
                    <w14:schemeClr w14:val="tx1"/>
                  </w14:solidFill>
                </w14:textFill>
              </w:rPr>
              <w:t>施工废水</w:t>
            </w:r>
          </w:p>
          <w:p w14:paraId="2882E4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项目施工废水主要为施工车辆进出冲洗废水、混凝土养护废水。施工车辆冲洗用水量为2m³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，废水量按80%计，则施工车辆冲洗废水产生量约为1.6m³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，废水主要为</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，项目混凝土养护用水约2m³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，混凝土养护废水为自然蒸发，施工车辆冲废水经3m³的临时沉淀池收集沉淀处理后回用于场地洒水降尘，不外排。</w:t>
            </w:r>
          </w:p>
          <w:p w14:paraId="407FA9E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3）洒水降尘用水</w:t>
            </w:r>
          </w:p>
          <w:p w14:paraId="7CA63F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在进行生态修复过程中，须对扰动地表、运输道路等现状易起尘的裸露地表进行洒水降尘，该部分水量经自然蒸发，无废水产生。</w:t>
            </w:r>
          </w:p>
          <w:p w14:paraId="10E2459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根据《云南省地方标准用水定额》（2019年版），洒水降尘用水量取</w:t>
            </w:r>
            <w:r>
              <w:rPr>
                <w:color w:val="000000" w:themeColor="text1"/>
                <w14:textFill>
                  <w14:solidFill>
                    <w14:schemeClr w14:val="tx1"/>
                  </w14:solidFill>
                </w14:textFill>
              </w:rPr>
              <w:t>2L/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次，根据计算，生态修复区每年需洒水降尘区域及洒水量见下表。根据气象统计资料，项目所在地非雨天约201天。</w:t>
            </w:r>
          </w:p>
          <w:p w14:paraId="5393B10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项目洒水降尘用水优先采用渗滤液、雨天收集的地表径流进行洒水降尘，不够的部分由洒水车直接运输至拟用水区进行洒水降尘。</w:t>
            </w:r>
          </w:p>
          <w:p w14:paraId="63FC36B5">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表4-4</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项目对各作业单元洒水降尘用水量一览表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960"/>
              <w:gridCol w:w="1950"/>
              <w:gridCol w:w="1966"/>
            </w:tblGrid>
            <w:tr w14:paraId="03C9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5DCBA8AD">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用水区</w:t>
                  </w:r>
                </w:p>
              </w:tc>
              <w:tc>
                <w:tcPr>
                  <w:tcW w:w="1964" w:type="dxa"/>
                </w:tcPr>
                <w:p w14:paraId="6912D667">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洒水面积/㎡</w:t>
                  </w:r>
                </w:p>
              </w:tc>
              <w:tc>
                <w:tcPr>
                  <w:tcW w:w="1954" w:type="dxa"/>
                </w:tcPr>
                <w:p w14:paraId="12B81A4B">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平均洒水频次/次/d</w:t>
                  </w:r>
                </w:p>
              </w:tc>
              <w:tc>
                <w:tcPr>
                  <w:tcW w:w="1970" w:type="dxa"/>
                </w:tcPr>
                <w:p w14:paraId="3BD55FCD">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洒水量/m³/d</w:t>
                  </w:r>
                </w:p>
              </w:tc>
            </w:tr>
            <w:tr w14:paraId="59D3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528E8364">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作业区</w:t>
                  </w:r>
                </w:p>
              </w:tc>
              <w:tc>
                <w:tcPr>
                  <w:tcW w:w="1964" w:type="dxa"/>
                </w:tcPr>
                <w:p w14:paraId="4053794E">
                  <w:pPr>
                    <w:pStyle w:val="64"/>
                    <w:spacing w:beforeLines="0" w:afterLines="0" w:line="240" w:lineRule="auto"/>
                    <w:ind w:firstLine="0" w:firstLineChars="0"/>
                    <w:rPr>
                      <w:rFonts w:hint="default" w:ascii="Times New Roman" w:eastAsia="宋体"/>
                      <w:b w:val="0"/>
                      <w:bCs/>
                      <w:color w:val="000000" w:themeColor="text1"/>
                      <w:sz w:val="21"/>
                      <w:lang w:val="en-US" w:eastAsia="zh-CN"/>
                      <w14:textFill>
                        <w14:solidFill>
                          <w14:schemeClr w14:val="tx1"/>
                        </w14:solidFill>
                      </w14:textFill>
                    </w:rPr>
                  </w:pPr>
                  <w:r>
                    <w:rPr>
                      <w:rFonts w:hint="eastAsia" w:ascii="Times New Roman"/>
                      <w:b w:val="0"/>
                      <w:bCs/>
                      <w:color w:val="000000" w:themeColor="text1"/>
                      <w:sz w:val="21"/>
                      <w:lang w:val="en-US" w:eastAsia="zh-CN"/>
                      <w14:textFill>
                        <w14:solidFill>
                          <w14:schemeClr w14:val="tx1"/>
                        </w14:solidFill>
                      </w14:textFill>
                    </w:rPr>
                    <w:t>40000</w:t>
                  </w:r>
                </w:p>
              </w:tc>
              <w:tc>
                <w:tcPr>
                  <w:tcW w:w="1954" w:type="dxa"/>
                </w:tcPr>
                <w:p w14:paraId="5D618757">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3</w:t>
                  </w:r>
                </w:p>
              </w:tc>
              <w:tc>
                <w:tcPr>
                  <w:tcW w:w="1970" w:type="dxa"/>
                </w:tcPr>
                <w:p w14:paraId="019204ED">
                  <w:pPr>
                    <w:pStyle w:val="64"/>
                    <w:spacing w:beforeLines="0" w:afterLines="0" w:line="240" w:lineRule="auto"/>
                    <w:ind w:firstLine="0" w:firstLineChars="0"/>
                    <w:rPr>
                      <w:rFonts w:hint="default" w:ascii="Times New Roman" w:eastAsia="宋体"/>
                      <w:b w:val="0"/>
                      <w:bCs/>
                      <w:color w:val="000000" w:themeColor="text1"/>
                      <w:sz w:val="21"/>
                      <w:lang w:val="en-US" w:eastAsia="zh-CN"/>
                      <w14:textFill>
                        <w14:solidFill>
                          <w14:schemeClr w14:val="tx1"/>
                        </w14:solidFill>
                      </w14:textFill>
                    </w:rPr>
                  </w:pPr>
                  <w:r>
                    <w:rPr>
                      <w:rFonts w:hint="eastAsia" w:ascii="Times New Roman"/>
                      <w:b w:val="0"/>
                      <w:bCs/>
                      <w:color w:val="000000" w:themeColor="text1"/>
                      <w:sz w:val="21"/>
                      <w:lang w:val="en-US" w:eastAsia="zh-CN"/>
                      <w14:textFill>
                        <w14:solidFill>
                          <w14:schemeClr w14:val="tx1"/>
                        </w14:solidFill>
                      </w14:textFill>
                    </w:rPr>
                    <w:t>240</w:t>
                  </w:r>
                </w:p>
              </w:tc>
            </w:tr>
            <w:tr w14:paraId="52F7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2A050595">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运输区</w:t>
                  </w:r>
                </w:p>
              </w:tc>
              <w:tc>
                <w:tcPr>
                  <w:tcW w:w="1964" w:type="dxa"/>
                </w:tcPr>
                <w:p w14:paraId="1DB3FC20">
                  <w:pPr>
                    <w:pStyle w:val="64"/>
                    <w:spacing w:beforeLines="0" w:afterLines="0" w:line="240" w:lineRule="auto"/>
                    <w:ind w:firstLine="0" w:firstLineChars="0"/>
                    <w:rPr>
                      <w:rFonts w:hint="default" w:ascii="Times New Roman" w:eastAsia="宋体"/>
                      <w:b w:val="0"/>
                      <w:bCs/>
                      <w:color w:val="000000" w:themeColor="text1"/>
                      <w:sz w:val="21"/>
                      <w:lang w:val="en-US" w:eastAsia="zh-CN"/>
                      <w14:textFill>
                        <w14:solidFill>
                          <w14:schemeClr w14:val="tx1"/>
                        </w14:solidFill>
                      </w14:textFill>
                    </w:rPr>
                  </w:pPr>
                  <w:r>
                    <w:rPr>
                      <w:rFonts w:hint="eastAsia" w:ascii="Times New Roman"/>
                      <w:b w:val="0"/>
                      <w:bCs/>
                      <w:color w:val="000000" w:themeColor="text1"/>
                      <w:sz w:val="21"/>
                      <w:lang w:val="en-US" w:eastAsia="zh-CN"/>
                      <w14:textFill>
                        <w14:solidFill>
                          <w14:schemeClr w14:val="tx1"/>
                        </w14:solidFill>
                      </w14:textFill>
                    </w:rPr>
                    <w:t>3000</w:t>
                  </w:r>
                </w:p>
              </w:tc>
              <w:tc>
                <w:tcPr>
                  <w:tcW w:w="1954" w:type="dxa"/>
                </w:tcPr>
                <w:p w14:paraId="1CDC06AF">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3</w:t>
                  </w:r>
                </w:p>
              </w:tc>
              <w:tc>
                <w:tcPr>
                  <w:tcW w:w="1970" w:type="dxa"/>
                </w:tcPr>
                <w:p w14:paraId="3FF91DBF">
                  <w:pPr>
                    <w:pStyle w:val="64"/>
                    <w:spacing w:beforeLines="0" w:afterLines="0" w:line="240" w:lineRule="auto"/>
                    <w:ind w:firstLine="0" w:firstLineChars="0"/>
                    <w:rPr>
                      <w:rFonts w:hint="default" w:ascii="Times New Roman" w:eastAsia="宋体"/>
                      <w:b w:val="0"/>
                      <w:bCs/>
                      <w:color w:val="000000" w:themeColor="text1"/>
                      <w:sz w:val="21"/>
                      <w:lang w:val="en-US" w:eastAsia="zh-CN"/>
                      <w14:textFill>
                        <w14:solidFill>
                          <w14:schemeClr w14:val="tx1"/>
                        </w14:solidFill>
                      </w14:textFill>
                    </w:rPr>
                  </w:pPr>
                  <w:r>
                    <w:rPr>
                      <w:rFonts w:hint="eastAsia" w:ascii="Times New Roman"/>
                      <w:b w:val="0"/>
                      <w:bCs/>
                      <w:color w:val="000000" w:themeColor="text1"/>
                      <w:sz w:val="21"/>
                      <w:lang w:val="en-US" w:eastAsia="zh-CN"/>
                      <w14:textFill>
                        <w14:solidFill>
                          <w14:schemeClr w14:val="tx1"/>
                        </w14:solidFill>
                      </w14:textFill>
                    </w:rPr>
                    <w:t>18</w:t>
                  </w:r>
                </w:p>
              </w:tc>
            </w:tr>
            <w:tr w14:paraId="09CD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6AFD4724">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合计</w:t>
                  </w:r>
                </w:p>
              </w:tc>
              <w:tc>
                <w:tcPr>
                  <w:tcW w:w="1964" w:type="dxa"/>
                </w:tcPr>
                <w:p w14:paraId="119F3228">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w:t>
                  </w:r>
                </w:p>
              </w:tc>
              <w:tc>
                <w:tcPr>
                  <w:tcW w:w="1954" w:type="dxa"/>
                </w:tcPr>
                <w:p w14:paraId="2353E899">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w:t>
                  </w:r>
                </w:p>
              </w:tc>
              <w:tc>
                <w:tcPr>
                  <w:tcW w:w="1970" w:type="dxa"/>
                </w:tcPr>
                <w:p w14:paraId="650EF4AB">
                  <w:pPr>
                    <w:pStyle w:val="64"/>
                    <w:spacing w:beforeLines="0" w:afterLines="0" w:line="240" w:lineRule="auto"/>
                    <w:ind w:firstLine="0" w:firstLineChars="0"/>
                    <w:rPr>
                      <w:rFonts w:hint="default" w:ascii="Times New Roman" w:eastAsia="宋体"/>
                      <w:b w:val="0"/>
                      <w:bCs/>
                      <w:color w:val="000000" w:themeColor="text1"/>
                      <w:sz w:val="21"/>
                      <w:lang w:val="en-US" w:eastAsia="zh-CN"/>
                      <w14:textFill>
                        <w14:solidFill>
                          <w14:schemeClr w14:val="tx1"/>
                        </w14:solidFill>
                      </w14:textFill>
                    </w:rPr>
                  </w:pPr>
                  <w:r>
                    <w:rPr>
                      <w:rFonts w:hint="eastAsia" w:ascii="Times New Roman"/>
                      <w:b w:val="0"/>
                      <w:bCs/>
                      <w:color w:val="000000" w:themeColor="text1"/>
                      <w:sz w:val="21"/>
                      <w:lang w:val="en-US" w:eastAsia="zh-CN"/>
                      <w14:textFill>
                        <w14:solidFill>
                          <w14:schemeClr w14:val="tx1"/>
                        </w14:solidFill>
                      </w14:textFill>
                    </w:rPr>
                    <w:t>258</w:t>
                  </w:r>
                </w:p>
              </w:tc>
            </w:tr>
            <w:tr w14:paraId="401D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1" w:type="dxa"/>
                  <w:gridSpan w:val="4"/>
                </w:tcPr>
                <w:p w14:paraId="226CB9B5">
                  <w:pPr>
                    <w:pStyle w:val="64"/>
                    <w:spacing w:beforeLines="0" w:afterLines="0" w:line="240" w:lineRule="auto"/>
                    <w:ind w:firstLine="0" w:firstLineChars="0"/>
                    <w:rPr>
                      <w:rFonts w:ascii="Times New Roman"/>
                      <w:b w:val="0"/>
                      <w:bCs/>
                      <w:color w:val="000000" w:themeColor="text1"/>
                      <w:sz w:val="21"/>
                      <w14:textFill>
                        <w14:solidFill>
                          <w14:schemeClr w14:val="tx1"/>
                        </w14:solidFill>
                      </w14:textFill>
                    </w:rPr>
                  </w:pPr>
                  <w:r>
                    <w:rPr>
                      <w:rFonts w:hint="eastAsia" w:ascii="Times New Roman"/>
                      <w:b w:val="0"/>
                      <w:bCs/>
                      <w:color w:val="000000" w:themeColor="text1"/>
                      <w:sz w:val="21"/>
                      <w14:textFill>
                        <w14:solidFill>
                          <w14:schemeClr w14:val="tx1"/>
                        </w14:solidFill>
                      </w14:textFill>
                    </w:rPr>
                    <w:t>运输道路从矿区开始计算到</w:t>
                  </w:r>
                  <w:r>
                    <w:rPr>
                      <w:rFonts w:hint="eastAsia" w:ascii="Times New Roman"/>
                      <w:b w:val="0"/>
                      <w:bCs/>
                      <w:color w:val="000000" w:themeColor="text1"/>
                      <w:sz w:val="21"/>
                      <w:lang w:val="en-US" w:eastAsia="zh-CN"/>
                      <w14:textFill>
                        <w14:solidFill>
                          <w14:schemeClr w14:val="tx1"/>
                        </w14:solidFill>
                      </w14:textFill>
                    </w:rPr>
                    <w:t>兰马线</w:t>
                  </w:r>
                  <w:r>
                    <w:rPr>
                      <w:rFonts w:hint="eastAsia" w:ascii="Times New Roman"/>
                      <w:b w:val="0"/>
                      <w:bCs/>
                      <w:color w:val="000000" w:themeColor="text1"/>
                      <w:sz w:val="21"/>
                      <w14:textFill>
                        <w14:solidFill>
                          <w14:schemeClr w14:val="tx1"/>
                        </w14:solidFill>
                      </w14:textFill>
                    </w:rPr>
                    <w:t>的距离，共1000m，道路宽3—4m，本次计算按4m计算</w:t>
                  </w:r>
                </w:p>
              </w:tc>
            </w:tr>
          </w:tbl>
          <w:p w14:paraId="3608032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4）施工人员洗手废水</w:t>
            </w:r>
          </w:p>
          <w:p w14:paraId="6C6D3E6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项目施工期高峰施工人员约30人，项目不设施工营地，施工人员均不在施工场地内进行食宿，生活污水主要是施工人员产生的洗手废水。施工人员每天生活用水以</w:t>
            </w:r>
            <w:r>
              <w:rPr>
                <w:color w:val="000000" w:themeColor="text1"/>
                <w14:textFill>
                  <w14:solidFill>
                    <w14:schemeClr w14:val="tx1"/>
                  </w14:solidFill>
                </w14:textFill>
              </w:rPr>
              <w:t>20L/</w:t>
            </w:r>
            <w:r>
              <w:rPr>
                <w:rFonts w:hint="eastAsia"/>
                <w:color w:val="000000" w:themeColor="text1"/>
                <w14:textFill>
                  <w14:solidFill>
                    <w14:schemeClr w14:val="tx1"/>
                  </w14:solidFill>
                </w14:textFill>
              </w:rPr>
              <w:t>人计，总用水量为0.6m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，生活污水产生量按80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计，则项目施工期施工人员洗手废水产生量为0.48m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。生活污水所含的污染物主要为</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等，经临时沉淀池3m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沉淀后回用于施工场地洒水降尘，不外排。</w:t>
            </w:r>
          </w:p>
          <w:p w14:paraId="35FF52A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5）养护期绿化用水</w:t>
            </w:r>
          </w:p>
          <w:p w14:paraId="1F129FB8">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根据《云南省地方标准用水定额》（2019年版），林木育苗用水量为</w:t>
            </w:r>
            <w:r>
              <w:rPr>
                <w:color w:val="000000" w:themeColor="text1"/>
                <w14:textFill>
                  <w14:solidFill>
                    <w14:schemeClr w14:val="tx1"/>
                  </w14:solidFill>
                </w14:textFill>
              </w:rPr>
              <w:t>1050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1800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，项目取值1</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00m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，项目生态修复完成后绿化面积为</w:t>
            </w:r>
            <w:r>
              <w:rPr>
                <w:rFonts w:hint="eastAsia" w:cs="Times New Roman"/>
                <w:color w:val="000000" w:themeColor="text1"/>
                <w:kern w:val="0"/>
                <w:sz w:val="24"/>
                <w:highlight w:val="none"/>
                <w:lang w:val="en-US" w:eastAsia="zh-CN"/>
                <w14:textFill>
                  <w14:solidFill>
                    <w14:schemeClr w14:val="tx1"/>
                  </w14:solidFill>
                </w14:textFill>
              </w:rPr>
              <w:t>6.3132</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，则用水量为</w:t>
            </w:r>
            <w:r>
              <w:rPr>
                <w:rFonts w:hint="eastAsia" w:cs="Times New Roman"/>
                <w:color w:val="000000" w:themeColor="text1"/>
                <w:highlight w:val="none"/>
                <w:lang w:val="en-US" w:eastAsia="zh-CN"/>
                <w14:textFill>
                  <w14:solidFill>
                    <w14:schemeClr w14:val="tx1"/>
                  </w14:solidFill>
                </w14:textFill>
              </w:rPr>
              <w:t>10101.12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/a，根据统计寻甸县非雨天</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01天，则用水量为</w:t>
            </w:r>
            <w:r>
              <w:rPr>
                <w:rFonts w:hint="eastAsia" w:cs="Times New Roman"/>
                <w:color w:val="000000" w:themeColor="text1"/>
                <w:highlight w:val="none"/>
                <w:lang w:val="en-US" w:eastAsia="zh-CN"/>
                <w14:textFill>
                  <w14:solidFill>
                    <w14:schemeClr w14:val="tx1"/>
                  </w14:solidFill>
                </w14:textFill>
              </w:rPr>
              <w:t>50.25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，该部分用水自然蒸发损耗，无废水产生。</w:t>
            </w:r>
            <w:r>
              <w:rPr>
                <w:rFonts w:hint="eastAsia"/>
                <w:color w:val="000000" w:themeColor="text1"/>
                <w:lang w:val="en-US" w:eastAsia="zh-CN"/>
                <w14:textFill>
                  <w14:solidFill>
                    <w14:schemeClr w14:val="tx1"/>
                  </w14:solidFill>
                </w14:textFill>
              </w:rPr>
              <w:t>根据项目实施方案及堆填设计方案，</w:t>
            </w:r>
            <w:r>
              <w:rPr>
                <w:rFonts w:hint="eastAsia"/>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填区</w:t>
            </w:r>
            <w:r>
              <w:rPr>
                <w:rFonts w:hint="eastAsia"/>
                <w:color w:val="000000" w:themeColor="text1"/>
                <w14:textFill>
                  <w14:solidFill>
                    <w14:schemeClr w14:val="tx1"/>
                  </w14:solidFill>
                </w14:textFill>
              </w:rPr>
              <w:t>设置</w:t>
            </w:r>
            <w:r>
              <w:rPr>
                <w:rFonts w:hint="eastAsia"/>
                <w:color w:val="000000" w:themeColor="text1"/>
                <w:lang w:val="en-US" w:eastAsia="zh-CN"/>
                <w14:textFill>
                  <w14:solidFill>
                    <w14:schemeClr w14:val="tx1"/>
                  </w14:solidFill>
                </w14:textFill>
              </w:rPr>
              <w:t>1个120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val="en-US" w:eastAsia="zh-CN"/>
                <w14:textFill>
                  <w14:solidFill>
                    <w14:schemeClr w14:val="tx1"/>
                  </w14:solidFill>
                </w14:textFill>
              </w:rPr>
              <w:t>雨水收集池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可收集</w:t>
            </w:r>
            <w:r>
              <w:rPr>
                <w:rFonts w:hint="eastAsia"/>
                <w:color w:val="000000" w:themeColor="text1"/>
                <w:lang w:val="en-US" w:eastAsia="zh-CN"/>
                <w14:textFill>
                  <w14:solidFill>
                    <w14:schemeClr w14:val="tx1"/>
                  </w14:solidFill>
                </w14:textFill>
              </w:rPr>
              <w:t>地表径流</w:t>
            </w:r>
            <w:r>
              <w:rPr>
                <w:rFonts w:hint="eastAsia"/>
                <w:color w:val="000000" w:themeColor="text1"/>
                <w14:textFill>
                  <w14:solidFill>
                    <w14:schemeClr w14:val="tx1"/>
                  </w14:solidFill>
                </w14:textFill>
              </w:rPr>
              <w:t>用于项目区植被养护，养护期年地表径流量采用寻甸县2018-2022年近五年平均降雨量（798.4mm）进行计算，计算可得项目生态修复区年地表径流</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量为</w:t>
            </w:r>
            <w:r>
              <w:rPr>
                <w:rFonts w:hint="eastAsia"/>
                <w:color w:val="000000" w:themeColor="text1"/>
                <w:lang w:val="en-US" w:eastAsia="zh-CN"/>
                <w14:textFill>
                  <w14:solidFill>
                    <w14:schemeClr w14:val="tx1"/>
                  </w14:solidFill>
                </w14:textFill>
              </w:rPr>
              <w:t>9808.8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/a。绿化用水不够部分由寻甸县科技和工业信息化局用罐车运输到场区进行浇灌，项目养护期为三年，养护期间责任主体为寻甸县科技和工业信息化局，养护期结束后，交由当地政府管理处置。</w:t>
            </w:r>
          </w:p>
          <w:p w14:paraId="2886218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项目施工结束后回填体顶部设置防渗膜，表面设置排水沟将雨水导流至</w:t>
            </w:r>
            <w:r>
              <w:rPr>
                <w:rFonts w:hint="eastAsia"/>
                <w:color w:val="000000" w:themeColor="text1"/>
                <w:lang w:val="en-US" w:eastAsia="zh-CN"/>
                <w14:textFill>
                  <w14:solidFill>
                    <w14:schemeClr w14:val="tx1"/>
                  </w14:solidFill>
                </w14:textFill>
              </w:rPr>
              <w:t>雨水收集池</w:t>
            </w:r>
            <w:r>
              <w:rPr>
                <w:rFonts w:hint="eastAsia"/>
                <w:color w:val="000000" w:themeColor="text1"/>
                <w14:textFill>
                  <w14:solidFill>
                    <w14:schemeClr w14:val="tx1"/>
                  </w14:solidFill>
                </w14:textFill>
              </w:rPr>
              <w:t>，渗滤液产生量会随之减少。</w:t>
            </w:r>
          </w:p>
          <w:p w14:paraId="3CC0D6B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6）水平衡分析</w:t>
            </w:r>
          </w:p>
          <w:p w14:paraId="4CF902F1">
            <w:pPr>
              <w:pStyle w:val="5"/>
              <w:spacing w:before="0" w:after="0" w:line="360" w:lineRule="auto"/>
              <w:ind w:right="0" w:firstLine="480"/>
              <w:rPr>
                <w:b/>
                <w:bCs/>
                <w:color w:val="000000" w:themeColor="text1"/>
                <w:sz w:val="24"/>
                <w:szCs w:val="24"/>
                <w:lang w:bidi="ar"/>
                <w14:textFill>
                  <w14:solidFill>
                    <w14:schemeClr w14:val="tx1"/>
                  </w14:solidFill>
                </w14:textFill>
              </w:rPr>
            </w:pPr>
            <w:r>
              <w:rPr>
                <w:rFonts w:hint="eastAsia"/>
                <w:color w:val="000000" w:themeColor="text1"/>
                <w:sz w:val="24"/>
                <w:szCs w:val="24"/>
                <w14:textFill>
                  <w14:solidFill>
                    <w14:schemeClr w14:val="tx1"/>
                  </w14:solidFill>
                </w14:textFill>
              </w:rPr>
              <w:t>项目用水主要在施工期，雨天不进行施工，施工期水平衡见下图。</w:t>
            </w:r>
          </w:p>
          <w:p w14:paraId="07F2ABB3">
            <w:pPr>
              <w:pStyle w:val="48"/>
              <w:spacing w:before="0" w:after="0"/>
              <w:ind w:left="0" w:right="0"/>
              <w:rPr>
                <w:b/>
                <w:bCs/>
                <w:i w:val="0"/>
                <w:color w:val="000000" w:themeColor="text1"/>
                <w:sz w:val="24"/>
                <w:szCs w:val="24"/>
                <w:lang w:bidi="ar"/>
                <w14:textFill>
                  <w14:solidFill>
                    <w14:schemeClr w14:val="tx1"/>
                  </w14:solidFill>
                </w14:textFill>
              </w:rPr>
            </w:pPr>
            <w:r>
              <w:rPr>
                <w:rFonts w:hint="eastAsia"/>
                <w:color w:val="000000" w:themeColor="text1"/>
                <w:sz w:val="24"/>
                <w:szCs w:val="24"/>
                <w14:textFill>
                  <w14:solidFill>
                    <w14:schemeClr w14:val="tx1"/>
                  </w14:solidFill>
                </w14:textFill>
              </w:rPr>
              <w:object>
                <v:shape id="_x0000_i1026" o:spt="75" type="#_x0000_t75" style="height:73.65pt;width:393.15pt;" o:ole="t" filled="f" o:preferrelative="t" stroked="f" coordsize="21600,21600">
                  <v:path/>
                  <v:fill on="f" focussize="0,0"/>
                  <v:stroke on="f"/>
                  <v:imagedata r:id="rId24" o:title=""/>
                  <o:lock v:ext="edit" aspectratio="f"/>
                  <w10:wrap type="none"/>
                  <w10:anchorlock/>
                </v:shape>
                <o:OLEObject Type="Embed" ProgID="Visio.Drawing.11" ShapeID="_x0000_i1026" DrawAspect="Content" ObjectID="_1468075726" r:id="rId23">
                  <o:LockedField>false</o:LockedField>
                </o:OLEObject>
              </w:object>
            </w:r>
            <w:r>
              <w:rPr>
                <w:rFonts w:hint="eastAsia" w:ascii="Times New Roman" w:hAnsi="Times New Roman" w:eastAsia="宋体" w:cs="Times New Roman"/>
                <w:b/>
                <w:bCs/>
                <w:i w:val="0"/>
                <w:color w:val="000000" w:themeColor="text1"/>
                <w:kern w:val="0"/>
                <w:sz w:val="24"/>
                <w:szCs w:val="24"/>
                <w:lang w:val="en-US" w:eastAsia="zh-CN" w:bidi="ar"/>
                <w14:textFill>
                  <w14:solidFill>
                    <w14:schemeClr w14:val="tx1"/>
                  </w14:solidFill>
                </w14:textFill>
              </w:rPr>
              <w:t>图4-2  施工期雨天水平衡分析  单位：m³/d</w:t>
            </w:r>
          </w:p>
          <w:p w14:paraId="03B1A4D5">
            <w:pPr>
              <w:pStyle w:val="48"/>
              <w:spacing w:before="0" w:after="0"/>
              <w:ind w:left="0" w:right="0"/>
              <w:rPr>
                <w:color w:val="000000" w:themeColor="text1"/>
                <w:sz w:val="24"/>
                <w:szCs w:val="24"/>
                <w14:textFill>
                  <w14:solidFill>
                    <w14:schemeClr w14:val="tx1"/>
                  </w14:solidFill>
                </w14:textFill>
              </w:rPr>
            </w:pPr>
          </w:p>
          <w:p w14:paraId="1247FA07">
            <w:pPr>
              <w:ind w:firstLine="0" w:firstLineChars="0"/>
              <w:jc w:val="center"/>
              <w:rPr>
                <w:rFonts w:hint="eastAsia"/>
                <w:b/>
                <w:bCs/>
                <w:color w:val="000000" w:themeColor="text1"/>
                <w:kern w:val="0"/>
                <w:sz w:val="24"/>
                <w:szCs w:val="24"/>
                <w:lang w:bidi="ar"/>
                <w14:textFill>
                  <w14:solidFill>
                    <w14:schemeClr w14:val="tx1"/>
                  </w14:solidFill>
                </w14:textFill>
              </w:rPr>
            </w:pPr>
          </w:p>
          <w:p w14:paraId="505CB678">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color w:val="000000" w:themeColor="text1"/>
                <w:sz w:val="24"/>
                <w:szCs w:val="24"/>
                <w14:textFill>
                  <w14:solidFill>
                    <w14:schemeClr w14:val="tx1"/>
                  </w14:solidFill>
                </w14:textFill>
              </w:rPr>
              <w:object>
                <v:shape id="_x0000_i1027" o:spt="75" type="#_x0000_t75" style="height:223.95pt;width:324pt;" o:ole="t" filled="f" o:preferrelative="t" stroked="f" coordsize="21600,21600">
                  <v:path/>
                  <v:fill on="f" focussize="0,0"/>
                  <v:stroke on="f"/>
                  <v:imagedata r:id="rId26" o:title=""/>
                  <o:lock v:ext="edit" aspectratio="f"/>
                  <w10:wrap type="none"/>
                  <w10:anchorlock/>
                </v:shape>
                <o:OLEObject Type="Embed" ProgID="Visio.Drawing.11" ShapeID="_x0000_i1027" DrawAspect="Content" ObjectID="_1468075727" r:id="rId25">
                  <o:LockedField>false</o:LockedField>
                </o:OLEObject>
              </w:object>
            </w:r>
          </w:p>
          <w:p w14:paraId="510D38B3">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图4-3  施工期晴天水平衡分析  单位：m³/d</w:t>
            </w:r>
          </w:p>
          <w:p w14:paraId="03450326">
            <w:pPr>
              <w:widowControl/>
              <w:adjustRightInd w:val="0"/>
              <w:snapToGrid w:val="0"/>
              <w:spacing w:line="240" w:lineRule="auto"/>
              <w:ind w:firstLine="0" w:firstLineChars="0"/>
              <w:jc w:val="center"/>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object>
                <v:shape id="_x0000_i1028" o:spt="75" type="#_x0000_t75" style="height:244.25pt;width:374.85pt;" o:ole="t" filled="f" o:preferrelative="t" stroked="f" coordsize="21600,21600">
                  <v:path/>
                  <v:fill on="f" focussize="0,0"/>
                  <v:stroke on="f"/>
                  <v:imagedata r:id="rId28" o:title=""/>
                  <o:lock v:ext="edit" aspectratio="f"/>
                  <w10:wrap type="none"/>
                  <w10:anchorlock/>
                </v:shape>
                <o:OLEObject Type="Embed" ProgID="Visio.Drawing.11" ShapeID="_x0000_i1028" DrawAspect="Content" ObjectID="_1468075728" r:id="rId27">
                  <o:LockedField>false</o:LockedField>
                </o:OLEObject>
              </w:object>
            </w:r>
          </w:p>
          <w:p w14:paraId="09966D4C">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图4-4  施工期年水平衡分析  单位：m³/a</w:t>
            </w:r>
          </w:p>
          <w:p w14:paraId="6AEBC1B1">
            <w:pPr>
              <w:widowControl/>
              <w:adjustRightInd w:val="0"/>
              <w:snapToGrid w:val="0"/>
              <w:ind w:firstLine="482"/>
              <w:jc w:val="center"/>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object>
                <v:shape id="_x0000_i1029" o:spt="75" type="#_x0000_t75" style="height:62.15pt;width:327.95pt;" o:ole="t" filled="f" o:preferrelative="t" stroked="f" coordsize="21600,21600">
                  <v:path/>
                  <v:fill on="f" focussize="0,0"/>
                  <v:stroke on="f"/>
                  <v:imagedata r:id="rId30" o:title=""/>
                  <o:lock v:ext="edit" aspectratio="f"/>
                  <w10:wrap type="none"/>
                  <w10:anchorlock/>
                </v:shape>
                <o:OLEObject Type="Embed" ProgID="Visio.Drawing.11" ShapeID="_x0000_i1029" DrawAspect="Content" ObjectID="_1468075729" r:id="rId29">
                  <o:LockedField>false</o:LockedField>
                </o:OLEObject>
              </w:object>
            </w:r>
          </w:p>
          <w:p w14:paraId="7172A643">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图4-5  养护期水平衡分析  单位：m³/a</w:t>
            </w:r>
          </w:p>
          <w:p w14:paraId="56615CE3">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7）废水回用的可行性分析</w:t>
            </w:r>
          </w:p>
          <w:p w14:paraId="703556BD">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从水质上分析，本项目位于郊区农村，回填区位置高于周边区域，不存在相关污水汇入情况，回用于</w:t>
            </w:r>
            <w:r>
              <w:rPr>
                <w:rFonts w:hint="eastAsia"/>
                <w:color w:val="000000" w:themeColor="text1"/>
                <w:lang w:val="en-US" w:eastAsia="zh-CN"/>
                <w14:textFill>
                  <w14:solidFill>
                    <w14:schemeClr w14:val="tx1"/>
                  </w14:solidFill>
                </w14:textFill>
              </w:rPr>
              <w:t>回填区的</w:t>
            </w:r>
            <w:r>
              <w:rPr>
                <w:rFonts w:hint="eastAsia"/>
                <w:color w:val="000000" w:themeColor="text1"/>
                <w14:textFill>
                  <w14:solidFill>
                    <w14:schemeClr w14:val="tx1"/>
                  </w14:solidFill>
                </w14:textFill>
              </w:rPr>
              <w:t>洒水降尘的地表径流和渗滤液等均来自于项目区雨水，雨水中相关污染物浓度较低。对比《城市污水再生利用城市杂用水水质》（GB/T 18920-2020）中城市绿化标准限值，主要针对生化指标（BOD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大肠埃希氏菌和总氯等进行控制。项目所使用改性磷石膏生态修复材料为已添加了稳定剂，为满足相关规范要求合格产品，磷石膏中的可溶物等已固化为难溶物，有机质含量在5%以下，无相关营养物质可用于微生物等进行生化作用，故相关生化和微生物指标可达到回用标准。磷石膏主要成分是硫酸钙，氯化物含量很低，且添加稳定剂后形成固态难溶物，基本不会有氯产生。且改性磷石膏修复材料相关标准中要求，浸出液需达</w:t>
            </w:r>
            <w:r>
              <w:rPr>
                <w:color w:val="000000" w:themeColor="text1"/>
                <w:kern w:val="0"/>
                <w:szCs w:val="21"/>
                <w14:textFill>
                  <w14:solidFill>
                    <w14:schemeClr w14:val="tx1"/>
                  </w14:solidFill>
                </w14:textFill>
              </w:rPr>
              <w:t>《污水综合排放标准》（GB8978-1996）</w:t>
            </w:r>
            <w:r>
              <w:rPr>
                <w:rFonts w:hint="eastAsia"/>
                <w:color w:val="000000" w:themeColor="text1"/>
                <w:kern w:val="0"/>
                <w:szCs w:val="21"/>
                <w14:textFill>
                  <w14:solidFill>
                    <w14:schemeClr w14:val="tx1"/>
                  </w14:solidFill>
                </w14:textFill>
              </w:rPr>
              <w:t>指标要求，根据</w:t>
            </w:r>
            <w:r>
              <w:rPr>
                <w:color w:val="000000" w:themeColor="text1"/>
                <w:kern w:val="0"/>
                <w:lang w:bidi="ar"/>
                <w14:textFill>
                  <w14:solidFill>
                    <w14:schemeClr w14:val="tx1"/>
                  </w14:solidFill>
                </w14:textFill>
              </w:rPr>
              <w:t>寻甸县科技和工业信息化局针对改性磷石膏基生态修复材料做的相关检测数据</w:t>
            </w:r>
            <w:r>
              <w:rPr>
                <w:rFonts w:hint="eastAsia"/>
                <w:color w:val="000000" w:themeColor="text1"/>
                <w:kern w:val="0"/>
                <w:lang w:bidi="ar"/>
                <w14:textFill>
                  <w14:solidFill>
                    <w14:schemeClr w14:val="tx1"/>
                  </w14:solidFill>
                </w14:textFill>
              </w:rPr>
              <w:t>，并</w:t>
            </w:r>
            <w:r>
              <w:rPr>
                <w:rFonts w:hint="eastAsia"/>
                <w:color w:val="000000" w:themeColor="text1"/>
                <w14:textFill>
                  <w14:solidFill>
                    <w14:schemeClr w14:val="tx1"/>
                  </w14:solidFill>
                </w14:textFill>
              </w:rPr>
              <w:t>类比宣威市落水镇白路采砂场修复项目中渗滤液情况，可知渗滤液水质中可溶性因子含量均较低，pH也在6-9范围，满足《城市污水再生利用城市杂用水水质》（GB/T 18920-2020）中城市绿化标准限值要求。</w:t>
            </w:r>
            <w:r>
              <w:rPr>
                <w:rFonts w:hint="eastAsia"/>
                <w:color w:val="000000" w:themeColor="text1"/>
                <w:lang w:val="en-US" w:eastAsia="zh-CN"/>
                <w14:textFill>
                  <w14:solidFill>
                    <w14:schemeClr w14:val="tx1"/>
                  </w14:solidFill>
                </w14:textFill>
              </w:rPr>
              <w:t>根据项目实施方案及堆填设计方案，</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矿坑修复区</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新建</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地下水收集井</w:t>
            </w:r>
            <w:r>
              <w:rPr>
                <w:rFonts w:hint="eastAsia" w:cs="Times New Roman"/>
                <w:color w:val="000000" w:themeColor="text1"/>
                <w:kern w:val="0"/>
                <w:sz w:val="24"/>
                <w:szCs w:val="24"/>
                <w:highlight w:val="none"/>
                <w:lang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地下水收集池，1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15.488</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渗滤液收集井，</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和</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w:t>
            </w:r>
            <w:r>
              <w:rPr>
                <w:rFonts w:hint="eastAsia" w:cs="Times New Roman"/>
                <w:color w:val="000000" w:themeColor="text1"/>
                <w:kern w:val="0"/>
                <w:sz w:val="24"/>
                <w:szCs w:val="24"/>
                <w:highlight w:val="none"/>
                <w:lang w:val="en-US" w:eastAsia="zh-CN" w:bidi="ar"/>
                <w14:textFill>
                  <w14:solidFill>
                    <w14:schemeClr w14:val="tx1"/>
                  </w14:solidFill>
                </w14:textFill>
              </w:rPr>
              <w:t>800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sz w:val="24"/>
                <w:szCs w:val="24"/>
                <w:highlight w:val="none"/>
                <w:lang w:val="en-US" w:eastAsia="zh-CN"/>
                <w14:textFill>
                  <w14:solidFill>
                    <w14:schemeClr w14:val="tx1"/>
                  </w14:solidFill>
                </w14:textFill>
              </w:rPr>
              <w:t>渗滤液收集池</w:t>
            </w:r>
            <w:r>
              <w:rPr>
                <w:rFonts w:hint="eastAsia" w:cs="Times New Roman"/>
                <w:color w:val="000000" w:themeColor="text1"/>
                <w:kern w:val="0"/>
                <w:sz w:val="24"/>
                <w:szCs w:val="24"/>
                <w:highlight w:val="none"/>
                <w:lang w:eastAsia="zh-CN" w:bidi="ar"/>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1个120</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雨水收集池</w:t>
            </w:r>
            <w:r>
              <w:rPr>
                <w:rFonts w:hint="eastAsia"/>
                <w:color w:val="000000" w:themeColor="text1"/>
                <w:sz w:val="24"/>
                <w:szCs w:val="24"/>
                <w:lang w:eastAsia="zh-CN"/>
                <w14:textFill>
                  <w14:solidFill>
                    <w14:schemeClr w14:val="tx1"/>
                  </w14:solidFill>
                </w14:textFill>
              </w:rPr>
              <w:t>；</w:t>
            </w:r>
            <w:r>
              <w:rPr>
                <w:rFonts w:hint="eastAsia"/>
                <w:color w:val="000000" w:themeColor="text1"/>
                <w14:textFill>
                  <w14:solidFill>
                    <w14:schemeClr w14:val="tx1"/>
                  </w14:solidFill>
                </w14:textFill>
              </w:rPr>
              <w:t>用来收集降雨天地表径流和渗滤液收集井容纳不完的渗滤液</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通过简单沉淀或加入少量混凝剂的方法去除水中泥沙等，可满足回用要求，此方法广泛应用于雨水利用，在全国普遍使用，是可行成熟方法，沉淀的泥沙直接用于修复回填。同时本评价也要求建设单位对回用水进行监测，达到《城市污水再生利用城市杂用水水质》（GB/T 18920-2020）中城市绿化、道路清扫、消防、建筑施工标准限值要求后方可回用，进一步保证了达标回用。故本项目地表径流、渗滤液等收集处理后达标回用具有可行性。</w:t>
            </w:r>
          </w:p>
          <w:p w14:paraId="494D8E8A">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从水量上分析，</w:t>
            </w:r>
            <w:r>
              <w:rPr>
                <w:rFonts w:hint="eastAsia" w:ascii="宋体" w:hAnsi="宋体" w:cs="宋体"/>
                <w:color w:val="000000" w:themeColor="text1"/>
                <w:kern w:val="0"/>
                <w:lang w:bidi="ar"/>
                <w14:textFill>
                  <w14:solidFill>
                    <w14:schemeClr w14:val="tx1"/>
                  </w14:solidFill>
                </w14:textFill>
              </w:rPr>
              <w:t>经测算，生态修复区洒水降尘需用水量为</w:t>
            </w:r>
            <w:r>
              <w:rPr>
                <w:rFonts w:hint="eastAsia"/>
                <w:color w:val="000000" w:themeColor="text1"/>
                <w:kern w:val="0"/>
                <w:lang w:val="en-US" w:eastAsia="zh-CN" w:bidi="ar"/>
                <w14:textFill>
                  <w14:solidFill>
                    <w14:schemeClr w14:val="tx1"/>
                  </w14:solidFill>
                </w14:textFill>
              </w:rPr>
              <w:t>258</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w:t>
            </w:r>
            <w:r>
              <w:rPr>
                <w:rFonts w:hint="eastAsia" w:ascii="宋体" w:hAnsi="宋体" w:cs="宋体"/>
                <w:color w:val="000000" w:themeColor="text1"/>
                <w:kern w:val="0"/>
                <w:lang w:bidi="ar"/>
                <w14:textFill>
                  <w14:solidFill>
                    <w14:schemeClr w14:val="tx1"/>
                  </w14:solidFill>
                </w14:textFill>
              </w:rPr>
              <w:t>，项目</w:t>
            </w:r>
            <w:r>
              <w:rPr>
                <w:rFonts w:hint="eastAsia" w:ascii="宋体" w:hAnsi="宋体" w:cs="宋体"/>
                <w:color w:val="000000" w:themeColor="text1"/>
                <w:kern w:val="0"/>
                <w:lang w:val="en-US" w:eastAsia="zh-CN" w:bidi="ar"/>
                <w14:textFill>
                  <w14:solidFill>
                    <w14:schemeClr w14:val="tx1"/>
                  </w14:solidFill>
                </w14:textFill>
              </w:rPr>
              <w:t>修复区</w:t>
            </w:r>
            <w:r>
              <w:rPr>
                <w:rFonts w:hint="eastAsia" w:ascii="宋体" w:hAnsi="宋体" w:cs="宋体"/>
                <w:color w:val="000000" w:themeColor="text1"/>
                <w:kern w:val="0"/>
                <w:lang w:bidi="ar"/>
                <w14:textFill>
                  <w14:solidFill>
                    <w14:schemeClr w14:val="tx1"/>
                  </w14:solidFill>
                </w14:textFill>
              </w:rPr>
              <w:t>渗滤液产生量约</w:t>
            </w:r>
            <w:r>
              <w:rPr>
                <w:rFonts w:hint="eastAsia"/>
                <w:color w:val="000000" w:themeColor="text1"/>
                <w:kern w:val="0"/>
                <w:lang w:val="en-US" w:eastAsia="zh-CN" w:bidi="ar"/>
                <w14:textFill>
                  <w14:solidFill>
                    <w14:schemeClr w14:val="tx1"/>
                  </w14:solidFill>
                </w14:textFill>
              </w:rPr>
              <w:t>100.69</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w:t>
            </w:r>
            <w:r>
              <w:rPr>
                <w:rFonts w:hint="eastAsia"/>
                <w:color w:val="000000" w:themeColor="text1"/>
                <w:kern w:val="0"/>
                <w:lang w:bidi="ar"/>
                <w14:textFill>
                  <w14:solidFill>
                    <w14:schemeClr w14:val="tx1"/>
                  </w14:solidFill>
                </w14:textFill>
              </w:rPr>
              <w:t>，</w:t>
            </w:r>
            <w:r>
              <w:rPr>
                <w:rFonts w:hint="eastAsia" w:ascii="宋体" w:hAnsi="宋体" w:cs="宋体"/>
                <w:color w:val="000000" w:themeColor="text1"/>
                <w:kern w:val="0"/>
                <w:lang w:val="en-US" w:eastAsia="zh-CN" w:bidi="ar"/>
                <w14:textFill>
                  <w14:solidFill>
                    <w14:schemeClr w14:val="tx1"/>
                  </w14:solidFill>
                </w14:textFill>
              </w:rPr>
              <w:t>修复区</w:t>
            </w:r>
            <w:r>
              <w:rPr>
                <w:rFonts w:hint="eastAsia"/>
                <w:color w:val="000000" w:themeColor="text1"/>
                <w:kern w:val="0"/>
                <w:lang w:bidi="ar"/>
                <w14:textFill>
                  <w14:solidFill>
                    <w14:schemeClr w14:val="tx1"/>
                  </w14:solidFill>
                </w14:textFill>
              </w:rPr>
              <w:t>收集地表径流水量约为</w:t>
            </w:r>
            <w:r>
              <w:rPr>
                <w:rFonts w:hint="eastAsia"/>
                <w:color w:val="000000" w:themeColor="text1"/>
                <w:kern w:val="0"/>
                <w:lang w:val="en-US" w:eastAsia="zh-CN" w:bidi="ar"/>
                <w14:textFill>
                  <w14:solidFill>
                    <w14:schemeClr w14:val="tx1"/>
                  </w14:solidFill>
                </w14:textFill>
              </w:rPr>
              <w:t>119.1</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w:t>
            </w:r>
            <w:r>
              <w:rPr>
                <w:rFonts w:hint="eastAsia" w:ascii="宋体" w:hAnsi="宋体" w:cs="宋体"/>
                <w:color w:val="000000" w:themeColor="text1"/>
                <w:kern w:val="0"/>
                <w:lang w:bidi="ar"/>
                <w14:textFill>
                  <w14:solidFill>
                    <w14:schemeClr w14:val="tx1"/>
                  </w14:solidFill>
                </w14:textFill>
              </w:rPr>
              <w:t>，小于洒水降尘需水量，故</w:t>
            </w:r>
            <w:r>
              <w:rPr>
                <w:rFonts w:hint="eastAsia"/>
                <w:color w:val="000000" w:themeColor="text1"/>
                <w14:textFill>
                  <w14:solidFill>
                    <w14:schemeClr w14:val="tx1"/>
                  </w14:solidFill>
                </w14:textFill>
              </w:rPr>
              <w:t>本项目产生的渗滤液、地表径流经沉淀处理后</w:t>
            </w:r>
            <w:r>
              <w:rPr>
                <w:rFonts w:hint="eastAsia" w:ascii="宋体" w:hAnsi="宋体" w:cs="宋体"/>
                <w:color w:val="000000" w:themeColor="text1"/>
                <w:kern w:val="0"/>
                <w:lang w:bidi="ar"/>
                <w14:textFill>
                  <w14:solidFill>
                    <w14:schemeClr w14:val="tx1"/>
                  </w14:solidFill>
                </w14:textFill>
              </w:rPr>
              <w:t>，全部回用于生态修复区洒水降尘具有可行性。本项目产生的渗滤液不排入地表水环境，对地表水环境影响不大。</w:t>
            </w:r>
          </w:p>
          <w:p w14:paraId="3F6223F7">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8）废水不外排可行性分析</w:t>
            </w:r>
          </w:p>
          <w:p w14:paraId="220DEDC1">
            <w:pP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本项目产生的施工废水、施工人员洗手废水均回用于场区洒水降尘不外排，项目最大地表水径流量为</w:t>
            </w:r>
            <w:r>
              <w:rPr>
                <w:rFonts w:hint="eastAsia"/>
                <w:color w:val="000000" w:themeColor="text1"/>
                <w:lang w:val="en-US" w:eastAsia="zh-CN"/>
                <w14:textFill>
                  <w14:solidFill>
                    <w14:schemeClr w14:val="tx1"/>
                  </w14:solidFill>
                </w14:textFill>
              </w:rPr>
              <w:t>119.1</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/d，项目渗滤液产生量为</w:t>
            </w:r>
            <w:r>
              <w:rPr>
                <w:rFonts w:hint="eastAsia"/>
                <w:color w:val="000000" w:themeColor="text1"/>
                <w:lang w:val="en-US" w:eastAsia="zh-CN"/>
                <w14:textFill>
                  <w14:solidFill>
                    <w14:schemeClr w14:val="tx1"/>
                  </w14:solidFill>
                </w14:textFill>
              </w:rPr>
              <w:t>100.69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根据项目实施方案及堆填设计方案，</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矿坑修复区</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新建</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地下水收集井</w:t>
            </w:r>
            <w:r>
              <w:rPr>
                <w:rFonts w:hint="eastAsia" w:cs="Times New Roman"/>
                <w:color w:val="000000" w:themeColor="text1"/>
                <w:kern w:val="0"/>
                <w:sz w:val="24"/>
                <w:szCs w:val="24"/>
                <w:highlight w:val="none"/>
                <w:lang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地下水收集池，1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个容积</w:t>
            </w:r>
            <w:r>
              <w:rPr>
                <w:rFonts w:hint="eastAsia" w:cs="Times New Roman"/>
                <w:color w:val="000000" w:themeColor="text1"/>
                <w:kern w:val="0"/>
                <w:sz w:val="24"/>
                <w:szCs w:val="24"/>
                <w:highlight w:val="none"/>
                <w:lang w:val="en-US" w:eastAsia="zh-CN" w:bidi="ar"/>
                <w14:textFill>
                  <w14:solidFill>
                    <w14:schemeClr w14:val="tx1"/>
                  </w14:solidFill>
                </w14:textFill>
              </w:rPr>
              <w:t>15.488</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kern w:val="0"/>
                <w:sz w:val="24"/>
                <w:szCs w:val="24"/>
                <w:highlight w:val="none"/>
                <w:lang w:val="en-US" w:eastAsia="zh-CN" w:bidi="ar"/>
                <w14:textFill>
                  <w14:solidFill>
                    <w14:schemeClr w14:val="tx1"/>
                  </w14:solidFill>
                </w14:textFill>
              </w:rPr>
              <w:t>渗滤液收集井，</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和</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个</w:t>
            </w:r>
            <w:r>
              <w:rPr>
                <w:rFonts w:hint="eastAsia" w:cs="Times New Roman"/>
                <w:color w:val="000000" w:themeColor="text1"/>
                <w:kern w:val="0"/>
                <w:sz w:val="24"/>
                <w:szCs w:val="24"/>
                <w:highlight w:val="none"/>
                <w:lang w:val="en-US" w:eastAsia="zh-CN" w:bidi="ar"/>
                <w14:textFill>
                  <w14:solidFill>
                    <w14:schemeClr w14:val="tx1"/>
                  </w14:solidFill>
                </w14:textFill>
              </w:rPr>
              <w:t>800</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m³的</w:t>
            </w:r>
            <w:r>
              <w:rPr>
                <w:rFonts w:hint="eastAsia" w:cs="Times New Roman"/>
                <w:color w:val="000000" w:themeColor="text1"/>
                <w:sz w:val="24"/>
                <w:szCs w:val="24"/>
                <w:highlight w:val="none"/>
                <w:lang w:val="en-US" w:eastAsia="zh-CN"/>
                <w14:textFill>
                  <w14:solidFill>
                    <w14:schemeClr w14:val="tx1"/>
                  </w14:solidFill>
                </w14:textFill>
              </w:rPr>
              <w:t>渗滤液收集池</w:t>
            </w:r>
            <w:r>
              <w:rPr>
                <w:rFonts w:hint="eastAsia" w:cs="Times New Roman"/>
                <w:color w:val="000000" w:themeColor="text1"/>
                <w:kern w:val="0"/>
                <w:sz w:val="24"/>
                <w:szCs w:val="24"/>
                <w:highlight w:val="none"/>
                <w:lang w:eastAsia="zh-CN" w:bidi="ar"/>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1个120</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雨水收集池</w:t>
            </w:r>
            <w:r>
              <w:rPr>
                <w:rFonts w:hint="eastAsia"/>
                <w:color w:val="000000" w:themeColor="text1"/>
                <w:sz w:val="24"/>
                <w:szCs w:val="24"/>
                <w:lang w:eastAsia="zh-CN"/>
                <w14:textFill>
                  <w14:solidFill>
                    <w14:schemeClr w14:val="tx1"/>
                  </w14:solidFill>
                </w14:textFill>
              </w:rPr>
              <w:t>；</w:t>
            </w:r>
            <w:r>
              <w:rPr>
                <w:rFonts w:hint="eastAsia"/>
                <w:color w:val="000000" w:themeColor="text1"/>
                <w14:textFill>
                  <w14:solidFill>
                    <w14:schemeClr w14:val="tx1"/>
                  </w14:solidFill>
                </w14:textFill>
              </w:rPr>
              <w:t>根据核算项目</w:t>
            </w:r>
            <w:r>
              <w:rPr>
                <w:rFonts w:hint="eastAsia"/>
                <w:color w:val="000000" w:themeColor="text1"/>
                <w:lang w:val="en-US" w:eastAsia="zh-CN"/>
                <w14:textFill>
                  <w14:solidFill>
                    <w14:schemeClr w14:val="tx1"/>
                  </w14:solidFill>
                </w14:textFill>
              </w:rPr>
              <w:t>回填区</w:t>
            </w:r>
            <w:r>
              <w:rPr>
                <w:rFonts w:hint="eastAsia"/>
                <w:color w:val="000000" w:themeColor="text1"/>
                <w14:textFill>
                  <w14:solidFill>
                    <w14:schemeClr w14:val="tx1"/>
                  </w14:solidFill>
                </w14:textFill>
              </w:rPr>
              <w:t>地表径流量为</w:t>
            </w:r>
            <w:r>
              <w:rPr>
                <w:rFonts w:hint="eastAsia"/>
                <w:color w:val="000000" w:themeColor="text1"/>
                <w:lang w:val="en-US" w:eastAsia="zh-CN"/>
                <w14:textFill>
                  <w14:solidFill>
                    <w14:schemeClr w14:val="tx1"/>
                  </w14:solidFill>
                </w14:textFill>
              </w:rPr>
              <w:t>119.1</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渗滤液日均产生量为100.69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/d，渗滤液收集池容积可以容纳连续降雨</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天产生的渗滤液</w:t>
            </w:r>
            <w:r>
              <w:rPr>
                <w:rFonts w:hint="eastAsia"/>
                <w:color w:val="000000" w:themeColor="text1"/>
                <w:lang w:eastAsia="zh-CN"/>
                <w14:textFill>
                  <w14:solidFill>
                    <w14:schemeClr w14:val="tx1"/>
                  </w14:solidFill>
                </w14:textFill>
              </w:rPr>
              <w:t>。</w:t>
            </w:r>
          </w:p>
          <w:p w14:paraId="68CB9868">
            <w:pPr>
              <w:pStyle w:val="21"/>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9）地表水污染防治措施</w:t>
            </w:r>
          </w:p>
          <w:p w14:paraId="0614896C">
            <w:pPr>
              <w:widowControl/>
              <w:ind w:firstLine="480"/>
              <w:jc w:val="left"/>
              <w:rPr>
                <w:b w:val="0"/>
                <w:bCs w:val="0"/>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w:t>
            </w:r>
            <w:r>
              <w:rPr>
                <w:rFonts w:hint="eastAsia"/>
                <w:b w:val="0"/>
                <w:bCs w:val="0"/>
                <w:color w:val="000000" w:themeColor="text1"/>
                <w:sz w:val="24"/>
                <w:szCs w:val="24"/>
                <w:lang w:val="en-US" w:eastAsia="zh-CN"/>
                <w14:textFill>
                  <w14:solidFill>
                    <w14:schemeClr w14:val="tx1"/>
                  </w14:solidFill>
                </w14:textFill>
              </w:rPr>
              <w:t>根据项目堆填设计，施工期收集的渗滤液在收集池暂存后回用于修复区绿化及洒水降尘，管护期渗滤液使用罐车拉回</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云南常青树化工有限公司、中化云龙有限公司</w:t>
            </w:r>
            <w:r>
              <w:rPr>
                <w:rFonts w:hint="eastAsia"/>
                <w:b w:val="0"/>
                <w:bCs w:val="0"/>
                <w:color w:val="000000" w:themeColor="text1"/>
                <w:sz w:val="24"/>
                <w:szCs w:val="24"/>
                <w:lang w:val="en-US" w:eastAsia="zh-CN"/>
                <w14:textFill>
                  <w14:solidFill>
                    <w14:schemeClr w14:val="tx1"/>
                  </w14:solidFill>
                </w14:textFill>
              </w:rPr>
              <w:t>进行处理。</w:t>
            </w:r>
            <w:r>
              <w:rPr>
                <w:rFonts w:hint="eastAsia"/>
                <w:b w:val="0"/>
                <w:bCs w:val="0"/>
                <w:color w:val="000000" w:themeColor="text1"/>
                <w:sz w:val="24"/>
                <w:szCs w:val="24"/>
                <w14:textFill>
                  <w14:solidFill>
                    <w14:schemeClr w14:val="tx1"/>
                  </w14:solidFill>
                </w14:textFill>
              </w:rPr>
              <w:t>同时本评价也要求建设单位对</w:t>
            </w:r>
            <w:r>
              <w:rPr>
                <w:rFonts w:hint="eastAsia"/>
                <w:b w:val="0"/>
                <w:bCs w:val="0"/>
                <w:color w:val="000000" w:themeColor="text1"/>
                <w:sz w:val="24"/>
                <w:szCs w:val="24"/>
                <w:lang w:val="en-US" w:eastAsia="zh-CN"/>
                <w14:textFill>
                  <w14:solidFill>
                    <w14:schemeClr w14:val="tx1"/>
                  </w14:solidFill>
                </w14:textFill>
              </w:rPr>
              <w:t>回用水</w:t>
            </w:r>
            <w:r>
              <w:rPr>
                <w:rFonts w:hint="eastAsia"/>
                <w:b w:val="0"/>
                <w:bCs w:val="0"/>
                <w:color w:val="000000" w:themeColor="text1"/>
                <w:sz w:val="24"/>
                <w:szCs w:val="24"/>
                <w14:textFill>
                  <w14:solidFill>
                    <w14:schemeClr w14:val="tx1"/>
                  </w14:solidFill>
                </w14:textFill>
              </w:rPr>
              <w:t>进行监测，达到《城市污水再生利用城市杂用水水质》（GB/T 18920-2020）中城市绿化要求后方可回用，进一步保证了达标回用。故本项目地表径流、渗滤液等收集处理后达标回用具有可行性。</w:t>
            </w:r>
          </w:p>
          <w:p w14:paraId="2246CD08">
            <w:pPr>
              <w:pStyle w:val="21"/>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地下水收集导排水定期开展监测，执行《农田灌溉水质标准》（GB5084—2021）中表1、表2旱地作物限值，达标的可回用于修复区绿化浇灌；不达标的拉运回云南常青树化工有限公司、中化云龙有限公司回用，禁止外排。</w:t>
            </w:r>
          </w:p>
          <w:p w14:paraId="77AA9EC9">
            <w:pPr>
              <w:pStyle w:val="21"/>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（3）雨天禁止开展回填施工，雨天应对已回填的改性磷石膏进行覆盖，回填区地表径流应收集全部回用。</w:t>
            </w:r>
          </w:p>
          <w:p w14:paraId="39C701A2">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综上，</w:t>
            </w:r>
            <w:r>
              <w:rPr>
                <w:rFonts w:hint="eastAsia"/>
                <w:color w:val="000000" w:themeColor="text1"/>
                <w14:textFill>
                  <w14:solidFill>
                    <w14:schemeClr w14:val="tx1"/>
                  </w14:solidFill>
                </w14:textFill>
              </w:rPr>
              <w:t>根据分析，项目施工废水均回用于场区洒水降尘；收集的渗滤液和地表径流全部用于场区洒水降尘。项目对周边地表水环境影响较小。</w:t>
            </w:r>
          </w:p>
          <w:p w14:paraId="229669B0">
            <w:pPr>
              <w:widowControl/>
              <w:adjustRightInd w:val="0"/>
              <w:snapToGrid w:val="0"/>
              <w:ind w:left="480" w:firstLine="0" w:firstLineChars="0"/>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4、地下水环境影响</w:t>
            </w:r>
          </w:p>
          <w:p w14:paraId="7F614380">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4.1评价工作等级</w:t>
            </w:r>
          </w:p>
          <w:p w14:paraId="5167790A">
            <w:pPr>
              <w:widowControl/>
              <w:ind w:firstLine="480"/>
              <w:jc w:val="left"/>
              <w:rPr>
                <w:color w:val="000000" w:themeColor="text1"/>
                <w:szCs w:val="28"/>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本项目为矿坑生态修复项目，根据《环境影响评价技术导则 地下水环境》（</w:t>
            </w:r>
            <w:r>
              <w:rPr>
                <w:color w:val="000000" w:themeColor="text1"/>
                <w:kern w:val="0"/>
                <w:lang w:bidi="ar"/>
                <w14:textFill>
                  <w14:solidFill>
                    <w14:schemeClr w14:val="tx1"/>
                  </w14:solidFill>
                </w14:textFill>
              </w:rPr>
              <w:t>HJ610-2016</w:t>
            </w:r>
            <w:r>
              <w:rPr>
                <w:rFonts w:hint="eastAsia" w:ascii="宋体" w:hAnsi="宋体" w:cs="宋体"/>
                <w:color w:val="000000" w:themeColor="text1"/>
                <w:kern w:val="0"/>
                <w:lang w:bidi="ar"/>
                <w14:textFill>
                  <w14:solidFill>
                    <w14:schemeClr w14:val="tx1"/>
                  </w14:solidFill>
                </w14:textFill>
              </w:rPr>
              <w:t xml:space="preserve">）附录 </w:t>
            </w:r>
            <w:r>
              <w:rPr>
                <w:color w:val="000000" w:themeColor="text1"/>
                <w:kern w:val="0"/>
                <w:lang w:bidi="ar"/>
                <w14:textFill>
                  <w14:solidFill>
                    <w14:schemeClr w14:val="tx1"/>
                  </w14:solidFill>
                </w14:textFill>
              </w:rPr>
              <w:t>A</w:t>
            </w:r>
            <w:r>
              <w:rPr>
                <w:rFonts w:hint="eastAsia" w:ascii="宋体" w:hAnsi="宋体" w:cs="宋体"/>
                <w:color w:val="000000" w:themeColor="text1"/>
                <w:kern w:val="0"/>
                <w:lang w:bidi="ar"/>
                <w14:textFill>
                  <w14:solidFill>
                    <w14:schemeClr w14:val="tx1"/>
                  </w14:solidFill>
                </w14:textFill>
              </w:rPr>
              <w:t>“地下水环境影响评价行业分类表”，参照相近行业类别“污染场地治理修复工程”，属于</w:t>
            </w:r>
            <w:r>
              <w:rPr>
                <w:color w:val="000000" w:themeColor="text1"/>
                <w:kern w:val="0"/>
                <w:lang w:bidi="ar"/>
                <w14:textFill>
                  <w14:solidFill>
                    <w14:schemeClr w14:val="tx1"/>
                  </w14:solidFill>
                </w14:textFill>
              </w:rPr>
              <w:t>Ⅲ</w:t>
            </w:r>
            <w:r>
              <w:rPr>
                <w:rFonts w:hint="eastAsia" w:ascii="宋体" w:hAnsi="宋体" w:cs="宋体"/>
                <w:color w:val="000000" w:themeColor="text1"/>
                <w:kern w:val="0"/>
                <w:lang w:bidi="ar"/>
                <w14:textFill>
                  <w14:solidFill>
                    <w14:schemeClr w14:val="tx1"/>
                  </w14:solidFill>
                </w14:textFill>
              </w:rPr>
              <w:t>类建设项目。</w:t>
            </w:r>
          </w:p>
          <w:p w14:paraId="099B5212">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建设项目的地下水环境敏感程度可分为敏感、较敏感、不敏感三级，分级原则见下表。</w:t>
            </w:r>
          </w:p>
          <w:p w14:paraId="26A8436C">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表4-5  地下水环境敏感程度分级表</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6811"/>
            </w:tblGrid>
            <w:tr w14:paraId="167A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47" w:type="pct"/>
                </w:tcPr>
                <w:p w14:paraId="202F59A2">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敏感程度</w:t>
                  </w:r>
                </w:p>
              </w:tc>
              <w:tc>
                <w:tcPr>
                  <w:tcW w:w="4352" w:type="pct"/>
                </w:tcPr>
                <w:p w14:paraId="538E55B2">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地下水环境敏感特征</w:t>
                  </w:r>
                </w:p>
              </w:tc>
            </w:tr>
            <w:tr w14:paraId="4155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14:paraId="722F0288">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敏感</w:t>
                  </w:r>
                </w:p>
              </w:tc>
              <w:tc>
                <w:tcPr>
                  <w:tcW w:w="4352" w:type="pct"/>
                  <w:vAlign w:val="center"/>
                </w:tcPr>
                <w:p w14:paraId="1081097B">
                  <w:pPr>
                    <w:widowControl/>
                    <w:spacing w:line="240" w:lineRule="auto"/>
                    <w:ind w:firstLine="0" w:firstLineChars="0"/>
                    <w:jc w:val="left"/>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2C98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14:paraId="036C2CB1">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较敏感</w:t>
                  </w:r>
                </w:p>
              </w:tc>
              <w:tc>
                <w:tcPr>
                  <w:tcW w:w="4352" w:type="pct"/>
                  <w:vAlign w:val="center"/>
                </w:tcPr>
                <w:p w14:paraId="67FB3E77">
                  <w:pPr>
                    <w:widowControl/>
                    <w:spacing w:line="240" w:lineRule="auto"/>
                    <w:ind w:firstLine="0" w:firstLineChars="0"/>
                    <w:jc w:val="left"/>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color w:val="000000" w:themeColor="text1"/>
                      <w:kern w:val="0"/>
                      <w:sz w:val="21"/>
                      <w:szCs w:val="21"/>
                      <w:vertAlign w:val="superscript"/>
                      <w:lang w:bidi="ar"/>
                      <w14:textFill>
                        <w14:solidFill>
                          <w14:schemeClr w14:val="tx1"/>
                        </w14:solidFill>
                      </w14:textFill>
                    </w:rPr>
                    <w:t>a</w:t>
                  </w:r>
                </w:p>
              </w:tc>
            </w:tr>
            <w:tr w14:paraId="5C4F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14:paraId="6B26AC6F">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不敏感</w:t>
                  </w:r>
                </w:p>
              </w:tc>
              <w:tc>
                <w:tcPr>
                  <w:tcW w:w="4352" w:type="pct"/>
                  <w:vAlign w:val="center"/>
                </w:tcPr>
                <w:p w14:paraId="45B21802">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上述地区之外的其他地区</w:t>
                  </w:r>
                </w:p>
              </w:tc>
            </w:tr>
            <w:tr w14:paraId="38D7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7F033361">
                  <w:pPr>
                    <w:widowControl/>
                    <w:spacing w:line="240" w:lineRule="auto"/>
                    <w:ind w:firstLine="0" w:firstLineChars="0"/>
                    <w:jc w:val="left"/>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a “环境敏感区”是指《建设项目环境影响评价分类管理名录》中所界定的涉及地下水的环境敏感区</w:t>
                  </w:r>
                </w:p>
              </w:tc>
            </w:tr>
          </w:tbl>
          <w:p w14:paraId="2CBE5AE3">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表4-6  评价工作等级分级表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2178"/>
              <w:gridCol w:w="1956"/>
              <w:gridCol w:w="1956"/>
            </w:tblGrid>
            <w:tr w14:paraId="4F78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trPr>
              <w:tc>
                <w:tcPr>
                  <w:tcW w:w="1107" w:type="pct"/>
                  <w:vAlign w:val="center"/>
                </w:tcPr>
                <w:p w14:paraId="1DB17EFF">
                  <w:pPr>
                    <w:widowControl/>
                    <w:snapToGrid w:val="0"/>
                    <w:spacing w:line="240" w:lineRule="auto"/>
                    <w:ind w:firstLine="0" w:firstLineChars="0"/>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敏感程度</w:t>
                  </w:r>
                </w:p>
                <w:p w14:paraId="3D61CFE2">
                  <w:pPr>
                    <w:widowControl/>
                    <w:spacing w:line="240" w:lineRule="auto"/>
                    <w:ind w:firstLine="0" w:firstLineChars="0"/>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项目类别</w:t>
                  </w:r>
                </w:p>
              </w:tc>
              <w:tc>
                <w:tcPr>
                  <w:tcW w:w="1392" w:type="pct"/>
                  <w:vAlign w:val="center"/>
                </w:tcPr>
                <w:p w14:paraId="6C70E35F">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Ⅰ</w:t>
                  </w:r>
                  <w:r>
                    <w:rPr>
                      <w:rFonts w:hint="eastAsia"/>
                      <w:b/>
                      <w:bCs/>
                      <w:color w:val="000000" w:themeColor="text1"/>
                      <w:kern w:val="0"/>
                      <w:sz w:val="21"/>
                      <w:szCs w:val="21"/>
                      <w:lang w:bidi="ar"/>
                      <w14:textFill>
                        <w14:solidFill>
                          <w14:schemeClr w14:val="tx1"/>
                        </w14:solidFill>
                      </w14:textFill>
                    </w:rPr>
                    <w:t>类项目</w:t>
                  </w:r>
                </w:p>
              </w:tc>
              <w:tc>
                <w:tcPr>
                  <w:tcW w:w="1250" w:type="pct"/>
                  <w:vAlign w:val="center"/>
                </w:tcPr>
                <w:p w14:paraId="41CF9E49">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Ⅱ</w:t>
                  </w:r>
                  <w:r>
                    <w:rPr>
                      <w:rFonts w:hint="eastAsia"/>
                      <w:b/>
                      <w:bCs/>
                      <w:color w:val="000000" w:themeColor="text1"/>
                      <w:kern w:val="0"/>
                      <w:sz w:val="21"/>
                      <w:szCs w:val="21"/>
                      <w:lang w:bidi="ar"/>
                      <w14:textFill>
                        <w14:solidFill>
                          <w14:schemeClr w14:val="tx1"/>
                        </w14:solidFill>
                      </w14:textFill>
                    </w:rPr>
                    <w:t>类项目</w:t>
                  </w:r>
                </w:p>
              </w:tc>
              <w:tc>
                <w:tcPr>
                  <w:tcW w:w="1250" w:type="pct"/>
                  <w:vAlign w:val="center"/>
                </w:tcPr>
                <w:p w14:paraId="54F82A37">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Ⅲ</w:t>
                  </w:r>
                  <w:r>
                    <w:rPr>
                      <w:rFonts w:hint="eastAsia"/>
                      <w:b/>
                      <w:bCs/>
                      <w:color w:val="000000" w:themeColor="text1"/>
                      <w:kern w:val="0"/>
                      <w:sz w:val="21"/>
                      <w:szCs w:val="21"/>
                      <w:lang w:bidi="ar"/>
                      <w14:textFill>
                        <w14:solidFill>
                          <w14:schemeClr w14:val="tx1"/>
                        </w14:solidFill>
                      </w14:textFill>
                    </w:rPr>
                    <w:t>类项目</w:t>
                  </w:r>
                </w:p>
              </w:tc>
            </w:tr>
            <w:tr w14:paraId="2281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07" w:type="pct"/>
                  <w:vAlign w:val="center"/>
                </w:tcPr>
                <w:p w14:paraId="567C8613">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敏感</w:t>
                  </w:r>
                </w:p>
              </w:tc>
              <w:tc>
                <w:tcPr>
                  <w:tcW w:w="1392" w:type="pct"/>
                  <w:vAlign w:val="center"/>
                </w:tcPr>
                <w:p w14:paraId="02305CC6">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一</w:t>
                  </w:r>
                </w:p>
              </w:tc>
              <w:tc>
                <w:tcPr>
                  <w:tcW w:w="1250" w:type="pct"/>
                  <w:vAlign w:val="center"/>
                </w:tcPr>
                <w:p w14:paraId="1463D18D">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一</w:t>
                  </w:r>
                </w:p>
              </w:tc>
              <w:tc>
                <w:tcPr>
                  <w:tcW w:w="1250" w:type="pct"/>
                  <w:shd w:val="clear" w:color="auto" w:fill="auto"/>
                  <w:vAlign w:val="center"/>
                </w:tcPr>
                <w:p w14:paraId="546ADBDA">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二</w:t>
                  </w:r>
                </w:p>
              </w:tc>
            </w:tr>
            <w:tr w14:paraId="0B8C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BA59D8E">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较敏感</w:t>
                  </w:r>
                </w:p>
              </w:tc>
              <w:tc>
                <w:tcPr>
                  <w:tcW w:w="1392" w:type="pct"/>
                  <w:vAlign w:val="center"/>
                </w:tcPr>
                <w:p w14:paraId="2B9A2F4C">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一</w:t>
                  </w:r>
                </w:p>
              </w:tc>
              <w:tc>
                <w:tcPr>
                  <w:tcW w:w="1250" w:type="pct"/>
                  <w:vAlign w:val="center"/>
                </w:tcPr>
                <w:p w14:paraId="551540DD">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二</w:t>
                  </w:r>
                </w:p>
              </w:tc>
              <w:tc>
                <w:tcPr>
                  <w:tcW w:w="1250" w:type="pct"/>
                  <w:shd w:val="clear" w:color="auto" w:fill="BEBEBE" w:themeFill="background1" w:themeFillShade="BF"/>
                  <w:vAlign w:val="center"/>
                </w:tcPr>
                <w:p w14:paraId="2B66385A">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highlight w:val="lightGray"/>
                      <w:lang w:bidi="ar"/>
                      <w14:textFill>
                        <w14:solidFill>
                          <w14:schemeClr w14:val="tx1"/>
                        </w14:solidFill>
                      </w14:textFill>
                    </w:rPr>
                    <w:t>三</w:t>
                  </w:r>
                </w:p>
              </w:tc>
            </w:tr>
            <w:tr w14:paraId="1046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2B397BAC">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不敏感</w:t>
                  </w:r>
                </w:p>
              </w:tc>
              <w:tc>
                <w:tcPr>
                  <w:tcW w:w="1392" w:type="pct"/>
                  <w:vAlign w:val="center"/>
                </w:tcPr>
                <w:p w14:paraId="574A44D5">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二</w:t>
                  </w:r>
                </w:p>
              </w:tc>
              <w:tc>
                <w:tcPr>
                  <w:tcW w:w="1250" w:type="pct"/>
                  <w:vAlign w:val="center"/>
                </w:tcPr>
                <w:p w14:paraId="573F86EE">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三</w:t>
                  </w:r>
                </w:p>
              </w:tc>
              <w:tc>
                <w:tcPr>
                  <w:tcW w:w="1250" w:type="pct"/>
                  <w:vAlign w:val="center"/>
                </w:tcPr>
                <w:p w14:paraId="3B283359">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三</w:t>
                  </w:r>
                </w:p>
              </w:tc>
            </w:tr>
          </w:tbl>
          <w:p w14:paraId="6A11669A">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eastAsia="zh-CN" w:bidi="ar"/>
                <w14:textFill>
                  <w14:solidFill>
                    <w14:schemeClr w14:val="tx1"/>
                  </w14:solidFill>
                </w14:textFill>
              </w:rPr>
              <w:t>根据《环境影响评价技术导则 地下水环境》（HJ610-2016）附录A，本项目为Ⅲ类项目。</w:t>
            </w:r>
            <w:r>
              <w:rPr>
                <w:rFonts w:hint="eastAsia" w:ascii="宋体" w:hAnsi="宋体" w:cs="宋体"/>
                <w:color w:val="000000" w:themeColor="text1"/>
                <w:kern w:val="0"/>
                <w:lang w:bidi="ar"/>
                <w14:textFill>
                  <w14:solidFill>
                    <w14:schemeClr w14:val="tx1"/>
                  </w14:solidFill>
                </w14:textFill>
              </w:rPr>
              <w:t>建设项目场地的地下水环境敏感程度：</w:t>
            </w:r>
            <w:r>
              <w:rPr>
                <w:rFonts w:hint="eastAsia"/>
                <w:color w:val="000000" w:themeColor="text1"/>
                <w:kern w:val="0"/>
                <w:lang w:val="en-US" w:eastAsia="zh-CN" w:bidi="ar"/>
                <w14:textFill>
                  <w14:solidFill>
                    <w14:schemeClr w14:val="tx1"/>
                  </w14:solidFill>
                </w14:textFill>
              </w:rPr>
              <w:t>根据现场</w:t>
            </w:r>
            <w:r>
              <w:rPr>
                <w:rFonts w:hint="eastAsia"/>
                <w:color w:val="000000" w:themeColor="text1"/>
                <w:kern w:val="0"/>
                <w:lang w:eastAsia="zh-CN" w:bidi="ar"/>
                <w14:textFill>
                  <w14:solidFill>
                    <w14:schemeClr w14:val="tx1"/>
                  </w14:solidFill>
                </w14:textFill>
              </w:rPr>
              <w:t>调查，</w:t>
            </w:r>
            <w:r>
              <w:rPr>
                <w:rFonts w:hint="eastAsia"/>
                <w:color w:val="000000" w:themeColor="text1"/>
                <w:kern w:val="0"/>
                <w:lang w:val="en-US" w:eastAsia="zh-CN" w:bidi="ar"/>
                <w14:textFill>
                  <w14:solidFill>
                    <w14:schemeClr w14:val="tx1"/>
                  </w14:solidFill>
                </w14:textFill>
              </w:rPr>
              <w:t>水文地质调查报告以及</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《昆明市寻甸县塘子街道石板河水库饮用水水源保护区划分方案（报批稿）》（2019年12月）</w:t>
            </w:r>
            <w:r>
              <w:rPr>
                <w:rFonts w:hint="eastAsia"/>
                <w:color w:val="000000" w:themeColor="text1"/>
                <w:kern w:val="0"/>
                <w:lang w:eastAsia="zh-CN" w:bidi="ar"/>
                <w14:textFill>
                  <w14:solidFill>
                    <w14:schemeClr w14:val="tx1"/>
                  </w14:solidFill>
                </w14:textFill>
              </w:rPr>
              <w:t>，项目</w:t>
            </w:r>
            <w:r>
              <w:rPr>
                <w:rFonts w:hint="eastAsia"/>
                <w:color w:val="000000" w:themeColor="text1"/>
                <w:kern w:val="0"/>
                <w:lang w:val="en-US" w:eastAsia="zh-CN" w:bidi="ar"/>
                <w14:textFill>
                  <w14:solidFill>
                    <w14:schemeClr w14:val="tx1"/>
                  </w14:solidFill>
                </w14:textFill>
              </w:rPr>
              <w:t>地下水评价范围内</w:t>
            </w:r>
            <w:r>
              <w:rPr>
                <w:rFonts w:hint="eastAsia"/>
                <w:color w:val="000000" w:themeColor="text1"/>
                <w:kern w:val="0"/>
                <w:lang w:eastAsia="zh-CN" w:bidi="ar"/>
                <w14:textFill>
                  <w14:solidFill>
                    <w14:schemeClr w14:val="tx1"/>
                  </w14:solidFill>
                </w14:textFill>
              </w:rPr>
              <w:t>涉及</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石板河水库饮用水水源</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二级</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保护区</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，以及</w:t>
            </w:r>
            <w:r>
              <w:rPr>
                <w:rFonts w:hint="eastAsia" w:ascii="Times New Roman" w:hAnsi="Times New Roman" w:eastAsia="宋体"/>
                <w:color w:val="000000" w:themeColor="text1"/>
                <w:highlight w:val="none"/>
                <w:lang w:val="en-US" w:eastAsia="zh-CN"/>
                <w14:textFill>
                  <w14:solidFill>
                    <w14:schemeClr w14:val="tx1"/>
                  </w14:solidFill>
                </w14:textFill>
              </w:rPr>
              <w:t>下游八角洞村2口民用水井MJ1、MJ2，龙潭村建设1口民用水井MJ3，</w:t>
            </w:r>
            <w:r>
              <w:rPr>
                <w:rFonts w:hint="eastAsia"/>
                <w:color w:val="000000" w:themeColor="text1"/>
                <w:highlight w:val="none"/>
                <w:lang w:val="en-US" w:eastAsia="zh-CN"/>
                <w14:textFill>
                  <w14:solidFill>
                    <w14:schemeClr w14:val="tx1"/>
                  </w14:solidFill>
                </w14:textFill>
              </w:rPr>
              <w:t>以及龙潭村的</w:t>
            </w:r>
            <w:r>
              <w:rPr>
                <w:rFonts w:hint="eastAsia" w:ascii="Times New Roman" w:hAnsi="Times New Roman" w:eastAsia="宋体"/>
                <w:color w:val="000000" w:themeColor="text1"/>
                <w:highlight w:val="none"/>
                <w:lang w:val="en-US" w:eastAsia="zh-CN"/>
                <w14:textFill>
                  <w14:solidFill>
                    <w14:schemeClr w14:val="tx1"/>
                  </w14:solidFill>
                </w14:textFill>
              </w:rPr>
              <w:t>Q1泉点</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Q1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泉点及</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14:textFill>
                  <w14:solidFill>
                    <w14:schemeClr w14:val="tx1"/>
                  </w14:solidFill>
                </w14:textFill>
              </w:rPr>
              <w:t>J</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MJ3</w:t>
            </w:r>
            <w:r>
              <w:rPr>
                <w:rFonts w:hint="default" w:ascii="Times New Roman" w:hAnsi="Times New Roman" w:eastAsia="宋体" w:cs="Times New Roman"/>
                <w:color w:val="000000" w:themeColor="text1"/>
                <w:szCs w:val="21"/>
                <w:highlight w:val="none"/>
                <w14:textFill>
                  <w14:solidFill>
                    <w14:schemeClr w14:val="tx1"/>
                  </w14:solidFill>
                </w14:textFill>
              </w:rPr>
              <w:t>水井</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具有饮用水功能，</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均不</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当地集中式饮用水保护区及村镇饮用水水源点保护区范围内</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因此地下水环境敏感程度为“敏感”。对照《环境影响评价技术导则 地下水环境》（HJ610-2016）建设项目评价工作等级分级表可知，本项目地下水评价工作等级为</w:t>
            </w:r>
            <w:r>
              <w:rPr>
                <w:rFonts w:hint="eastAsia" w:ascii="宋体" w:hAnsi="宋体" w:cs="宋体"/>
                <w:color w:val="000000" w:themeColor="text1"/>
                <w:kern w:val="0"/>
                <w:lang w:val="en-US" w:eastAsia="zh-CN" w:bidi="ar"/>
                <w14:textFill>
                  <w14:solidFill>
                    <w14:schemeClr w14:val="tx1"/>
                  </w14:solidFill>
                </w14:textFill>
              </w:rPr>
              <w:t>二级</w:t>
            </w:r>
            <w:r>
              <w:rPr>
                <w:rFonts w:hint="eastAsia" w:ascii="宋体" w:hAnsi="宋体" w:cs="宋体"/>
                <w:color w:val="000000" w:themeColor="text1"/>
                <w:kern w:val="0"/>
                <w:lang w:bidi="ar"/>
                <w14:textFill>
                  <w14:solidFill>
                    <w14:schemeClr w14:val="tx1"/>
                  </w14:solidFill>
                </w14:textFill>
              </w:rPr>
              <w:t>。</w:t>
            </w:r>
          </w:p>
          <w:p w14:paraId="24E5C1F2">
            <w:pPr>
              <w:widowControl/>
              <w:ind w:firstLine="482"/>
              <w:jc w:val="left"/>
              <w:rPr>
                <w:rFonts w:hint="eastAsia"/>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4.2评价范围</w:t>
            </w:r>
          </w:p>
          <w:p w14:paraId="0501B3C0">
            <w:pPr>
              <w:spacing w:line="360" w:lineRule="auto"/>
              <w:ind w:firstLine="480" w:firstLineChars="200"/>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eastAsia"/>
                <w:color w:val="000000" w:themeColor="text1"/>
                <w:kern w:val="0"/>
                <w:lang w:val="en-US" w:eastAsia="zh-CN" w:bidi="ar"/>
                <w14:textFill>
                  <w14:solidFill>
                    <w14:schemeClr w14:val="tx1"/>
                  </w14:solidFill>
                </w14:textFill>
              </w:rPr>
              <w:t>根据</w:t>
            </w:r>
            <w:r>
              <w:rPr>
                <w:rFonts w:hint="default" w:ascii="Times New Roman" w:hAnsi="Times New Roman" w:eastAsia="宋体" w:cs="Times New Roman"/>
                <w:color w:val="000000" w:themeColor="text1"/>
                <w:sz w:val="24"/>
                <w:szCs w:val="24"/>
                <w:lang w:eastAsia="zh-CN"/>
                <w14:textFill>
                  <w14:solidFill>
                    <w14:schemeClr w14:val="tx1"/>
                  </w14:solidFill>
                </w14:textFill>
              </w:rPr>
              <w:t>广西华蓝岩土工程有限公司</w:t>
            </w:r>
            <w:r>
              <w:rPr>
                <w:rFonts w:hint="eastAsia" w:cs="Times New Roman"/>
                <w:color w:val="000000" w:themeColor="text1"/>
                <w:sz w:val="24"/>
                <w:szCs w:val="24"/>
                <w:lang w:val="en-US" w:eastAsia="zh-CN"/>
                <w14:textFill>
                  <w14:solidFill>
                    <w14:schemeClr w14:val="tx1"/>
                  </w14:solidFill>
                </w14:textFill>
              </w:rPr>
              <w:t>提供</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eastAsia" w:ascii="Times New Roman" w:hAnsi="Times New Roman" w:eastAsia="宋体" w:cs="Times New Roman"/>
                <w:color w:val="000000" w:themeColor="text1"/>
                <w:sz w:val="24"/>
                <w:szCs w:val="24"/>
                <w:lang w:eastAsia="zh-CN"/>
                <w14:textFill>
                  <w14:solidFill>
                    <w14:schemeClr w14:val="tx1"/>
                  </w14:solidFill>
                </w14:textFill>
              </w:rPr>
              <w:t>寻甸县常青树磷石膏库综合治理项目</w:t>
            </w:r>
            <w:r>
              <w:rPr>
                <w:rFonts w:hint="eastAsia" w:cs="Times New Roman"/>
                <w:color w:val="000000" w:themeColor="text1"/>
                <w:sz w:val="24"/>
                <w:szCs w:val="24"/>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4"/>
                <w:szCs w:val="24"/>
                <w:lang w:eastAsia="zh-CN"/>
                <w14:textFill>
                  <w14:solidFill>
                    <w14:schemeClr w14:val="tx1"/>
                  </w14:solidFill>
                </w14:textFill>
              </w:rPr>
              <w:t>生态修复</w:t>
            </w:r>
            <w:r>
              <w:rPr>
                <w:rFonts w:hint="default" w:ascii="Times New Roman" w:hAnsi="Times New Roman" w:eastAsia="宋体" w:cs="Times New Roman"/>
                <w:color w:val="000000" w:themeColor="text1"/>
                <w:sz w:val="24"/>
                <w:szCs w:val="24"/>
                <w:lang w:eastAsia="zh-CN"/>
                <w14:textFill>
                  <w14:solidFill>
                    <w14:schemeClr w14:val="tx1"/>
                  </w14:solidFill>
                </w14:textFill>
              </w:rPr>
              <w:t>水文地质勘察报告》</w:t>
            </w:r>
            <w:r>
              <w:rPr>
                <w:rFonts w:hint="eastAsia"/>
                <w:color w:val="000000" w:themeColor="text1"/>
                <w:kern w:val="0"/>
                <w:lang w:eastAsia="zh-CN" w:bidi="ar"/>
                <w14:textFill>
                  <w14:solidFill>
                    <w14:schemeClr w14:val="tx1"/>
                  </w14:solidFill>
                </w14:textFill>
              </w:rPr>
              <w:t>水文地质单元边界划分如下：</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场址区位于</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马龙河</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水文地质单元之</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龙潭河</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次级水文地质小单元，其地表水分水岭与地下水分水岭</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基本</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一致，</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场址</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区具有统一的补给、径流和排泄条件，其水文地质单元边界即为地表分水岭。</w:t>
            </w:r>
          </w:p>
          <w:p w14:paraId="1D4E21BB">
            <w:pPr>
              <w:widowControl/>
              <w:ind w:firstLine="480"/>
              <w:jc w:val="left"/>
              <w:rPr>
                <w:rFonts w:hint="default"/>
                <w:color w:val="000000" w:themeColor="text1"/>
                <w:kern w:val="0"/>
                <w:lang w:val="en-US" w:eastAsia="zh-CN" w:bidi="ar"/>
                <w14:textFill>
                  <w14:solidFill>
                    <w14:schemeClr w14:val="tx1"/>
                  </w14:solidFill>
                </w14:textFill>
              </w:rPr>
            </w:pPr>
            <w:r>
              <w:rPr>
                <w:rFonts w:hint="eastAsia"/>
                <w:color w:val="000000" w:themeColor="text1"/>
                <w:kern w:val="0"/>
                <w:lang w:eastAsia="zh-CN" w:bidi="ar"/>
                <w14:textFill>
                  <w14:solidFill>
                    <w14:schemeClr w14:val="tx1"/>
                  </w14:solidFill>
                </w14:textFill>
              </w:rPr>
              <w:t>本次评价范围采用《环境影响评价技术导则—地下水环境》（HJ610-2016）中自定义法，根据</w:t>
            </w:r>
            <w:r>
              <w:rPr>
                <w:rFonts w:hint="eastAsia"/>
                <w:color w:val="000000" w:themeColor="text1"/>
                <w:kern w:val="0"/>
                <w:lang w:val="en-US" w:eastAsia="zh-CN" w:bidi="ar"/>
                <w14:textFill>
                  <w14:solidFill>
                    <w14:schemeClr w14:val="tx1"/>
                  </w14:solidFill>
                </w14:textFill>
              </w:rPr>
              <w:t>场址区</w:t>
            </w:r>
            <w:r>
              <w:rPr>
                <w:rFonts w:hint="eastAsia"/>
                <w:color w:val="000000" w:themeColor="text1"/>
                <w:kern w:val="0"/>
                <w:lang w:eastAsia="zh-CN" w:bidi="ar"/>
                <w14:textFill>
                  <w14:solidFill>
                    <w14:schemeClr w14:val="tx1"/>
                  </w14:solidFill>
                </w14:textFill>
              </w:rPr>
              <w:t>水文地质单元、周边分水岭及场址区含、隔水层、地形、</w:t>
            </w:r>
            <w:r>
              <w:rPr>
                <w:rFonts w:hint="eastAsia"/>
                <w:color w:val="000000" w:themeColor="text1"/>
                <w:kern w:val="0"/>
                <w:lang w:val="en-US" w:eastAsia="zh-CN" w:bidi="ar"/>
                <w14:textFill>
                  <w14:solidFill>
                    <w14:schemeClr w14:val="tx1"/>
                  </w14:solidFill>
                </w14:textFill>
              </w:rPr>
              <w:t>河流等</w:t>
            </w:r>
            <w:r>
              <w:rPr>
                <w:rFonts w:hint="eastAsia"/>
                <w:color w:val="000000" w:themeColor="text1"/>
                <w:kern w:val="0"/>
                <w:lang w:eastAsia="zh-CN" w:bidi="ar"/>
                <w14:textFill>
                  <w14:solidFill>
                    <w14:schemeClr w14:val="tx1"/>
                  </w14:solidFill>
                </w14:textFill>
              </w:rPr>
              <w:t>对周边地下水的影响情况，</w:t>
            </w:r>
            <w:r>
              <w:rPr>
                <w:rFonts w:hint="eastAsia"/>
                <w:color w:val="000000" w:themeColor="text1"/>
                <w:kern w:val="0"/>
                <w:lang w:val="en-US" w:eastAsia="zh-CN" w:bidi="ar"/>
                <w14:textFill>
                  <w14:solidFill>
                    <w14:schemeClr w14:val="tx1"/>
                  </w14:solidFill>
                </w14:textFill>
              </w:rPr>
              <w:t>本项目评价</w:t>
            </w:r>
            <w:r>
              <w:rPr>
                <w:rFonts w:hint="eastAsia"/>
                <w:color w:val="000000" w:themeColor="text1"/>
                <w:kern w:val="0"/>
                <w:lang w:eastAsia="zh-CN" w:bidi="ar"/>
                <w14:textFill>
                  <w14:solidFill>
                    <w14:schemeClr w14:val="tx1"/>
                  </w14:solidFill>
                </w14:textFill>
              </w:rPr>
              <w:t>范围以场址区次级水文地质为基础，适当向周边沟谷、河流、分水岭延伸，</w:t>
            </w:r>
            <w:r>
              <w:rPr>
                <w:rFonts w:hint="eastAsia"/>
                <w:color w:val="000000" w:themeColor="text1"/>
                <w:kern w:val="0"/>
                <w:lang w:val="en-US" w:eastAsia="zh-CN" w:bidi="ar"/>
                <w14:textFill>
                  <w14:solidFill>
                    <w14:schemeClr w14:val="tx1"/>
                  </w14:solidFill>
                </w14:textFill>
              </w:rPr>
              <w:t>并根据地下水导则建议二级评价</w:t>
            </w:r>
            <w:r>
              <w:rPr>
                <w:rFonts w:hint="eastAsia"/>
                <w:color w:val="000000" w:themeColor="text1"/>
                <w:kern w:val="0"/>
                <w:lang w:eastAsia="zh-CN" w:bidi="ar"/>
                <w14:textFill>
                  <w14:solidFill>
                    <w14:schemeClr w14:val="tx1"/>
                  </w14:solidFill>
                </w14:textFill>
              </w:rPr>
              <w:t>其边界大致为：</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北</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部以</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莲花山-白龙潭-后山</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山脊分水岭为界</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，西部以F126断裂（钙质、泥质页岩与白云岩、泥质白云岩</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相对隔水层分界线</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）为界，</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南部以</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良家田西</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北侧山脊次级分水岭为界，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部以</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龙潭</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河为界。评价区总面积约</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18.5</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km</w:t>
            </w:r>
            <w:r>
              <w:rPr>
                <w:rFonts w:hint="default" w:ascii="Times New Roman" w:hAnsi="Times New Roman" w:eastAsia="宋体" w:cs="Times New Roman"/>
                <w:color w:val="000000" w:themeColor="text1"/>
                <w:sz w:val="24"/>
                <w:szCs w:val="24"/>
                <w:highlight w:val="none"/>
                <w:vertAlign w:val="superscript"/>
                <w:lang w:val="zh-CN"/>
                <w14:textFill>
                  <w14:solidFill>
                    <w14:schemeClr w14:val="tx1"/>
                  </w14:solidFill>
                </w14:textFill>
              </w:rPr>
              <w:t>2</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评价范围图见附图7。</w:t>
            </w:r>
          </w:p>
          <w:p w14:paraId="5970BAFB">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4.3</w:t>
            </w:r>
            <w:r>
              <w:rPr>
                <w:rFonts w:hint="eastAsia"/>
                <w:b/>
                <w:bCs/>
                <w:color w:val="000000" w:themeColor="text1"/>
                <w:szCs w:val="28"/>
                <w:lang w:val="en-US" w:eastAsia="zh-CN"/>
                <w14:textFill>
                  <w14:solidFill>
                    <w14:schemeClr w14:val="tx1"/>
                  </w14:solidFill>
                </w14:textFill>
              </w:rPr>
              <w:t>修复区</w:t>
            </w:r>
            <w:r>
              <w:rPr>
                <w:rFonts w:hint="eastAsia"/>
                <w:b/>
                <w:bCs/>
                <w:color w:val="000000" w:themeColor="text1"/>
                <w:szCs w:val="28"/>
                <w14:textFill>
                  <w14:solidFill>
                    <w14:schemeClr w14:val="tx1"/>
                  </w14:solidFill>
                </w14:textFill>
              </w:rPr>
              <w:t>地形地貌</w:t>
            </w:r>
          </w:p>
          <w:p w14:paraId="4B222B61">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1E28EF9B">
            <w:pPr>
              <w:spacing w:line="360" w:lineRule="auto"/>
              <w:ind w:firstLine="480" w:firstLineChars="200"/>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pPr>
          </w:p>
          <w:p w14:paraId="4438D3A6">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4.4</w:t>
            </w:r>
            <w:r>
              <w:rPr>
                <w:rFonts w:hint="eastAsia"/>
                <w:b/>
                <w:bCs/>
                <w:color w:val="000000" w:themeColor="text1"/>
                <w:szCs w:val="28"/>
                <w:lang w:val="en-US" w:eastAsia="zh-CN"/>
                <w14:textFill>
                  <w14:solidFill>
                    <w14:schemeClr w14:val="tx1"/>
                  </w14:solidFill>
                </w14:textFill>
              </w:rPr>
              <w:t>修复区地层</w:t>
            </w:r>
            <w:r>
              <w:rPr>
                <w:rFonts w:hint="eastAsia"/>
                <w:b/>
                <w:bCs/>
                <w:color w:val="000000" w:themeColor="text1"/>
                <w:szCs w:val="28"/>
                <w14:textFill>
                  <w14:solidFill>
                    <w14:schemeClr w14:val="tx1"/>
                  </w14:solidFill>
                </w14:textFill>
              </w:rPr>
              <w:t>岩性</w:t>
            </w:r>
          </w:p>
          <w:p w14:paraId="01597890">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34BDDF24">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4.5</w:t>
            </w:r>
            <w:r>
              <w:rPr>
                <w:rFonts w:hint="eastAsia"/>
                <w:b/>
                <w:bCs/>
                <w:color w:val="000000" w:themeColor="text1"/>
                <w:szCs w:val="28"/>
                <w:lang w:val="en-US" w:eastAsia="zh-CN"/>
                <w14:textFill>
                  <w14:solidFill>
                    <w14:schemeClr w14:val="tx1"/>
                  </w14:solidFill>
                </w14:textFill>
              </w:rPr>
              <w:t>修复区</w:t>
            </w:r>
            <w:r>
              <w:rPr>
                <w:rFonts w:hint="eastAsia"/>
                <w:b/>
                <w:bCs/>
                <w:color w:val="000000" w:themeColor="text1"/>
                <w:szCs w:val="28"/>
                <w14:textFill>
                  <w14:solidFill>
                    <w14:schemeClr w14:val="tx1"/>
                  </w14:solidFill>
                </w14:textFill>
              </w:rPr>
              <w:t>地质构造</w:t>
            </w:r>
          </w:p>
          <w:p w14:paraId="38E9236D">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14AE2C3D">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787D407E">
            <w:pPr>
              <w:autoSpaceDE w:val="0"/>
              <w:autoSpaceDN w:val="0"/>
              <w:spacing w:line="360" w:lineRule="auto"/>
              <w:ind w:firstLine="480" w:firstLineChars="200"/>
              <w:jc w:val="left"/>
              <w:rPr>
                <w:rFonts w:hint="eastAsia"/>
                <w:color w:val="000000" w:themeColor="text1"/>
                <w:kern w:val="24"/>
                <w:sz w:val="24"/>
                <w14:textFill>
                  <w14:solidFill>
                    <w14:schemeClr w14:val="tx1"/>
                  </w14:solidFill>
                </w14:textFill>
              </w:rPr>
            </w:pPr>
          </w:p>
          <w:p w14:paraId="169D379C">
            <w:pPr>
              <w:pStyle w:val="101"/>
              <w:spacing w:line="24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w:t>
            </w:r>
            <w:r>
              <w:rPr>
                <w:rFonts w:hint="eastAsia"/>
                <w:b/>
                <w:bCs/>
                <w:color w:val="000000" w:themeColor="text1"/>
                <w:szCs w:val="21"/>
                <w:lang w:val="en-US" w:eastAsia="zh-CN"/>
                <w14:textFill>
                  <w14:solidFill>
                    <w14:schemeClr w14:val="tx1"/>
                  </w14:solidFill>
                </w14:textFill>
              </w:rPr>
              <w:t xml:space="preserve">4-7   </w:t>
            </w:r>
            <w:r>
              <w:rPr>
                <w:rFonts w:hint="eastAsia"/>
                <w:b/>
                <w:bCs/>
                <w:color w:val="000000" w:themeColor="text1"/>
                <w:szCs w:val="21"/>
                <w14:textFill>
                  <w14:solidFill>
                    <w14:schemeClr w14:val="tx1"/>
                  </w14:solidFill>
                </w14:textFill>
              </w:rPr>
              <w:t>场区地质构造（1:</w:t>
            </w:r>
            <w:r>
              <w:rPr>
                <w:b/>
                <w:bCs/>
                <w:color w:val="000000" w:themeColor="text1"/>
                <w:szCs w:val="21"/>
                <w14:textFill>
                  <w14:solidFill>
                    <w14:schemeClr w14:val="tx1"/>
                  </w14:solidFill>
                </w14:textFill>
              </w:rPr>
              <w:t>200000地质图</w:t>
            </w:r>
            <w:r>
              <w:rPr>
                <w:rFonts w:hint="eastAsia"/>
                <w:b/>
                <w:bCs/>
                <w:color w:val="000000" w:themeColor="text1"/>
                <w:szCs w:val="21"/>
                <w14:textFill>
                  <w14:solidFill>
                    <w14:schemeClr w14:val="tx1"/>
                  </w14:solidFill>
                </w14:textFill>
              </w:rPr>
              <w:t>）</w:t>
            </w:r>
          </w:p>
          <w:p w14:paraId="64E23192">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w:t>
            </w:r>
            <w:r>
              <w:rPr>
                <w:rFonts w:hint="eastAsia"/>
                <w:b/>
                <w:bCs/>
                <w:color w:val="000000" w:themeColor="text1"/>
                <w:szCs w:val="28"/>
                <w:lang w:val="en-US" w:eastAsia="zh-CN"/>
                <w14:textFill>
                  <w14:solidFill>
                    <w14:schemeClr w14:val="tx1"/>
                  </w14:solidFill>
                </w14:textFill>
              </w:rPr>
              <w:t>6修复区</w:t>
            </w:r>
            <w:r>
              <w:rPr>
                <w:rFonts w:hint="eastAsia"/>
                <w:b/>
                <w:bCs/>
                <w:color w:val="000000" w:themeColor="text1"/>
                <w:szCs w:val="28"/>
                <w14:textFill>
                  <w14:solidFill>
                    <w14:schemeClr w14:val="tx1"/>
                  </w14:solidFill>
                </w14:textFill>
              </w:rPr>
              <w:t>水文地质单元特征</w:t>
            </w:r>
          </w:p>
          <w:p w14:paraId="11AEB142">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bookmarkStart w:id="27" w:name="_Hlk201522203"/>
            <w:r>
              <w:rPr>
                <w:rFonts w:hint="eastAsia"/>
                <w:color w:val="000000" w:themeColor="text1"/>
                <w:kern w:val="0"/>
                <w:lang w:val="en-US" w:eastAsia="zh-CN" w:bidi="ar"/>
                <w14:textFill>
                  <w14:solidFill>
                    <w14:schemeClr w14:val="tx1"/>
                  </w14:solidFill>
                </w14:textFill>
              </w:rPr>
              <w:t>******涉密删除******</w:t>
            </w:r>
          </w:p>
          <w:p w14:paraId="24014974">
            <w:pPr>
              <w:widowControl/>
              <w:ind w:firstLine="482"/>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CB2662C">
            <w:pPr>
              <w:widowControl/>
              <w:ind w:firstLine="482"/>
              <w:jc w:val="left"/>
              <w:rPr>
                <w:rFonts w:hint="default" w:eastAsia="宋体"/>
                <w:b/>
                <w:bCs/>
                <w:color w:val="000000" w:themeColor="text1"/>
                <w:szCs w:val="28"/>
                <w:lang w:val="en-US" w:eastAsia="zh-CN"/>
                <w14:textFill>
                  <w14:solidFill>
                    <w14:schemeClr w14:val="tx1"/>
                  </w14:solidFill>
                </w14:textFill>
              </w:rPr>
            </w:pPr>
            <w:r>
              <w:rPr>
                <w:rFonts w:hint="eastAsia"/>
                <w:b/>
                <w:bCs/>
                <w:color w:val="000000" w:themeColor="text1"/>
                <w:szCs w:val="28"/>
                <w14:textFill>
                  <w14:solidFill>
                    <w14:schemeClr w14:val="tx1"/>
                  </w14:solidFill>
                </w14:textFill>
              </w:rPr>
              <w:t>4.</w:t>
            </w:r>
            <w:bookmarkStart w:id="28" w:name="_Toc3929"/>
            <w:bookmarkStart w:id="29" w:name="_Toc25020"/>
            <w:r>
              <w:rPr>
                <w:rFonts w:hint="eastAsia"/>
                <w:b/>
                <w:bCs/>
                <w:color w:val="000000" w:themeColor="text1"/>
                <w:szCs w:val="28"/>
                <w:lang w:val="en-US" w:eastAsia="zh-CN"/>
                <w14:textFill>
                  <w14:solidFill>
                    <w14:schemeClr w14:val="tx1"/>
                  </w14:solidFill>
                </w14:textFill>
              </w:rPr>
              <w:t>7修复区</w:t>
            </w:r>
            <w:r>
              <w:rPr>
                <w:rFonts w:hint="eastAsia"/>
                <w:b/>
                <w:bCs/>
                <w:color w:val="000000" w:themeColor="text1"/>
                <w14:textFill>
                  <w14:solidFill>
                    <w14:schemeClr w14:val="tx1"/>
                  </w14:solidFill>
                </w14:textFill>
              </w:rPr>
              <w:t>地下水补、径、排</w:t>
            </w:r>
            <w:bookmarkEnd w:id="28"/>
            <w:bookmarkEnd w:id="29"/>
            <w:r>
              <w:rPr>
                <w:rFonts w:hint="eastAsia"/>
                <w:b/>
                <w:bCs/>
                <w:color w:val="000000" w:themeColor="text1"/>
                <w:lang w:val="en-US" w:eastAsia="zh-CN"/>
                <w14:textFill>
                  <w14:solidFill>
                    <w14:schemeClr w14:val="tx1"/>
                  </w14:solidFill>
                </w14:textFill>
              </w:rPr>
              <w:t>及流向</w:t>
            </w:r>
          </w:p>
          <w:p w14:paraId="12462A8A">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bookmarkStart w:id="30" w:name="_Toc14429"/>
            <w:bookmarkStart w:id="31" w:name="_Toc29401"/>
            <w:r>
              <w:rPr>
                <w:rFonts w:hint="eastAsia"/>
                <w:color w:val="000000" w:themeColor="text1"/>
                <w:kern w:val="0"/>
                <w:lang w:val="en-US" w:eastAsia="zh-CN" w:bidi="ar"/>
                <w14:textFill>
                  <w14:solidFill>
                    <w14:schemeClr w14:val="tx1"/>
                  </w14:solidFill>
                </w14:textFill>
              </w:rPr>
              <w:t>******涉密删除******</w:t>
            </w:r>
          </w:p>
          <w:p w14:paraId="01587CD1">
            <w:pPr>
              <w:spacing w:line="360" w:lineRule="auto"/>
              <w:jc w:val="both"/>
              <w:rPr>
                <w:rFonts w:hint="eastAsia" w:ascii="宋体" w:hAnsi="宋体" w:cs="宋体"/>
                <w:color w:val="000000" w:themeColor="text1"/>
                <w:highlight w:val="none"/>
                <w14:textFill>
                  <w14:solidFill>
                    <w14:schemeClr w14:val="tx1"/>
                  </w14:solidFill>
                </w14:textFill>
              </w:rPr>
            </w:pPr>
          </w:p>
          <w:bookmarkEnd w:id="30"/>
          <w:bookmarkEnd w:id="31"/>
          <w:p w14:paraId="374E9AE6">
            <w:pPr>
              <w:widowControl/>
              <w:ind w:firstLine="482"/>
              <w:jc w:val="left"/>
              <w:rPr>
                <w:rFonts w:hint="eastAsia" w:ascii="Times New Roman" w:hAnsi="Times New Roman" w:eastAsia="宋体" w:cs="Times New Roman"/>
                <w:b/>
                <w:bCs/>
                <w:color w:val="000000" w:themeColor="text1"/>
                <w:kern w:val="0"/>
                <w:lang w:bidi="ar"/>
                <w14:textFill>
                  <w14:solidFill>
                    <w14:schemeClr w14:val="tx1"/>
                  </w14:solidFill>
                </w14:textFill>
              </w:rPr>
            </w:pPr>
            <w:bookmarkStart w:id="32" w:name="_Toc11103"/>
            <w:bookmarkStart w:id="33" w:name="_Toc2448"/>
            <w:r>
              <w:rPr>
                <w:rFonts w:hint="eastAsia" w:ascii="Times New Roman" w:hAnsi="Times New Roman" w:eastAsia="宋体" w:cs="Times New Roman"/>
                <w:b/>
                <w:bCs/>
                <w:color w:val="000000" w:themeColor="text1"/>
                <w:kern w:val="0"/>
                <w:lang w:val="en-US" w:eastAsia="zh-CN" w:bidi="ar"/>
                <w14:textFill>
                  <w14:solidFill>
                    <w14:schemeClr w14:val="tx1"/>
                  </w14:solidFill>
                </w14:textFill>
              </w:rPr>
              <w:t>4.</w:t>
            </w:r>
            <w:r>
              <w:rPr>
                <w:rFonts w:hint="eastAsia" w:cs="Times New Roman"/>
                <w:b/>
                <w:bCs/>
                <w:color w:val="000000" w:themeColor="text1"/>
                <w:kern w:val="0"/>
                <w:lang w:val="en-US" w:eastAsia="zh-CN" w:bidi="ar"/>
                <w14:textFill>
                  <w14:solidFill>
                    <w14:schemeClr w14:val="tx1"/>
                  </w14:solidFill>
                </w14:textFill>
              </w:rPr>
              <w:t>8</w:t>
            </w:r>
            <w:r>
              <w:rPr>
                <w:rFonts w:hint="eastAsia" w:ascii="Times New Roman" w:hAnsi="Times New Roman" w:eastAsia="宋体" w:cs="Times New Roman"/>
                <w:b/>
                <w:bCs/>
                <w:color w:val="000000" w:themeColor="text1"/>
                <w:kern w:val="0"/>
                <w:lang w:bidi="ar"/>
                <w14:textFill>
                  <w14:solidFill>
                    <w14:schemeClr w14:val="tx1"/>
                  </w14:solidFill>
                </w14:textFill>
              </w:rPr>
              <w:t>地下水动态特征</w:t>
            </w:r>
            <w:bookmarkStart w:id="34" w:name="_Hlk116660787"/>
          </w:p>
          <w:bookmarkEnd w:id="34"/>
          <w:p w14:paraId="549472AD">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68EAC555">
            <w:pPr>
              <w:widowControl/>
              <w:ind w:firstLine="482"/>
              <w:jc w:val="left"/>
              <w:rPr>
                <w:rFonts w:hint="eastAsia" w:ascii="Times New Roman" w:hAnsi="Times New Roman" w:eastAsia="宋体" w:cs="Times New Roman"/>
                <w:b/>
                <w:bCs/>
                <w:color w:val="000000" w:themeColor="text1"/>
                <w:kern w:val="0"/>
                <w:lang w:bidi="ar"/>
                <w14:textFill>
                  <w14:solidFill>
                    <w14:schemeClr w14:val="tx1"/>
                  </w14:solidFill>
                </w14:textFill>
              </w:rPr>
            </w:pPr>
            <w:r>
              <w:rPr>
                <w:rFonts w:hint="eastAsia" w:ascii="Times New Roman" w:hAnsi="Times New Roman" w:eastAsia="宋体" w:cs="Times New Roman"/>
                <w:b/>
                <w:bCs/>
                <w:color w:val="000000" w:themeColor="text1"/>
                <w:kern w:val="0"/>
                <w:lang w:bidi="ar"/>
                <w14:textFill>
                  <w14:solidFill>
                    <w14:schemeClr w14:val="tx1"/>
                  </w14:solidFill>
                </w14:textFill>
              </w:rPr>
              <w:t>4.</w:t>
            </w:r>
            <w:bookmarkEnd w:id="32"/>
            <w:bookmarkEnd w:id="33"/>
            <w:r>
              <w:rPr>
                <w:rFonts w:hint="eastAsia" w:cs="Times New Roman"/>
                <w:b/>
                <w:bCs/>
                <w:color w:val="000000" w:themeColor="text1"/>
                <w:kern w:val="0"/>
                <w:lang w:val="en-US" w:eastAsia="zh-CN" w:bidi="ar"/>
                <w14:textFill>
                  <w14:solidFill>
                    <w14:schemeClr w14:val="tx1"/>
                  </w14:solidFill>
                </w14:textFill>
              </w:rPr>
              <w:t>9</w:t>
            </w:r>
            <w:r>
              <w:rPr>
                <w:rFonts w:hint="eastAsia" w:ascii="Times New Roman" w:hAnsi="Times New Roman" w:eastAsia="宋体" w:cs="Times New Roman"/>
                <w:b/>
                <w:bCs/>
                <w:color w:val="000000" w:themeColor="text1"/>
                <w:kern w:val="0"/>
                <w:lang w:bidi="ar"/>
                <w14:textFill>
                  <w14:solidFill>
                    <w14:schemeClr w14:val="tx1"/>
                  </w14:solidFill>
                </w14:textFill>
              </w:rPr>
              <w:t>岩溶发育规律</w:t>
            </w:r>
            <w:r>
              <w:rPr>
                <w:rFonts w:hint="eastAsia" w:cs="Times New Roman"/>
                <w:b/>
                <w:bCs/>
                <w:color w:val="000000" w:themeColor="text1"/>
                <w:kern w:val="0"/>
                <w:lang w:eastAsia="zh-CN" w:bidi="ar"/>
                <w14:textFill>
                  <w14:solidFill>
                    <w14:schemeClr w14:val="tx1"/>
                  </w14:solidFill>
                </w14:textFill>
              </w:rPr>
              <w:t>、</w:t>
            </w:r>
            <w:r>
              <w:rPr>
                <w:rFonts w:hint="eastAsia" w:ascii="Times New Roman" w:hAnsi="Times New Roman" w:eastAsia="宋体" w:cs="Times New Roman"/>
                <w:b/>
                <w:bCs/>
                <w:color w:val="000000" w:themeColor="text1"/>
                <w:kern w:val="0"/>
                <w:lang w:bidi="ar"/>
                <w14:textFill>
                  <w14:solidFill>
                    <w14:schemeClr w14:val="tx1"/>
                  </w14:solidFill>
                </w14:textFill>
              </w:rPr>
              <w:t>特征及勘察调查成果</w:t>
            </w:r>
          </w:p>
          <w:p w14:paraId="5E8004EC">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bookmarkStart w:id="35" w:name="_Toc21443"/>
            <w:bookmarkStart w:id="36" w:name="_Toc32295"/>
            <w:r>
              <w:rPr>
                <w:rFonts w:hint="eastAsia"/>
                <w:color w:val="000000" w:themeColor="text1"/>
                <w:kern w:val="0"/>
                <w:lang w:val="en-US" w:eastAsia="zh-CN" w:bidi="ar"/>
                <w14:textFill>
                  <w14:solidFill>
                    <w14:schemeClr w14:val="tx1"/>
                  </w14:solidFill>
                </w14:textFill>
              </w:rPr>
              <w:t>******涉密删除******</w:t>
            </w:r>
          </w:p>
          <w:p w14:paraId="50A10BC3">
            <w:pPr>
              <w:pStyle w:val="4"/>
              <w:ind w:firstLine="241"/>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4.1</w:t>
            </w:r>
            <w:r>
              <w:rPr>
                <w:rFonts w:hint="eastAsia"/>
                <w:b/>
                <w:bCs/>
                <w:color w:val="000000" w:themeColor="text1"/>
                <w:lang w:val="en-US" w:eastAsia="zh-CN"/>
                <w14:textFill>
                  <w14:solidFill>
                    <w14:schemeClr w14:val="tx1"/>
                  </w14:solidFill>
                </w14:textFill>
              </w:rPr>
              <w:t>0</w:t>
            </w:r>
            <w:r>
              <w:rPr>
                <w:rFonts w:hint="eastAsia"/>
                <w:b/>
                <w:bCs/>
                <w:color w:val="000000" w:themeColor="text1"/>
                <w14:textFill>
                  <w14:solidFill>
                    <w14:schemeClr w14:val="tx1"/>
                  </w14:solidFill>
                </w14:textFill>
              </w:rPr>
              <w:t>区域地下水环境开发利用现状调查</w:t>
            </w:r>
            <w:bookmarkEnd w:id="35"/>
            <w:bookmarkEnd w:id="36"/>
          </w:p>
          <w:bookmarkEnd w:id="27"/>
          <w:p w14:paraId="28051A50">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274AF23C">
            <w:pPr>
              <w:keepNext w:val="0"/>
              <w:keepLines w:val="0"/>
              <w:pageBreakBefore w:val="0"/>
              <w:kinsoku/>
              <w:wordWrap/>
              <w:overflowPunct/>
              <w:topLinePunct w:val="0"/>
              <w:autoSpaceDE/>
              <w:autoSpaceDN/>
              <w:bidi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4.14项目建设对地下水环境影响分析</w:t>
            </w:r>
          </w:p>
          <w:p w14:paraId="013BB9EC">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baseline"/>
              <w:rPr>
                <w:rFonts w:hint="eastAsia" w:ascii="Times New Roman" w:hAnsi="Times New Roman" w:eastAsia="宋体" w:cs="Times New Roman"/>
                <w:b w:val="0"/>
                <w:color w:val="000000" w:themeColor="text1"/>
                <w:kern w:val="0"/>
                <w:sz w:val="24"/>
                <w:szCs w:val="24"/>
                <w:lang w:val="en-US" w:eastAsia="zh-CN" w:bidi="ar"/>
                <w14:textFill>
                  <w14:solidFill>
                    <w14:schemeClr w14:val="tx1"/>
                  </w14:solidFill>
                </w14:textFill>
              </w:rPr>
            </w:pPr>
            <w:bookmarkStart w:id="37" w:name="_Toc407"/>
            <w:bookmarkStart w:id="38" w:name="_Toc15078"/>
            <w:bookmarkStart w:id="39" w:name="_Toc12402"/>
            <w:bookmarkStart w:id="40" w:name="_Toc1281"/>
            <w:bookmarkStart w:id="41" w:name="_Toc25552"/>
            <w:bookmarkStart w:id="42" w:name="_Toc31515"/>
            <w:bookmarkStart w:id="43" w:name="_Toc6616"/>
            <w:r>
              <w:rPr>
                <w:rFonts w:hint="eastAsia" w:ascii="Times New Roman" w:hAnsi="Times New Roman" w:eastAsia="宋体" w:cs="Times New Roman"/>
                <w:b w:val="0"/>
                <w:color w:val="000000" w:themeColor="text1"/>
                <w:kern w:val="0"/>
                <w:sz w:val="24"/>
                <w:szCs w:val="24"/>
                <w:lang w:val="en-US" w:eastAsia="zh-CN" w:bidi="ar"/>
                <w14:textFill>
                  <w14:solidFill>
                    <w14:schemeClr w14:val="tx1"/>
                  </w14:solidFill>
                </w14:textFill>
              </w:rPr>
              <w:t>（1）</w:t>
            </w:r>
            <w:bookmarkEnd w:id="37"/>
            <w:bookmarkEnd w:id="38"/>
            <w:bookmarkEnd w:id="39"/>
            <w:bookmarkEnd w:id="40"/>
            <w:bookmarkEnd w:id="41"/>
            <w:r>
              <w:rPr>
                <w:rFonts w:hint="eastAsia" w:ascii="Times New Roman" w:hAnsi="Times New Roman" w:eastAsia="宋体" w:cs="Times New Roman"/>
                <w:b w:val="0"/>
                <w:color w:val="000000" w:themeColor="text1"/>
                <w:kern w:val="0"/>
                <w:sz w:val="24"/>
                <w:szCs w:val="24"/>
                <w:lang w:val="en-US" w:eastAsia="zh-CN" w:bidi="ar"/>
                <w14:textFill>
                  <w14:solidFill>
                    <w14:schemeClr w14:val="tx1"/>
                  </w14:solidFill>
                </w14:textFill>
              </w:rPr>
              <w:t>地下水环境影响分析</w:t>
            </w:r>
            <w:bookmarkEnd w:id="42"/>
            <w:bookmarkEnd w:id="43"/>
          </w:p>
          <w:p w14:paraId="7AD914CB">
            <w:pPr>
              <w:keepNext w:val="0"/>
              <w:keepLines w:val="0"/>
              <w:pageBreakBefore w:val="0"/>
              <w:kinsoku/>
              <w:wordWrap/>
              <w:overflowPunct/>
              <w:topLinePunct w:val="0"/>
              <w:autoSpaceDE/>
              <w:autoSpaceDN/>
              <w:bidi w:val="0"/>
              <w:ind w:firstLine="480"/>
              <w:rPr>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施工期：</w:t>
            </w:r>
            <w:r>
              <w:rPr>
                <w:rFonts w:hint="eastAsia"/>
                <w:bCs/>
                <w:color w:val="000000" w:themeColor="text1"/>
                <w14:textFill>
                  <w14:solidFill>
                    <w14:schemeClr w14:val="tx1"/>
                  </w14:solidFill>
                </w14:textFill>
              </w:rPr>
              <w:t>本项目地下水污染源主要为改性磷石膏渗滤液。</w:t>
            </w:r>
            <w:r>
              <w:rPr>
                <w:rFonts w:hint="eastAsia"/>
                <w:color w:val="000000" w:themeColor="text1"/>
                <w14:textFill>
                  <w14:solidFill>
                    <w14:schemeClr w14:val="tx1"/>
                  </w14:solidFill>
                </w14:textFill>
              </w:rPr>
              <w:t>正常情况下，</w:t>
            </w:r>
            <w:r>
              <w:rPr>
                <w:rFonts w:hint="eastAsia"/>
                <w:color w:val="000000" w:themeColor="text1"/>
                <w:kern w:val="0"/>
                <w:lang w:bidi="ar"/>
                <w14:textFill>
                  <w14:solidFill>
                    <w14:schemeClr w14:val="tx1"/>
                  </w14:solidFill>
                </w14:textFill>
              </w:rPr>
              <w:t>项目生态修复区进行了全防渗处理（底部0.75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厚粘土层、底部、顶部、内边坡人工防渗层），阻断渗滤液下渗，并设置有渗滤液导排系统，</w:t>
            </w:r>
            <w:r>
              <w:rPr>
                <w:rFonts w:hint="eastAsia"/>
                <w:color w:val="000000" w:themeColor="text1"/>
                <w14:textFill>
                  <w14:solidFill>
                    <w14:schemeClr w14:val="tx1"/>
                  </w14:solidFill>
                </w14:textFill>
              </w:rPr>
              <w:t>经渗滤液收集井收集后晴天回用于洒水降尘</w:t>
            </w:r>
            <w:r>
              <w:rPr>
                <w:rFonts w:hint="eastAsia"/>
                <w:color w:val="000000" w:themeColor="text1"/>
                <w:kern w:val="0"/>
                <w:lang w:eastAsia="zh-CN" w:bidi="ar"/>
                <w14:textFill>
                  <w14:solidFill>
                    <w14:schemeClr w14:val="tx1"/>
                  </w14:solidFill>
                </w14:textFill>
              </w:rPr>
              <w:t>，</w:t>
            </w:r>
            <w:r>
              <w:rPr>
                <w:rFonts w:hint="eastAsia"/>
                <w:color w:val="000000" w:themeColor="text1"/>
                <w14:textFill>
                  <w14:solidFill>
                    <w14:schemeClr w14:val="tx1"/>
                  </w14:solidFill>
                </w14:textFill>
              </w:rPr>
              <w:t>雨天在井内贮存</w:t>
            </w:r>
            <w:r>
              <w:rPr>
                <w:rFonts w:hint="eastAsia"/>
                <w:color w:val="000000" w:themeColor="text1"/>
                <w:lang w:eastAsia="zh-CN"/>
                <w14:textFill>
                  <w14:solidFill>
                    <w14:schemeClr w14:val="tx1"/>
                  </w14:solidFill>
                </w14:textFill>
              </w:rPr>
              <w:t>，</w:t>
            </w:r>
            <w:r>
              <w:rPr>
                <w:rFonts w:hint="eastAsia"/>
                <w:color w:val="000000" w:themeColor="text1"/>
                <w:kern w:val="0"/>
                <w:lang w:bidi="ar"/>
                <w14:textFill>
                  <w14:solidFill>
                    <w14:schemeClr w14:val="tx1"/>
                  </w14:solidFill>
                </w14:textFill>
              </w:rPr>
              <w:t>对地下水影响很小。</w:t>
            </w:r>
            <w:r>
              <w:rPr>
                <w:rFonts w:hint="eastAsia"/>
                <w:color w:val="000000" w:themeColor="text1"/>
                <w14:textFill>
                  <w14:solidFill>
                    <w14:schemeClr w14:val="tx1"/>
                  </w14:solidFill>
                </w14:textFill>
              </w:rPr>
              <w:t>项目施工结束后渗滤液产生量逐渐减少。</w:t>
            </w:r>
          </w:p>
          <w:p w14:paraId="74FFA921">
            <w:pPr>
              <w:keepNext w:val="0"/>
              <w:keepLines w:val="0"/>
              <w:pageBreakBefore w:val="0"/>
              <w:kinsoku/>
              <w:wordWrap/>
              <w:overflowPunct/>
              <w:topLinePunct w:val="0"/>
              <w:autoSpaceDE/>
              <w:autoSpaceDN/>
              <w:bidi w:val="0"/>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管护期：产生少量渗滤液，用于植被养护。养护用水优先使用初期雨水，</w:t>
            </w:r>
            <w:r>
              <w:rPr>
                <w:rFonts w:hint="eastAsia"/>
                <w:color w:val="000000" w:themeColor="text1"/>
                <w14:textFill>
                  <w14:solidFill>
                    <w14:schemeClr w14:val="tx1"/>
                  </w14:solidFill>
                </w14:textFill>
              </w:rPr>
              <w:t>根据项目</w:t>
            </w:r>
            <w:r>
              <w:rPr>
                <w:rFonts w:hint="eastAsia"/>
                <w:color w:val="000000" w:themeColor="text1"/>
                <w:lang w:val="en-US" w:eastAsia="zh-CN"/>
                <w14:textFill>
                  <w14:solidFill>
                    <w14:schemeClr w14:val="tx1"/>
                  </w14:solidFill>
                </w14:textFill>
              </w:rPr>
              <w:t>特点</w:t>
            </w:r>
            <w:r>
              <w:rPr>
                <w:rFonts w:hint="eastAsia"/>
                <w:color w:val="000000" w:themeColor="text1"/>
                <w14:textFill>
                  <w14:solidFill>
                    <w14:schemeClr w14:val="tx1"/>
                  </w14:solidFill>
                </w14:textFill>
              </w:rPr>
              <w:t>，正常情况下</w:t>
            </w:r>
            <w:r>
              <w:rPr>
                <w:rFonts w:hint="eastAsia"/>
                <w:color w:val="000000" w:themeColor="text1"/>
                <w:lang w:val="en-US" w:eastAsia="zh-CN"/>
                <w14:textFill>
                  <w14:solidFill>
                    <w14:schemeClr w14:val="tx1"/>
                  </w14:solidFill>
                </w14:textFill>
              </w:rPr>
              <w:t>渗滤液全部</w:t>
            </w:r>
            <w:r>
              <w:rPr>
                <w:rFonts w:hint="eastAsia"/>
                <w:color w:val="000000" w:themeColor="text1"/>
                <w14:textFill>
                  <w14:solidFill>
                    <w14:schemeClr w14:val="tx1"/>
                  </w14:solidFill>
                </w14:textFill>
              </w:rPr>
              <w:t>回用</w:t>
            </w:r>
            <w:r>
              <w:rPr>
                <w:rFonts w:hint="eastAsia"/>
                <w:color w:val="000000" w:themeColor="text1"/>
                <w:lang w:val="en-US" w:eastAsia="zh-CN"/>
                <w14:textFill>
                  <w14:solidFill>
                    <w14:schemeClr w14:val="tx1"/>
                  </w14:solidFill>
                </w14:textFill>
              </w:rPr>
              <w:t>植被养护，不外排</w:t>
            </w:r>
            <w:r>
              <w:rPr>
                <w:rFonts w:hint="eastAsia"/>
                <w:color w:val="000000" w:themeColor="text1"/>
                <w14:textFill>
                  <w14:solidFill>
                    <w14:schemeClr w14:val="tx1"/>
                  </w14:solidFill>
                </w14:textFill>
              </w:rPr>
              <w:t>。</w:t>
            </w:r>
          </w:p>
          <w:p w14:paraId="0F083AB9">
            <w:pPr>
              <w:pStyle w:val="7"/>
              <w:keepNext w:val="0"/>
              <w:keepLines w:val="0"/>
              <w:pageBreakBefore w:val="0"/>
              <w:numPr>
                <w:ilvl w:val="0"/>
                <w:numId w:val="0"/>
              </w:numPr>
              <w:kinsoku/>
              <w:wordWrap/>
              <w:overflowPunct/>
              <w:topLinePunct w:val="0"/>
              <w:autoSpaceDE/>
              <w:autoSpaceDN/>
              <w:bidi w:val="0"/>
              <w:snapToGrid w:val="0"/>
              <w:spacing w:before="0" w:after="0" w:line="360" w:lineRule="auto"/>
              <w:ind w:firstLine="482" w:firstLineChars="200"/>
              <w:textAlignment w:val="baseline"/>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bookmarkStart w:id="44" w:name="_Toc7032"/>
            <w:bookmarkStart w:id="45" w:name="_Toc13711"/>
            <w:bookmarkStart w:id="46" w:name="_Toc19074"/>
            <w:bookmarkStart w:id="47" w:name="_Toc16979"/>
            <w:bookmarkStart w:id="48" w:name="_Toc5574"/>
            <w:bookmarkStart w:id="49" w:name="_Toc5325"/>
            <w:bookmarkStart w:id="50" w:name="_Toc3836"/>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（2）非正常情况下地下水环境影响预测</w:t>
            </w:r>
            <w:bookmarkEnd w:id="44"/>
            <w:bookmarkEnd w:id="45"/>
          </w:p>
          <w:bookmarkEnd w:id="46"/>
          <w:bookmarkEnd w:id="47"/>
          <w:bookmarkEnd w:id="48"/>
          <w:bookmarkEnd w:id="49"/>
          <w:bookmarkEnd w:id="50"/>
          <w:p w14:paraId="49C175B1">
            <w:pPr>
              <w:keepNext w:val="0"/>
              <w:keepLines w:val="0"/>
              <w:pageBreakBefore w:val="0"/>
              <w:widowControl/>
              <w:kinsoku/>
              <w:wordWrap/>
              <w:overflowPunct/>
              <w:topLinePunct w:val="0"/>
              <w:autoSpaceDE/>
              <w:autoSpaceDN/>
              <w:bidi w:val="0"/>
              <w:ind w:firstLine="480"/>
              <w:jc w:val="left"/>
              <w:rPr>
                <w:bCs/>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1）非正常事故情形</w:t>
            </w:r>
          </w:p>
          <w:p w14:paraId="1DCCE0C4">
            <w:pPr>
              <w:widowControl/>
              <w:ind w:firstLine="480"/>
              <w:jc w:val="left"/>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根据项目特点，</w:t>
            </w:r>
            <w:r>
              <w:rPr>
                <w:rFonts w:hint="eastAsia" w:ascii="宋体" w:hAnsi="宋体" w:cs="宋体"/>
                <w:color w:val="000000" w:themeColor="text1"/>
                <w:kern w:val="0"/>
                <w:lang w:bidi="ar"/>
                <w14:textFill>
                  <w14:solidFill>
                    <w14:schemeClr w14:val="tx1"/>
                  </w14:solidFill>
                </w14:textFill>
              </w:rPr>
              <w:t>项目可能存在的非正常情形如下：</w:t>
            </w:r>
          </w:p>
          <w:p w14:paraId="57D79465">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①由于工程质量问题或回填过程中操作不当造成回填场底层防渗层、</w:t>
            </w:r>
            <w:r>
              <w:rPr>
                <w:rFonts w:hint="eastAsia" w:ascii="宋体" w:hAnsi="宋体" w:cs="宋体"/>
                <w:color w:val="000000" w:themeColor="text1"/>
                <w:kern w:val="0"/>
                <w:lang w:val="en-US" w:eastAsia="zh-CN" w:bidi="ar"/>
                <w14:textFill>
                  <w14:solidFill>
                    <w14:schemeClr w14:val="tx1"/>
                  </w14:solidFill>
                </w14:textFill>
              </w:rPr>
              <w:t>地下水导排管破裂、</w:t>
            </w:r>
            <w:r>
              <w:rPr>
                <w:rFonts w:hint="eastAsia" w:ascii="宋体" w:hAnsi="宋体" w:cs="宋体"/>
                <w:color w:val="000000" w:themeColor="text1"/>
                <w:kern w:val="0"/>
                <w:lang w:bidi="ar"/>
                <w14:textFill>
                  <w14:solidFill>
                    <w14:schemeClr w14:val="tx1"/>
                  </w14:solidFill>
                </w14:textFill>
              </w:rPr>
              <w:t>渗滤液收集井防渗层发生破损，渗滤液下渗对周边的地下水环境产生污染。</w:t>
            </w:r>
          </w:p>
          <w:p w14:paraId="0464D4B1">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②渗滤液收集输送不及时，导致渗滤液从渗滤液收集井漫流下渗进入地下水，对地下水环境产生污染。</w:t>
            </w:r>
          </w:p>
          <w:p w14:paraId="2B40304B">
            <w:pPr>
              <w:widowControl/>
              <w:ind w:firstLine="480"/>
              <w:jc w:val="left"/>
              <w:rPr>
                <w:rFonts w:hint="eastAsia" w:ascii="宋体" w:hAnsi="宋体" w:cs="宋体"/>
                <w:color w:val="000000" w:themeColor="text1"/>
                <w:kern w:val="0"/>
                <w:lang w:bidi="ar"/>
                <w14:textFill>
                  <w14:solidFill>
                    <w14:schemeClr w14:val="tx1"/>
                  </w14:solidFill>
                </w14:textFill>
              </w:rPr>
            </w:pPr>
            <w:bookmarkStart w:id="51" w:name="_Toc27619"/>
            <w:r>
              <w:rPr>
                <w:rFonts w:hint="eastAsia" w:ascii="宋体" w:hAnsi="宋体" w:cs="宋体"/>
                <w:color w:val="000000" w:themeColor="text1"/>
                <w:kern w:val="0"/>
                <w:lang w:bidi="ar"/>
                <w14:textFill>
                  <w14:solidFill>
                    <w14:schemeClr w14:val="tx1"/>
                  </w14:solidFill>
                </w14:textFill>
              </w:rPr>
              <w:t>2）预测特征因子及预测方法</w:t>
            </w:r>
            <w:bookmarkEnd w:id="51"/>
          </w:p>
          <w:p w14:paraId="5889643E">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val="en-US" w:eastAsia="zh-CN" w:bidi="ar"/>
                <w14:textFill>
                  <w14:solidFill>
                    <w14:schemeClr w14:val="tx1"/>
                  </w14:solidFill>
                </w14:textFill>
              </w:rPr>
              <w:t>本项目评价等级为二级，</w:t>
            </w:r>
            <w:r>
              <w:rPr>
                <w:rFonts w:hint="eastAsia" w:ascii="宋体" w:hAnsi="宋体" w:cs="宋体"/>
                <w:color w:val="000000" w:themeColor="text1"/>
                <w:kern w:val="0"/>
                <w:lang w:bidi="ar"/>
                <w14:textFill>
                  <w14:solidFill>
                    <w14:schemeClr w14:val="tx1"/>
                  </w14:solidFill>
                </w14:textFill>
              </w:rPr>
              <w:t>本次工作运用解析法分别对本项目非正常状况下地下水环境影响</w:t>
            </w:r>
            <w:r>
              <w:rPr>
                <w:rFonts w:hint="eastAsia" w:ascii="宋体" w:hAnsi="宋体" w:cs="宋体"/>
                <w:color w:val="000000" w:themeColor="text1"/>
                <w:kern w:val="0"/>
                <w:lang w:val="en-US" w:eastAsia="zh-CN" w:bidi="ar"/>
                <w14:textFill>
                  <w14:solidFill>
                    <w14:schemeClr w14:val="tx1"/>
                  </w14:solidFill>
                </w14:textFill>
              </w:rPr>
              <w:t>进行</w:t>
            </w:r>
            <w:r>
              <w:rPr>
                <w:rFonts w:hint="eastAsia" w:ascii="宋体" w:hAnsi="宋体" w:cs="宋体"/>
                <w:color w:val="000000" w:themeColor="text1"/>
                <w:kern w:val="0"/>
                <w:lang w:bidi="ar"/>
                <w14:textFill>
                  <w14:solidFill>
                    <w14:schemeClr w14:val="tx1"/>
                  </w14:solidFill>
                </w14:textFill>
              </w:rPr>
              <w:t>预测分析。</w:t>
            </w:r>
          </w:p>
          <w:p w14:paraId="29D784C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由项目特征分析可知，项目生态修复作业过程中，</w:t>
            </w:r>
            <w:r>
              <w:rPr>
                <w:rFonts w:hint="eastAsia"/>
                <w:color w:val="000000" w:themeColor="text1"/>
                <w:lang w:val="en-US" w:eastAsia="zh-CN"/>
                <w14:textFill>
                  <w14:solidFill>
                    <w14:schemeClr w14:val="tx1"/>
                  </w14:solidFill>
                </w14:textFill>
              </w:rPr>
              <w:t>作业面</w:t>
            </w:r>
            <w:r>
              <w:rPr>
                <w:rFonts w:hint="eastAsia" w:ascii="宋体" w:hAnsi="宋体" w:cs="宋体"/>
                <w:color w:val="000000" w:themeColor="text1"/>
                <w:kern w:val="0"/>
                <w:lang w:bidi="ar"/>
                <w14:textFill>
                  <w14:solidFill>
                    <w14:schemeClr w14:val="tx1"/>
                  </w14:solidFill>
                </w14:textFill>
              </w:rPr>
              <w:t>受雨水淋溶影响</w:t>
            </w:r>
            <w:r>
              <w:rPr>
                <w:rFonts w:hint="eastAsia" w:ascii="宋体" w:hAnsi="宋体" w:cs="宋体"/>
                <w:color w:val="000000" w:themeColor="text1"/>
                <w:kern w:val="0"/>
                <w:lang w:val="en-US" w:eastAsia="zh-CN" w:bidi="ar"/>
                <w14:textFill>
                  <w14:solidFill>
                    <w14:schemeClr w14:val="tx1"/>
                  </w14:solidFill>
                </w14:textFill>
              </w:rPr>
              <w:t>可能</w:t>
            </w:r>
            <w:r>
              <w:rPr>
                <w:rFonts w:hint="eastAsia" w:ascii="宋体" w:hAnsi="宋体" w:cs="宋体"/>
                <w:color w:val="000000" w:themeColor="text1"/>
                <w:kern w:val="0"/>
                <w:lang w:bidi="ar"/>
                <w14:textFill>
                  <w14:solidFill>
                    <w14:schemeClr w14:val="tx1"/>
                  </w14:solidFill>
                </w14:textFill>
              </w:rPr>
              <w:t>产生部分渗滤液，</w:t>
            </w:r>
            <w:r>
              <w:rPr>
                <w:rFonts w:hint="eastAsia"/>
                <w:color w:val="000000" w:themeColor="text1"/>
                <w14:textFill>
                  <w14:solidFill>
                    <w14:schemeClr w14:val="tx1"/>
                  </w14:solidFill>
                </w14:textFill>
              </w:rPr>
              <w:t>渗滤液经导排管最终进入渗滤液收集井。因此，渗滤液收集井是项目区废水的集中暂存区域，是项目区地下水的主要污染源。综合考虑渗滤液中污染物种类、污染物性质及污染物浓度等，本次预测因子选取氟化物。</w:t>
            </w:r>
          </w:p>
          <w:p w14:paraId="4C0E83FD">
            <w:pPr>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①</w:t>
            </w:r>
            <w:r>
              <w:rPr>
                <w:rFonts w:hint="eastAsia"/>
                <w:color w:val="000000" w:themeColor="text1"/>
                <w14:textFill>
                  <w14:solidFill>
                    <w14:schemeClr w14:val="tx1"/>
                  </w14:solidFill>
                </w14:textFill>
              </w:rPr>
              <w:t>预测模型</w:t>
            </w:r>
          </w:p>
          <w:p w14:paraId="63EA60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为废弃矿坑生态修复项目，采用解析法对地下水环境的影响进行估算。计算时不考虑水流的源汇项目，且对污染物在含水层中的吸附、挥发、生物化学反应等不做考虑，将被当作保守性污染物考虑，从而可简化地下水水流及水质模型。</w:t>
            </w:r>
          </w:p>
          <w:p w14:paraId="318E3F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根据项目区污染源分布情况和污染物性质，主要</w:t>
            </w:r>
            <w:r>
              <w:rPr>
                <w:rFonts w:hint="eastAsia"/>
                <w:color w:val="000000" w:themeColor="text1"/>
                <w:lang w:val="en-US" w:eastAsia="zh-CN"/>
                <w14:textFill>
                  <w14:solidFill>
                    <w14:schemeClr w14:val="tx1"/>
                  </w14:solidFill>
                </w14:textFill>
              </w:rPr>
              <w:t>考虑渗滤液收集井</w:t>
            </w:r>
            <w:r>
              <w:rPr>
                <w:rFonts w:hint="eastAsia"/>
                <w:color w:val="000000" w:themeColor="text1"/>
                <w14:textFill>
                  <w14:solidFill>
                    <w14:schemeClr w14:val="tx1"/>
                  </w14:solidFill>
                </w14:textFill>
              </w:rPr>
              <w:t>防渗层出现破损或破裂等非正常情况时渗滤液渗漏对地下水环境可能造成的影响，因此将污染源视为连续稳定释放的点源，对非正常情况下的污染物进行正向推算，分别计算</w:t>
            </w:r>
            <w:r>
              <w:rPr>
                <w:rFonts w:hint="eastAsia"/>
                <w:color w:val="000000" w:themeColor="text1"/>
                <w:szCs w:val="22"/>
                <w14:textFill>
                  <w14:solidFill>
                    <w14:schemeClr w14:val="tx1"/>
                  </w14:solidFill>
                </w14:textFill>
              </w:rPr>
              <w:t>污染发生后</w:t>
            </w:r>
            <w:r>
              <w:rPr>
                <w:color w:val="000000" w:themeColor="text1"/>
                <w:szCs w:val="22"/>
                <w:highlight w:val="none"/>
                <w14:textFill>
                  <w14:solidFill>
                    <w14:schemeClr w14:val="tx1"/>
                  </w14:solidFill>
                </w14:textFill>
              </w:rPr>
              <w:t>100d</w:t>
            </w:r>
            <w:r>
              <w:rPr>
                <w:rFonts w:hint="eastAsia"/>
                <w:color w:val="000000" w:themeColor="text1"/>
                <w:szCs w:val="22"/>
                <w:highlight w:val="none"/>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365d、730d、</w:t>
            </w:r>
            <w:r>
              <w:rPr>
                <w:color w:val="000000" w:themeColor="text1"/>
                <w:szCs w:val="22"/>
                <w:highlight w:val="none"/>
                <w14:textFill>
                  <w14:solidFill>
                    <w14:schemeClr w14:val="tx1"/>
                  </w14:solidFill>
                </w14:textFill>
              </w:rPr>
              <w:t>1000d</w:t>
            </w:r>
            <w:r>
              <w:rPr>
                <w:rFonts w:hint="eastAsia"/>
                <w:color w:val="000000" w:themeColor="text1"/>
                <w:szCs w:val="22"/>
                <w:highlight w:val="none"/>
                <w14:textFill>
                  <w14:solidFill>
                    <w14:schemeClr w14:val="tx1"/>
                  </w14:solidFill>
                </w14:textFill>
              </w:rPr>
              <w:t>、1825</w:t>
            </w:r>
            <w:r>
              <w:rPr>
                <w:color w:val="000000" w:themeColor="text1"/>
                <w:szCs w:val="22"/>
                <w:highlight w:val="none"/>
                <w14:textFill>
                  <w14:solidFill>
                    <w14:schemeClr w14:val="tx1"/>
                  </w14:solidFill>
                </w14:textFill>
              </w:rPr>
              <w:t>d</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14:textFill>
                  <w14:solidFill>
                    <w14:schemeClr w14:val="tx1"/>
                  </w14:solidFill>
                </w14:textFill>
              </w:rPr>
              <w:t>施工管护结束</w:t>
            </w:r>
            <w:r>
              <w:rPr>
                <w:rFonts w:hint="eastAsia"/>
                <w:color w:val="000000" w:themeColor="text1"/>
                <w14:textFill>
                  <w14:solidFill>
                    <w14:schemeClr w14:val="tx1"/>
                  </w14:solidFill>
                </w14:textFill>
              </w:rPr>
              <w:t>时的污染物超标扩散距离和最大迁移距离。</w:t>
            </w:r>
          </w:p>
          <w:p w14:paraId="3916A4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拟建项目对地下水环境的影响预测分析采用《环境影响评价技术导则地下水环境》（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推荐的一维稳定流动一维水动力弥散问题中的计算公式进行估算，概化条件为一维半无限长多孔介质柱体，一端为定浓度边界，且不考虑水流的源汇项目，对污染物在含水层中的吸附、挥发、生物化学反应等不作考虑，当作保守性污染物考虑，其一维连续污染物运移预测方程为：</w:t>
            </w:r>
          </w:p>
          <w:p w14:paraId="34C01193">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97150" cy="527050"/>
                  <wp:effectExtent l="0" t="0" r="12700" b="571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1"/>
                          <a:stretch>
                            <a:fillRect/>
                          </a:stretch>
                        </pic:blipFill>
                        <pic:spPr>
                          <a:xfrm>
                            <a:off x="0" y="0"/>
                            <a:ext cx="2597150" cy="527050"/>
                          </a:xfrm>
                          <a:prstGeom prst="rect">
                            <a:avLst/>
                          </a:prstGeom>
                          <a:noFill/>
                          <a:ln>
                            <a:noFill/>
                          </a:ln>
                        </pic:spPr>
                      </pic:pic>
                    </a:graphicData>
                  </a:graphic>
                </wp:inline>
              </w:drawing>
            </w:r>
          </w:p>
          <w:p w14:paraId="476EF2F8">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09600" cy="457200"/>
                  <wp:effectExtent l="0" t="0" r="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2"/>
                          <a:stretch>
                            <a:fillRect/>
                          </a:stretch>
                        </pic:blipFill>
                        <pic:spPr>
                          <a:xfrm>
                            <a:off x="0" y="0"/>
                            <a:ext cx="609600" cy="457200"/>
                          </a:xfrm>
                          <a:prstGeom prst="rect">
                            <a:avLst/>
                          </a:prstGeom>
                          <a:noFill/>
                          <a:ln>
                            <a:noFill/>
                          </a:ln>
                        </pic:spPr>
                      </pic:pic>
                    </a:graphicData>
                  </a:graphic>
                </wp:inline>
              </w:drawing>
            </w:r>
            <w:r>
              <w:rPr>
                <w:rFonts w:hint="eastAsia"/>
                <w:color w:val="000000" w:themeColor="text1"/>
                <w14:textFill>
                  <w14:solidFill>
                    <w14:schemeClr w14:val="tx1"/>
                  </w14:solidFill>
                </w14:textFill>
              </w:rPr>
              <w:t>，</w:t>
            </w:r>
            <w:r>
              <w:rPr>
                <w:color w:val="000000" w:themeColor="text1"/>
                <w14:textFill>
                  <w14:solidFill>
                    <w14:schemeClr w14:val="tx1"/>
                  </w14:solidFill>
                </w14:textFill>
              </w:rPr>
              <w:drawing>
                <wp:inline distT="0" distB="0" distL="114300" distR="114300">
                  <wp:extent cx="768350" cy="241300"/>
                  <wp:effectExtent l="0" t="0" r="12700" b="508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3"/>
                          <a:stretch>
                            <a:fillRect/>
                          </a:stretch>
                        </pic:blipFill>
                        <pic:spPr>
                          <a:xfrm>
                            <a:off x="0" y="0"/>
                            <a:ext cx="768350" cy="241300"/>
                          </a:xfrm>
                          <a:prstGeom prst="rect">
                            <a:avLst/>
                          </a:prstGeom>
                          <a:noFill/>
                          <a:ln>
                            <a:noFill/>
                          </a:ln>
                        </pic:spPr>
                      </pic:pic>
                    </a:graphicData>
                  </a:graphic>
                </wp:inline>
              </w:drawing>
            </w:r>
          </w:p>
          <w:p w14:paraId="066BE14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为预测点距污染源强的距离（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为预测时间（</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时刻</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处的污染物浓度（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为地下水污染源强浓度（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u</w:t>
            </w:r>
            <w:r>
              <w:rPr>
                <w:rFonts w:hint="eastAsia"/>
                <w:color w:val="000000" w:themeColor="text1"/>
                <w14:textFill>
                  <w14:solidFill>
                    <w14:schemeClr w14:val="tx1"/>
                  </w14:solidFill>
                </w14:textFill>
              </w:rPr>
              <w:t>为水流速度（</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DL</w:t>
            </w:r>
            <w:r>
              <w:rPr>
                <w:rFonts w:hint="eastAsia"/>
                <w:color w:val="000000" w:themeColor="text1"/>
                <w14:textFill>
                  <w14:solidFill>
                    <w14:schemeClr w14:val="tx1"/>
                  </w14:solidFill>
                </w14:textFill>
              </w:rPr>
              <w:t>为纵向弥散系数（㎡</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erfc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）为余误差函数；</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为渗透系数（</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为水力坡度；</w:t>
            </w:r>
            <w:r>
              <w:rPr>
                <w:color w:val="000000" w:themeColor="text1"/>
                <w14:textFill>
                  <w14:solidFill>
                    <w14:schemeClr w14:val="tx1"/>
                  </w14:solidFill>
                </w14:textFill>
              </w:rPr>
              <w:t>aL</w:t>
            </w:r>
            <w:r>
              <w:rPr>
                <w:rFonts w:hint="eastAsia"/>
                <w:color w:val="000000" w:themeColor="text1"/>
                <w14:textFill>
                  <w14:solidFill>
                    <w14:schemeClr w14:val="tx1"/>
                  </w14:solidFill>
                </w14:textFill>
              </w:rPr>
              <w:t>为纵向弥散度（</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73ADF159">
            <w:pPr>
              <w:ind w:firstLine="480"/>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②</w:t>
            </w:r>
            <w:r>
              <w:rPr>
                <w:rFonts w:hint="eastAsia"/>
                <w:b/>
                <w:bCs/>
                <w:color w:val="000000" w:themeColor="text1"/>
                <w14:textFill>
                  <w14:solidFill>
                    <w14:schemeClr w14:val="tx1"/>
                  </w14:solidFill>
                </w14:textFill>
              </w:rPr>
              <w:t>水文地质参数取值</w:t>
            </w:r>
          </w:p>
          <w:p w14:paraId="327CADED">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733EFF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表4-12</w:t>
            </w:r>
            <w:r>
              <w:rPr>
                <w:rFonts w:hint="eastAsia" w:ascii="宋体" w:hAnsi="宋体" w:eastAsia="宋体" w:cs="宋体"/>
                <w:b/>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计算参数一览表</w:t>
            </w:r>
          </w:p>
          <w:p w14:paraId="0E8CB3F1">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******涉密删除******</w:t>
            </w:r>
          </w:p>
          <w:p w14:paraId="056C2DA2">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污染物迁移预测结果分析</w:t>
            </w:r>
          </w:p>
          <w:p w14:paraId="221F573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在项目区以及渗滤液收集井的防渗层出现破损，渗滤液发生渗漏的非正常状况下，渗滤液持续发生渗漏</w:t>
            </w:r>
            <w:r>
              <w:rPr>
                <w:color w:val="000000" w:themeColor="text1"/>
                <w:szCs w:val="22"/>
                <w:highlight w:val="none"/>
                <w14:textFill>
                  <w14:solidFill>
                    <w14:schemeClr w14:val="tx1"/>
                  </w14:solidFill>
                </w14:textFill>
              </w:rPr>
              <w:t>100d</w:t>
            </w:r>
            <w:r>
              <w:rPr>
                <w:rFonts w:hint="eastAsia"/>
                <w:color w:val="000000" w:themeColor="text1"/>
                <w:szCs w:val="22"/>
                <w:highlight w:val="none"/>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365d、730d、</w:t>
            </w:r>
            <w:r>
              <w:rPr>
                <w:color w:val="000000" w:themeColor="text1"/>
                <w:szCs w:val="22"/>
                <w:highlight w:val="none"/>
                <w14:textFill>
                  <w14:solidFill>
                    <w14:schemeClr w14:val="tx1"/>
                  </w14:solidFill>
                </w14:textFill>
              </w:rPr>
              <w:t>1000d</w:t>
            </w:r>
            <w:r>
              <w:rPr>
                <w:rFonts w:hint="eastAsia"/>
                <w:color w:val="000000" w:themeColor="text1"/>
                <w:szCs w:val="22"/>
                <w:highlight w:val="none"/>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2190</w:t>
            </w:r>
            <w:r>
              <w:rPr>
                <w:color w:val="000000" w:themeColor="text1"/>
                <w:szCs w:val="22"/>
                <w:highlight w:val="none"/>
                <w14:textFill>
                  <w14:solidFill>
                    <w14:schemeClr w14:val="tx1"/>
                  </w14:solidFill>
                </w14:textFill>
              </w:rPr>
              <w:t>d</w:t>
            </w:r>
            <w:r>
              <w:rPr>
                <w:rFonts w:hint="eastAsia"/>
                <w:color w:val="000000" w:themeColor="text1"/>
                <w:szCs w:val="22"/>
                <w:highlight w:val="none"/>
                <w:lang w:eastAsia="zh-CN"/>
                <w14:textFill>
                  <w14:solidFill>
                    <w14:schemeClr w14:val="tx1"/>
                  </w14:solidFill>
                </w14:textFill>
              </w:rPr>
              <w:t>，</w:t>
            </w:r>
            <w:r>
              <w:rPr>
                <w:rFonts w:hint="eastAsia"/>
                <w:color w:val="000000" w:themeColor="text1"/>
                <w14:textFill>
                  <w14:solidFill>
                    <w14:schemeClr w14:val="tx1"/>
                  </w14:solidFill>
                </w14:textFill>
              </w:rPr>
              <w:t>后氟化物在地下水环境中的最大迁移扩散距离估算结果见下表，为项目施工建设和非正常状况下的地下水污染风险管控提供一定的指导作用。</w:t>
            </w:r>
          </w:p>
          <w:p w14:paraId="276208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表4-13</w:t>
            </w:r>
            <w:r>
              <w:rPr>
                <w:rFonts w:hint="eastAsia" w:ascii="宋体" w:hAnsi="宋体" w:cs="宋体"/>
                <w:b/>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地下水中氟化物浓度变化预测结果表（单位：mg/L）</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3"/>
              <w:gridCol w:w="2020"/>
              <w:gridCol w:w="1194"/>
              <w:gridCol w:w="1194"/>
              <w:gridCol w:w="1194"/>
              <w:gridCol w:w="1194"/>
            </w:tblGrid>
            <w:tr w14:paraId="11A2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48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x</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88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100天</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13E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365天</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BC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730天</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2D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1000天</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B0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3650天</w:t>
                  </w:r>
                </w:p>
              </w:tc>
            </w:tr>
            <w:tr w14:paraId="0D884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28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7F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10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C2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2A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18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3.84E+00</w:t>
                  </w:r>
                </w:p>
              </w:tc>
            </w:tr>
            <w:tr w14:paraId="276A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22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55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3.33E+00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AF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75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D3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3.77E+00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96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3.83E+00</w:t>
                  </w:r>
                </w:p>
              </w:tc>
            </w:tr>
            <w:tr w14:paraId="5AE56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83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65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A2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3.43E+00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E6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E7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2C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3.82E+00</w:t>
                  </w:r>
                </w:p>
              </w:tc>
            </w:tr>
            <w:tr w14:paraId="0FE61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E6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09E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FC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C0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2E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3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3.80E+00</w:t>
                  </w:r>
                </w:p>
              </w:tc>
            </w:tr>
            <w:tr w14:paraId="0556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38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44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9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5B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29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82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3.79E+00</w:t>
                  </w:r>
                </w:p>
              </w:tc>
            </w:tr>
            <w:tr w14:paraId="1541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D99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E5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E9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17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BC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D1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3.78E+00</w:t>
                  </w:r>
                </w:p>
              </w:tc>
            </w:tr>
            <w:tr w14:paraId="0099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27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CF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CC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85C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49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E5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3.76E+00</w:t>
                  </w:r>
                </w:p>
              </w:tc>
            </w:tr>
            <w:tr w14:paraId="7E808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94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43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6.97E-01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26D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66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33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A6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3.74E+00</w:t>
                  </w:r>
                </w:p>
              </w:tc>
            </w:tr>
            <w:tr w14:paraId="7DCE6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24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B0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3E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26A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2A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F1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3.72E+00</w:t>
                  </w:r>
                </w:p>
              </w:tc>
            </w:tr>
            <w:tr w14:paraId="43CC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4E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51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AA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9F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66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D2B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3.70E+00</w:t>
                  </w:r>
                </w:p>
              </w:tc>
            </w:tr>
            <w:tr w14:paraId="1A0D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8F3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B1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3F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DD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DF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3A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3.68E+00</w:t>
                  </w:r>
                </w:p>
              </w:tc>
            </w:tr>
            <w:tr w14:paraId="36654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E2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2E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401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5F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9A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D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3.66E+00</w:t>
                  </w:r>
                </w:p>
              </w:tc>
            </w:tr>
            <w:tr w14:paraId="64F43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3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C6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6.49E-02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CE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C7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6D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13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3.63E+00</w:t>
                  </w:r>
                </w:p>
              </w:tc>
            </w:tr>
            <w:tr w14:paraId="7E16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A3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9E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3.56E-02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3D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9.76E-01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7B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36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5B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3.61E+00</w:t>
                  </w:r>
                </w:p>
              </w:tc>
            </w:tr>
            <w:tr w14:paraId="0111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E8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A0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A5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8.19E-01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E8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66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E2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3.58E+00</w:t>
                  </w:r>
                </w:p>
              </w:tc>
            </w:tr>
            <w:tr w14:paraId="1546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B7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F5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EF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5A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1A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3E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3.55E+00</w:t>
                  </w:r>
                </w:p>
              </w:tc>
            </w:tr>
            <w:tr w14:paraId="7C2E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AA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CC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4.53E-03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8B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5E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7F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64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3.52E+00</w:t>
                  </w:r>
                </w:p>
              </w:tc>
            </w:tr>
            <w:tr w14:paraId="6A7DC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27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AC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43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FD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7B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48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3.49E+00</w:t>
                  </w:r>
                </w:p>
              </w:tc>
            </w:tr>
            <w:tr w14:paraId="7A307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A2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1C9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9.21E-04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17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3.66E-01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D2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6D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BD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3.45E+00</w:t>
                  </w:r>
                </w:p>
              </w:tc>
            </w:tr>
            <w:tr w14:paraId="23F21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09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8B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3.88E-04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D8B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62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76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30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3.42E+00</w:t>
                  </w:r>
                </w:p>
              </w:tc>
            </w:tr>
            <w:tr w14:paraId="09610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29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D7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05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3C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3F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C0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3.38E+00</w:t>
                  </w:r>
                </w:p>
              </w:tc>
            </w:tr>
            <w:tr w14:paraId="2DF80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14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53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6.04E-05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3B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88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54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BDC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3.34E+00</w:t>
                  </w:r>
                </w:p>
              </w:tc>
            </w:tr>
            <w:tr w14:paraId="0D2F5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F2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6A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9F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69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7.88E-01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8C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FF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3.30E+00</w:t>
                  </w:r>
                </w:p>
              </w:tc>
            </w:tr>
            <w:tr w14:paraId="64A66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01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EB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7.86E-06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94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E9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9D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09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3.26E+00</w:t>
                  </w:r>
                </w:p>
              </w:tc>
            </w:tr>
            <w:tr w14:paraId="71EA9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11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1A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06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7.78E-02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6A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6.06E-01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AA4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FC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3.22E+00</w:t>
                  </w:r>
                </w:p>
              </w:tc>
            </w:tr>
            <w:tr w14:paraId="2293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E0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2F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8.53E-07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6A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60F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5.27E-01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B1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9.74E-01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84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3.17E+00</w:t>
                  </w:r>
                </w:p>
              </w:tc>
            </w:tr>
            <w:tr w14:paraId="52565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49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43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74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4.23E-02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52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FA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04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3.13E+00</w:t>
                  </w:r>
                </w:p>
              </w:tc>
            </w:tr>
            <w:tr w14:paraId="07A3B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69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AF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7.72E-08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58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DD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3.92E-01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B3C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7.94E-01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F2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3.08E+00</w:t>
                  </w:r>
                </w:p>
              </w:tc>
            </w:tr>
            <w:tr w14:paraId="2EC5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2B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6A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B5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AA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97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AD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3.03E+00</w:t>
                  </w:r>
                </w:p>
              </w:tc>
            </w:tr>
            <w:tr w14:paraId="084C9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A8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94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5.83E-09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99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D2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00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28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2.98E+00</w:t>
                  </w:r>
                </w:p>
              </w:tc>
            </w:tr>
            <w:tr w14:paraId="0EBF8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C8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01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0E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12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0D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5.67E-01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85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2.93E+00</w:t>
                  </w:r>
                </w:p>
              </w:tc>
            </w:tr>
            <w:tr w14:paraId="748B3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67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492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3.66E-10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37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7.51E-03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FC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2A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0F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2.88E+00</w:t>
                  </w:r>
                </w:p>
              </w:tc>
            </w:tr>
            <w:tr w14:paraId="3BE58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56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7E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F3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5.13E-03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B53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90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14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2.82E+00</w:t>
                  </w:r>
                </w:p>
              </w:tc>
            </w:tr>
            <w:tr w14:paraId="0A227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A7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F4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383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3.46E-03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6A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CB5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BD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2.77E+00</w:t>
                  </w:r>
                </w:p>
              </w:tc>
            </w:tr>
            <w:tr w14:paraId="7E9F0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39A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C32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2F7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E7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29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82C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2.71E+00</w:t>
                  </w:r>
                </w:p>
              </w:tc>
            </w:tr>
            <w:tr w14:paraId="457C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9D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1E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8.92E-13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9E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F9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9.59E-02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BF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32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2.65E+00</w:t>
                  </w:r>
                </w:p>
              </w:tc>
            </w:tr>
            <w:tr w14:paraId="7C7FB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413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AC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65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9.86E-04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86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7.84E-02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D6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E4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2.60E+00</w:t>
                  </w:r>
                </w:p>
              </w:tc>
            </w:tr>
            <w:tr w14:paraId="31D0D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DD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B7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AF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6.34E-04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4F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6.36E-02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F0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12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2.54E+00</w:t>
                  </w:r>
                </w:p>
              </w:tc>
            </w:tr>
            <w:tr w14:paraId="00EA4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90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6A1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3F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A3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5.14E-02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71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99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2.48E+00</w:t>
                  </w:r>
                </w:p>
              </w:tc>
            </w:tr>
            <w:tr w14:paraId="44678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DB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A8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78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3C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4.13E-02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0B2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BE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2.42E+00</w:t>
                  </w:r>
                </w:p>
              </w:tc>
            </w:tr>
            <w:tr w14:paraId="65D9E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3D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9E7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3F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B9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EF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EB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2.36E+00</w:t>
                  </w:r>
                </w:p>
              </w:tc>
            </w:tr>
            <w:tr w14:paraId="7060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0E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CD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60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9.55E-05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6D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B3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93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2.30E+00</w:t>
                  </w:r>
                </w:p>
              </w:tc>
            </w:tr>
            <w:tr w14:paraId="50F5F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9B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80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41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F9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30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1.03E-01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32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2.24E+00</w:t>
                  </w:r>
                </w:p>
              </w:tc>
            </w:tr>
            <w:tr w14:paraId="036F9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79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98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76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697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29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8.65E-02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94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2.18E+00</w:t>
                  </w:r>
                </w:p>
              </w:tc>
            </w:tr>
            <w:tr w14:paraId="0B6C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A9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70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AE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3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AD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7.27E-02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429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2.11E+00</w:t>
                  </w:r>
                </w:p>
              </w:tc>
            </w:tr>
            <w:tr w14:paraId="61BD0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A0D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48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94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B9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9.75E-03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9B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6.08E-02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0E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2.05E+00</w:t>
                  </w:r>
                </w:p>
              </w:tc>
            </w:tr>
            <w:tr w14:paraId="77BDE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C26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78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018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6.80E-06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9F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FE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01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1.99E+00</w:t>
                  </w:r>
                </w:p>
              </w:tc>
            </w:tr>
            <w:tr w14:paraId="3FE14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16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35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BD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3.86E-06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3B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5.74E-03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71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0B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1.93E+00</w:t>
                  </w:r>
                </w:p>
              </w:tc>
            </w:tr>
            <w:tr w14:paraId="41548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5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F67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CF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35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4.37E-03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11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49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1.87E+00</w:t>
                  </w:r>
                </w:p>
              </w:tc>
            </w:tr>
            <w:tr w14:paraId="7E72B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C1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E3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AA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44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67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F6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1.81E+00</w:t>
                  </w:r>
                </w:p>
              </w:tc>
            </w:tr>
            <w:tr w14:paraId="1A1D4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8D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D52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3B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6.57E-07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82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64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79F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1.75E+00</w:t>
                  </w:r>
                </w:p>
              </w:tc>
            </w:tr>
            <w:tr w14:paraId="33643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E52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11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91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1A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FC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8D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1.69E+00</w:t>
                  </w:r>
                </w:p>
              </w:tc>
            </w:tr>
            <w:tr w14:paraId="1F09C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A7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0A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8E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A0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78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B8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1.63E+00</w:t>
                  </w:r>
                </w:p>
              </w:tc>
            </w:tr>
            <w:tr w14:paraId="1C51D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E6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40F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49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B5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498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96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1.57E+00</w:t>
                  </w:r>
                </w:p>
              </w:tc>
            </w:tr>
            <w:tr w14:paraId="3A400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E0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F9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0E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17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7.45E-04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6A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1.01E-02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16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1.51E+00</w:t>
                  </w:r>
                </w:p>
              </w:tc>
            </w:tr>
            <w:tr w14:paraId="7AEB6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7C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2D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81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2E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5.43E-04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5D4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8.05E-03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28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1.45E+00</w:t>
                  </w:r>
                </w:p>
              </w:tc>
            </w:tr>
            <w:tr w14:paraId="3956A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0C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11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59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46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3.94E-04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81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6.42E-03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43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1.39E+00</w:t>
                  </w:r>
                </w:p>
              </w:tc>
            </w:tr>
            <w:tr w14:paraId="04389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7CF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E4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5B0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6.82E-09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A2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DD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205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1.34E+00</w:t>
                  </w:r>
                </w:p>
              </w:tc>
            </w:tr>
            <w:tr w14:paraId="2CDDA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67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9C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DE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6B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23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17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1.28E+00</w:t>
                  </w:r>
                </w:p>
              </w:tc>
            </w:tr>
            <w:tr w14:paraId="516C1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10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95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9F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53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C6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03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1.23E+00</w:t>
                  </w:r>
                </w:p>
              </w:tc>
            </w:tr>
            <w:tr w14:paraId="1567F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B1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D9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D7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8.26E-10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CC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3D1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91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1.18E+00</w:t>
                  </w:r>
                </w:p>
              </w:tc>
            </w:tr>
            <w:tr w14:paraId="47888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E3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AF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827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3.94E-10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85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7.17E-05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A7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8F2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1.12E+00</w:t>
                  </w:r>
                </w:p>
              </w:tc>
            </w:tr>
            <w:tr w14:paraId="5B908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CE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4D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EC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19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5.01E-05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E43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33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1.07E+00</w:t>
                  </w:r>
                </w:p>
              </w:tc>
            </w:tr>
            <w:tr w14:paraId="6F9FC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11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2C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4F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8.61E-11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BF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86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1.16E-03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25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1.02E+00</w:t>
                  </w:r>
                </w:p>
              </w:tc>
            </w:tr>
            <w:tr w14:paraId="5A460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FF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6B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D0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8F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34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8.97E-04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51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9.76E-01</w:t>
                  </w:r>
                </w:p>
              </w:tc>
            </w:tr>
            <w:tr w14:paraId="4D5F7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A5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55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DA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97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F0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6.87E-04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B9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9.30E-01</w:t>
                  </w:r>
                </w:p>
              </w:tc>
            </w:tr>
            <w:tr w14:paraId="0534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53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63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06F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14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BA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5.24E-04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A2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8.84E-01</w:t>
                  </w:r>
                </w:p>
              </w:tc>
            </w:tr>
            <w:tr w14:paraId="6313A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FB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6F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90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3.69E-12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B6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7.58E-06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E34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6A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8.40E-01</w:t>
                  </w:r>
                </w:p>
              </w:tc>
            </w:tr>
            <w:tr w14:paraId="35A1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63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D8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FA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63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F6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DC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7.97E-01</w:t>
                  </w:r>
                </w:p>
              </w:tc>
            </w:tr>
            <w:tr w14:paraId="12EC8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D6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BF7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C7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7.89E-13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5F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3.41E-06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97F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12D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7.56E-01</w:t>
                  </w:r>
                </w:p>
              </w:tc>
            </w:tr>
            <w:tr w14:paraId="7C2C8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22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C2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69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3.89E-13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C0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3A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3A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7.16E-01</w:t>
                  </w:r>
                </w:p>
              </w:tc>
            </w:tr>
            <w:tr w14:paraId="60CC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8A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7D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1A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6.52E-14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FB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65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1.27E-04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FF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6.77E-01</w:t>
                  </w:r>
                </w:p>
              </w:tc>
            </w:tr>
            <w:tr w14:paraId="77595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39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A8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8F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C0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9.82E-07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53E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81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6.40E-01</w:t>
                  </w:r>
                </w:p>
              </w:tc>
            </w:tr>
            <w:tr w14:paraId="7AB6C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EE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72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58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86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6.41E-07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87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6.96E-05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8B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6.04E-01</w:t>
                  </w:r>
                </w:p>
              </w:tc>
            </w:tr>
            <w:tr w14:paraId="7737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EF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17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2F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4.48E-15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79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70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5.12E-05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7F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5.70E-01</w:t>
                  </w:r>
                </w:p>
              </w:tc>
            </w:tr>
            <w:tr w14:paraId="7C616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1C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43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36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3D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C9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06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5.37E-01</w:t>
                  </w:r>
                </w:p>
              </w:tc>
            </w:tr>
            <w:tr w14:paraId="6A5BD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F3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51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D8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6.39E-16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9D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88D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2.74E-05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05A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5.05E-01</w:t>
                  </w:r>
                </w:p>
              </w:tc>
            </w:tr>
            <w:tr w14:paraId="7C725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B4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7F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93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32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A6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46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4.75E-01</w:t>
                  </w:r>
                </w:p>
              </w:tc>
            </w:tr>
            <w:tr w14:paraId="5A59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58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2E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79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D18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6.89E-08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F2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9A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4.46E-01</w:t>
                  </w:r>
                </w:p>
              </w:tc>
            </w:tr>
            <w:tr w14:paraId="42727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B18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C1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8F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1F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4.33E-08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84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1.03E-05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F4F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4.18E-01</w:t>
                  </w:r>
                </w:p>
              </w:tc>
            </w:tr>
            <w:tr w14:paraId="7F4C1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51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DF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30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7E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33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7.41E-06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33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3.92E-01</w:t>
                  </w:r>
                </w:p>
              </w:tc>
            </w:tr>
            <w:tr w14:paraId="1316C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1F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D91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B6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03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E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5.28E-06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74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3.66E-01</w:t>
                  </w:r>
                </w:p>
              </w:tc>
            </w:tr>
            <w:tr w14:paraId="059BB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0B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9A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3B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B7D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0D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0C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3.42E-01</w:t>
                  </w:r>
                </w:p>
              </w:tc>
            </w:tr>
            <w:tr w14:paraId="49DB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17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96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E5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A0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6.56E-09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F2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B3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3.20E-01</w:t>
                  </w:r>
                </w:p>
              </w:tc>
            </w:tr>
            <w:tr w14:paraId="7B2E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3D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30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FD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68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DA0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17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2.98E-01</w:t>
                  </w:r>
                </w:p>
              </w:tc>
            </w:tr>
            <w:tr w14:paraId="4BE6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B9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3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3C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3C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E4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1.31E-06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65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2.78E-01</w:t>
                  </w:r>
                </w:p>
              </w:tc>
            </w:tr>
            <w:tr w14:paraId="2D6F7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8C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F5C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11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9E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081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0C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2.59E-01</w:t>
                  </w:r>
                </w:p>
              </w:tc>
            </w:tr>
            <w:tr w14:paraId="0508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FB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6C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78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71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8.65E-10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BA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6.32E-07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EA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2.40E-01</w:t>
                  </w:r>
                </w:p>
              </w:tc>
            </w:tr>
            <w:tr w14:paraId="24152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C7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AE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108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7E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5.14E-10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CD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4.36E-07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A9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2.23E-01</w:t>
                  </w:r>
                </w:p>
              </w:tc>
            </w:tr>
            <w:tr w14:paraId="2717F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F8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B9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7F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CE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35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18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2.07E-01</w:t>
                  </w:r>
                </w:p>
              </w:tc>
            </w:tr>
            <w:tr w14:paraId="2B5C9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18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42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DA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60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69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47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1.92E-01</w:t>
                  </w:r>
                </w:p>
              </w:tc>
            </w:tr>
            <w:tr w14:paraId="6BAB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C3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4F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59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41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35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1.40E-07</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E7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1.77E-01</w:t>
                  </w:r>
                </w:p>
              </w:tc>
            </w:tr>
            <w:tr w14:paraId="170CD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73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73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731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8E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5.89E-11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ED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9.50E-08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AC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1.64E-01</w:t>
                  </w:r>
                </w:p>
              </w:tc>
            </w:tr>
            <w:tr w14:paraId="2FAFD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03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ED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67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61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25F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6.64E-08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D2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1.51E-01</w:t>
                  </w:r>
                </w:p>
              </w:tc>
            </w:tr>
            <w:tr w14:paraId="40FD3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8D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93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2D9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3E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71C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4.46E-08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FA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1.39E-01</w:t>
                  </w:r>
                </w:p>
              </w:tc>
            </w:tr>
            <w:tr w14:paraId="2FBFB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C5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4E6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AB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3A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F93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26E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1.28E-01</w:t>
                  </w:r>
                </w:p>
              </w:tc>
            </w:tr>
            <w:tr w14:paraId="27E4B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BC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DB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52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BF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6.46E-12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EED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22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1.18E-01</w:t>
                  </w:r>
                </w:p>
              </w:tc>
            </w:tr>
            <w:tr w14:paraId="3FCF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3E7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5D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71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F2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01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1.32E-08</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AB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1.09E-01</w:t>
                  </w:r>
                </w:p>
              </w:tc>
            </w:tr>
            <w:tr w14:paraId="46E92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4C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AFA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BD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02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5C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8.67E-09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BD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9.97E-02</w:t>
                  </w:r>
                </w:p>
              </w:tc>
            </w:tr>
            <w:tr w14:paraId="547E1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E5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B6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75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9F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6.16E-13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2A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5.69E-09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E1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9.14E-02</w:t>
                  </w:r>
                </w:p>
              </w:tc>
            </w:tr>
            <w:tr w14:paraId="06CF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09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BE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F1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BC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78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EE9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8.37E-02</w:t>
                  </w:r>
                </w:p>
              </w:tc>
            </w:tr>
            <w:tr w14:paraId="1E663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64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25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46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3C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C1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47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7.65E-02</w:t>
                  </w:r>
                </w:p>
              </w:tc>
            </w:tr>
            <w:tr w14:paraId="286A9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1A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2A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86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A3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4E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40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6.99E-02</w:t>
                  </w:r>
                </w:p>
              </w:tc>
            </w:tr>
            <w:tr w14:paraId="53004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14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A28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B3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74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5.41E-14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0E6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1.01E-09</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5D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6.38E-02</w:t>
                  </w:r>
                </w:p>
              </w:tc>
            </w:tr>
            <w:tr w14:paraId="06D3C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36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07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58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6C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1B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6.48E-10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B4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5.81E-02</w:t>
                  </w:r>
                </w:p>
              </w:tc>
            </w:tr>
            <w:tr w14:paraId="166FC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02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7A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B2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D2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82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2B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5.29E-02</w:t>
                  </w:r>
                </w:p>
              </w:tc>
            </w:tr>
            <w:tr w14:paraId="40FD5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FE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8D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AA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44F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5E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44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4.81E-02</w:t>
                  </w:r>
                </w:p>
              </w:tc>
            </w:tr>
            <w:tr w14:paraId="10441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95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82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05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F9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FE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10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4.37E-02</w:t>
                  </w:r>
                </w:p>
              </w:tc>
            </w:tr>
            <w:tr w14:paraId="24CF9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0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B7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EB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FE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73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1.08E-10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14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3.96E-02</w:t>
                  </w:r>
                </w:p>
              </w:tc>
            </w:tr>
            <w:tr w14:paraId="6B232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84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94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A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950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FD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6.98E-11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92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3.59E-02</w:t>
                  </w:r>
                </w:p>
              </w:tc>
            </w:tr>
            <w:tr w14:paraId="5C50C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5B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AF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24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F4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6.39E-16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2F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EF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3.25E-02</w:t>
                  </w:r>
                </w:p>
              </w:tc>
            </w:tr>
            <w:tr w14:paraId="72C0B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80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E7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33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2E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41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2.77E-11</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33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2.94E-02</w:t>
                  </w:r>
                </w:p>
              </w:tc>
            </w:tr>
            <w:tr w14:paraId="1FF7B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B5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DA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38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81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55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8.44E-12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1A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2.65E-02</w:t>
                  </w:r>
                </w:p>
              </w:tc>
            </w:tr>
            <w:tr w14:paraId="3E820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45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7C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97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F8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81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66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2.39E-02</w:t>
                  </w:r>
                </w:p>
              </w:tc>
            </w:tr>
            <w:tr w14:paraId="381F9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1B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50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72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1D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0D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7B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2.15E-02</w:t>
                  </w:r>
                </w:p>
              </w:tc>
            </w:tr>
            <w:tr w14:paraId="47FD0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C5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07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BEE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45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82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14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1.94E-02</w:t>
                  </w:r>
                </w:p>
              </w:tc>
            </w:tr>
            <w:tr w14:paraId="5EEE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81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5C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74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7B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FFF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1.27E-12</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2A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1.74E-02</w:t>
                  </w:r>
                </w:p>
              </w:tc>
            </w:tr>
            <w:tr w14:paraId="31D7B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BD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59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C7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BA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F2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7.67E-13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0D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1.56E-02</w:t>
                  </w:r>
                </w:p>
              </w:tc>
            </w:tr>
            <w:tr w14:paraId="0599C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6D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D8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08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E7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0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33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1.40E-02</w:t>
                  </w:r>
                </w:p>
              </w:tc>
            </w:tr>
            <w:tr w14:paraId="32493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12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EE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99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D11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C7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1B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1.25E-02</w:t>
                  </w:r>
                </w:p>
              </w:tc>
            </w:tr>
            <w:tr w14:paraId="3BB0C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DB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9E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88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B7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33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1.64E-13</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642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1.12E-02</w:t>
                  </w:r>
                </w:p>
              </w:tc>
            </w:tr>
            <w:tr w14:paraId="0D6B7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68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3D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67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68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BB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9.72E-14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2C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1.00E-02</w:t>
                  </w:r>
                </w:p>
              </w:tc>
            </w:tr>
            <w:tr w14:paraId="26CF2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82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9D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A37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6B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0A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5.73E-14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C7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8.93E-03</w:t>
                  </w:r>
                </w:p>
              </w:tc>
            </w:tr>
            <w:tr w14:paraId="3DD31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1D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71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DB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18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64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F67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7.96E-03</w:t>
                  </w:r>
                </w:p>
              </w:tc>
            </w:tr>
            <w:tr w14:paraId="0073E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37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41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F7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00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BC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BD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7.08E-03</w:t>
                  </w:r>
                </w:p>
              </w:tc>
            </w:tr>
            <w:tr w14:paraId="4F043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AD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A3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73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B2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E4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1.15E-14</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65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6.29E-03</w:t>
                  </w:r>
                </w:p>
              </w:tc>
            </w:tr>
            <w:tr w14:paraId="0A45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80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826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4E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B1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C4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6.61E-15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EF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5.59E-03</w:t>
                  </w:r>
                </w:p>
              </w:tc>
            </w:tr>
            <w:tr w14:paraId="150F0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7B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0F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98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65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C5A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C2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4.95E-03</w:t>
                  </w:r>
                </w:p>
              </w:tc>
            </w:tr>
            <w:tr w14:paraId="02DA2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3C8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7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983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8B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04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28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4.39E-03</w:t>
                  </w:r>
                </w:p>
              </w:tc>
            </w:tr>
            <w:tr w14:paraId="2127F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6E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DE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24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89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9C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1.28E-15</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BE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3.88E-03</w:t>
                  </w:r>
                </w:p>
              </w:tc>
            </w:tr>
            <w:tr w14:paraId="3623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9A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D1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50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CA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96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6.39E-16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76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3.43E-03</w:t>
                  </w:r>
                </w:p>
              </w:tc>
            </w:tr>
            <w:tr w14:paraId="0AD8D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41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D9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E3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04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A1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A9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3.03E-03</w:t>
                  </w:r>
                </w:p>
              </w:tc>
            </w:tr>
            <w:tr w14:paraId="29384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5C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D0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88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4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A5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F55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2.67E-03</w:t>
                  </w:r>
                </w:p>
              </w:tc>
            </w:tr>
            <w:tr w14:paraId="725F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27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34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E8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85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98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CC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2.35E-03</w:t>
                  </w:r>
                </w:p>
              </w:tc>
            </w:tr>
            <w:tr w14:paraId="18C11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C5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83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F6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D3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07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54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2.06E-03</w:t>
                  </w:r>
                </w:p>
              </w:tc>
            </w:tr>
            <w:tr w14:paraId="5E824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12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F4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43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9E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AFD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B0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1.81E-03</w:t>
                  </w:r>
                </w:p>
              </w:tc>
            </w:tr>
            <w:tr w14:paraId="2B390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E58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02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8E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15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AC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28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1.59E-03</w:t>
                  </w:r>
                </w:p>
              </w:tc>
            </w:tr>
            <w:tr w14:paraId="1FD97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0E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FA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73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40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84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99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1.39E-03</w:t>
                  </w:r>
                </w:p>
              </w:tc>
            </w:tr>
            <w:tr w14:paraId="25546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FF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9C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74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6C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5E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A1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1.22E-03</w:t>
                  </w:r>
                </w:p>
              </w:tc>
            </w:tr>
            <w:tr w14:paraId="2BFD3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96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F7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EE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D9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A3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EB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1.06E-03</w:t>
                  </w:r>
                </w:p>
              </w:tc>
            </w:tr>
            <w:tr w14:paraId="08EEE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F6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A1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3D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50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C3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4A2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9.29E-04</w:t>
                  </w:r>
                </w:p>
              </w:tc>
            </w:tr>
            <w:tr w14:paraId="5D86C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AE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AF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200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C8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A2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46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8.10E-04</w:t>
                  </w:r>
                </w:p>
              </w:tc>
            </w:tr>
            <w:tr w14:paraId="01D32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18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30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EB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71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90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7C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7.05E-04</w:t>
                  </w:r>
                </w:p>
              </w:tc>
            </w:tr>
            <w:tr w14:paraId="40419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7D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2D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66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EE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F6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5E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6.13E-04</w:t>
                  </w:r>
                </w:p>
              </w:tc>
            </w:tr>
            <w:tr w14:paraId="6E754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7E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C6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E2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B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3A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8E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5.32E-04</w:t>
                  </w:r>
                </w:p>
              </w:tc>
            </w:tr>
            <w:tr w14:paraId="33DE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A9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03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4E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87F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A6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F7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4.62E-04</w:t>
                  </w:r>
                </w:p>
              </w:tc>
            </w:tr>
            <w:tr w14:paraId="04B03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E0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6E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B0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9D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C3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7D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4.00E-04</w:t>
                  </w:r>
                </w:p>
              </w:tc>
            </w:tr>
            <w:tr w14:paraId="5C450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A5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56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63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6F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63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0F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3.46E-04</w:t>
                  </w:r>
                </w:p>
              </w:tc>
            </w:tr>
            <w:tr w14:paraId="4FB78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1C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65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3C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E0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EE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D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2.99E-04</w:t>
                  </w:r>
                </w:p>
              </w:tc>
            </w:tr>
            <w:tr w14:paraId="3782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68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C6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E6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66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788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76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2.58E-04</w:t>
                  </w:r>
                </w:p>
              </w:tc>
            </w:tr>
            <w:tr w14:paraId="0462F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53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24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9B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B6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DB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E5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2.23E-04</w:t>
                  </w:r>
                </w:p>
              </w:tc>
            </w:tr>
            <w:tr w14:paraId="03B7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19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29F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A9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56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B0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DD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1.92E-04</w:t>
                  </w:r>
                </w:p>
              </w:tc>
            </w:tr>
            <w:tr w14:paraId="435B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C5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B7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C5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F7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9F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8E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1.65E-04</w:t>
                  </w:r>
                </w:p>
              </w:tc>
            </w:tr>
            <w:tr w14:paraId="38F8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97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E8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A0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24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82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24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1.42E-04</w:t>
                  </w:r>
                </w:p>
              </w:tc>
            </w:tr>
            <w:tr w14:paraId="6C4D7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B2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90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34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A6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10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40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1.22E-04</w:t>
                  </w:r>
                </w:p>
              </w:tc>
            </w:tr>
            <w:tr w14:paraId="4FAE3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7E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30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88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B1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E2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46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1.04E-04</w:t>
                  </w:r>
                </w:p>
              </w:tc>
            </w:tr>
            <w:tr w14:paraId="0D47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F0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31B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2B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BA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23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EF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8.91E-05</w:t>
                  </w:r>
                </w:p>
              </w:tc>
            </w:tr>
            <w:tr w14:paraId="4631D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30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C5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76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A2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52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D8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7.62E-05</w:t>
                  </w:r>
                </w:p>
              </w:tc>
            </w:tr>
            <w:tr w14:paraId="2195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4E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7D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54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59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C35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AE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6.50E-05</w:t>
                  </w:r>
                </w:p>
              </w:tc>
            </w:tr>
            <w:tr w14:paraId="7F35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0A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F8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D5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2A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1F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A1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5.72E-05</w:t>
                  </w:r>
                </w:p>
              </w:tc>
            </w:tr>
            <w:tr w14:paraId="7174B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01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4E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6E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58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5A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51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4.87E-05</w:t>
                  </w:r>
                </w:p>
              </w:tc>
            </w:tr>
            <w:tr w14:paraId="0D304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DA0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1E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76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F9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A3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7F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4.14E-05</w:t>
                  </w:r>
                </w:p>
              </w:tc>
            </w:tr>
            <w:tr w14:paraId="495D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E2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1E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EA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9F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CB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3A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3.51E-05</w:t>
                  </w:r>
                </w:p>
              </w:tc>
            </w:tr>
            <w:tr w14:paraId="7A8B6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9E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CE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AB9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8C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16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78B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2.98E-05</w:t>
                  </w:r>
                </w:p>
              </w:tc>
            </w:tr>
            <w:tr w14:paraId="44993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A8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2B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06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9A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A7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E5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2.52E-05</w:t>
                  </w:r>
                </w:p>
              </w:tc>
            </w:tr>
            <w:tr w14:paraId="7DA5E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9B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B4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62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A7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98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3B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2.14E-05</w:t>
                  </w:r>
                </w:p>
              </w:tc>
            </w:tr>
            <w:tr w14:paraId="10F3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8A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C7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7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C4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E5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F8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1.80E-05</w:t>
                  </w:r>
                </w:p>
              </w:tc>
            </w:tr>
            <w:tr w14:paraId="7B6E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78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79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75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F7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B3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11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1.52E-05</w:t>
                  </w:r>
                </w:p>
              </w:tc>
            </w:tr>
            <w:tr w14:paraId="0D28D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DD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58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B9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F2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72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92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1.28E-05</w:t>
                  </w:r>
                </w:p>
              </w:tc>
            </w:tr>
            <w:tr w14:paraId="73D86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53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0D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0C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D0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708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8B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1.08E-05</w:t>
                  </w:r>
                </w:p>
              </w:tc>
            </w:tr>
            <w:tr w14:paraId="48443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DD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1C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5F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C8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6E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2FE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9.09E-06</w:t>
                  </w:r>
                </w:p>
              </w:tc>
            </w:tr>
            <w:tr w14:paraId="6A54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AF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DC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E0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44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57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92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7.63E-06</w:t>
                  </w:r>
                </w:p>
              </w:tc>
            </w:tr>
            <w:tr w14:paraId="3979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38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AD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FB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A6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03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A6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6.40E-06</w:t>
                  </w:r>
                </w:p>
              </w:tc>
            </w:tr>
            <w:tr w14:paraId="728C5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B9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C5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45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49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C9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BD7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5.36E-06</w:t>
                  </w:r>
                </w:p>
              </w:tc>
            </w:tr>
            <w:tr w14:paraId="47383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92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A4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CE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74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32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2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4.48E-06</w:t>
                  </w:r>
                </w:p>
              </w:tc>
            </w:tr>
            <w:tr w14:paraId="298A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38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C5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0E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BD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E7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39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3.75E-06</w:t>
                  </w:r>
                </w:p>
              </w:tc>
            </w:tr>
            <w:tr w14:paraId="5BEF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BF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A4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41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19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31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F2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3.13E-06</w:t>
                  </w:r>
                </w:p>
              </w:tc>
            </w:tr>
            <w:tr w14:paraId="272E6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60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45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DD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5E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C7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02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2.60E-06</w:t>
                  </w:r>
                </w:p>
              </w:tc>
            </w:tr>
            <w:tr w14:paraId="6D2E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05B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8E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6AC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3A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C0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58E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2.17E-06</w:t>
                  </w:r>
                </w:p>
              </w:tc>
            </w:tr>
            <w:tr w14:paraId="05375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AD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B4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C9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AD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1E9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E3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1.81E-06</w:t>
                  </w:r>
                </w:p>
              </w:tc>
            </w:tr>
            <w:tr w14:paraId="24C59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12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AA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9D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6A2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67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1D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1.50E-06</w:t>
                  </w:r>
                </w:p>
              </w:tc>
            </w:tr>
            <w:tr w14:paraId="218A5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FD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DE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96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82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C3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8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1.24E-06</w:t>
                  </w:r>
                </w:p>
              </w:tc>
            </w:tr>
            <w:tr w14:paraId="683A1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40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C2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84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56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FD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91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1.03E-06</w:t>
                  </w:r>
                </w:p>
              </w:tc>
            </w:tr>
            <w:tr w14:paraId="58375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EE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C0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89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19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7B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05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8.59E-07</w:t>
                  </w:r>
                </w:p>
              </w:tc>
            </w:tr>
            <w:tr w14:paraId="73595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BE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2A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54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87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ED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50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7.05E-07</w:t>
                  </w:r>
                </w:p>
              </w:tc>
            </w:tr>
            <w:tr w14:paraId="304BA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28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C0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E8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95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A9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A4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5.71E-07</w:t>
                  </w:r>
                </w:p>
              </w:tc>
            </w:tr>
            <w:tr w14:paraId="66A6E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24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64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FE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C5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FF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4E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4.85E-07</w:t>
                  </w:r>
                </w:p>
              </w:tc>
            </w:tr>
            <w:tr w14:paraId="1EFA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7E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52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D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F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85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47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4.00E-07</w:t>
                  </w:r>
                </w:p>
              </w:tc>
            </w:tr>
            <w:tr w14:paraId="0CFB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6F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AC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24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47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2A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AD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3.14E-07</w:t>
                  </w:r>
                </w:p>
              </w:tc>
            </w:tr>
            <w:tr w14:paraId="2E9A3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0C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2A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E2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2B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A1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DF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2.59E-07</w:t>
                  </w:r>
                </w:p>
              </w:tc>
            </w:tr>
            <w:tr w14:paraId="069ED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4E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88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00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B5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BE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5B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2.04E-07</w:t>
                  </w:r>
                </w:p>
              </w:tc>
            </w:tr>
            <w:tr w14:paraId="62FC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AF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5C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2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74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F00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FF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1.89E-07</w:t>
                  </w:r>
                </w:p>
              </w:tc>
            </w:tr>
            <w:tr w14:paraId="68C7C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2B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54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7F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8A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A3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C2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1.32E-07</w:t>
                  </w:r>
                </w:p>
              </w:tc>
            </w:tr>
            <w:tr w14:paraId="25179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9D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F1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39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D9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B8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2B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1.21E-07</w:t>
                  </w:r>
                </w:p>
              </w:tc>
            </w:tr>
            <w:tr w14:paraId="7A65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35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F1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A8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669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38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BF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1.14E-07</w:t>
                  </w:r>
                </w:p>
              </w:tc>
            </w:tr>
            <w:tr w14:paraId="2C02C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1C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3F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08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54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3C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31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1.09E-07</w:t>
                  </w:r>
                </w:p>
              </w:tc>
            </w:tr>
            <w:tr w14:paraId="7C22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AC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DB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D8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3F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31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A2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3.77E-08</w:t>
                  </w:r>
                </w:p>
              </w:tc>
            </w:tr>
            <w:tr w14:paraId="397CB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93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5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C6A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2C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6D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03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3.06E-08</w:t>
                  </w:r>
                </w:p>
              </w:tc>
            </w:tr>
            <w:tr w14:paraId="1CB88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FCE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68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68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B1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C1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D8D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2.49E-08</w:t>
                  </w:r>
                </w:p>
              </w:tc>
            </w:tr>
            <w:tr w14:paraId="687B7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95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72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5B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58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A3B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1C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2.02E-08</w:t>
                  </w:r>
                </w:p>
              </w:tc>
            </w:tr>
            <w:tr w14:paraId="6D3F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C2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35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E6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FE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68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9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1.63E-08</w:t>
                  </w:r>
                </w:p>
              </w:tc>
            </w:tr>
            <w:tr w14:paraId="7591E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25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227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C90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00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76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4D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1.32E-08</w:t>
                  </w:r>
                </w:p>
              </w:tc>
            </w:tr>
            <w:tr w14:paraId="2DCCB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05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C6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510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CA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B9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8D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1.07E-08</w:t>
                  </w:r>
                </w:p>
              </w:tc>
            </w:tr>
            <w:tr w14:paraId="7364A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8D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3B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5F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7D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02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3F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8.60E-09</w:t>
                  </w:r>
                </w:p>
              </w:tc>
            </w:tr>
            <w:tr w14:paraId="6E573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C6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06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2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02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1C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41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6.93E-09</w:t>
                  </w:r>
                </w:p>
              </w:tc>
            </w:tr>
            <w:tr w14:paraId="4A42C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852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B2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C1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29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CC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2E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5.57E-09</w:t>
                  </w:r>
                </w:p>
              </w:tc>
            </w:tr>
            <w:tr w14:paraId="11803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DE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60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1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C2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54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46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4.48E-09</w:t>
                  </w:r>
                </w:p>
              </w:tc>
            </w:tr>
            <w:tr w14:paraId="5F781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CC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0B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F9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83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70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5D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3.59E-09</w:t>
                  </w:r>
                </w:p>
              </w:tc>
            </w:tr>
            <w:tr w14:paraId="1B563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16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0B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BA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CD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DD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89E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2.88E-09</w:t>
                  </w:r>
                </w:p>
              </w:tc>
            </w:tr>
            <w:tr w14:paraId="0B1E5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4F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A5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B2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4E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49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9D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2.31E-09</w:t>
                  </w:r>
                </w:p>
              </w:tc>
            </w:tr>
            <w:tr w14:paraId="07159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B5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7A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30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B1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4A8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2E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1.84E-09</w:t>
                  </w:r>
                </w:p>
              </w:tc>
            </w:tr>
            <w:tr w14:paraId="37E92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1A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87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07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26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23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50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1.47E-09</w:t>
                  </w:r>
                </w:p>
              </w:tc>
            </w:tr>
            <w:tr w14:paraId="4B247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0B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B1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CA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2C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54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EA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1.17E-09</w:t>
                  </w:r>
                </w:p>
              </w:tc>
            </w:tr>
            <w:tr w14:paraId="5E9A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6FD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50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C4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A7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18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0E6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9.35E-10</w:t>
                  </w:r>
                </w:p>
              </w:tc>
            </w:tr>
            <w:tr w14:paraId="4D2CF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17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B6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0D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14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AC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E1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7.44E-10</w:t>
                  </w:r>
                </w:p>
              </w:tc>
            </w:tr>
            <w:tr w14:paraId="60757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AC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5F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8D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20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05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CF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5.91E-10</w:t>
                  </w:r>
                </w:p>
              </w:tc>
            </w:tr>
            <w:tr w14:paraId="64DD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88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9E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7B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4E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64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38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4.69E-10</w:t>
                  </w:r>
                </w:p>
              </w:tc>
            </w:tr>
            <w:tr w14:paraId="3262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36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5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B2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CE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D6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C3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3.72E-10</w:t>
                  </w:r>
                </w:p>
              </w:tc>
            </w:tr>
            <w:tr w14:paraId="4AA7F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BE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AD7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96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A6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F5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7B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2.94E-10</w:t>
                  </w:r>
                </w:p>
              </w:tc>
            </w:tr>
            <w:tr w14:paraId="393E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E4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F4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8D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67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8D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24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2.33E-10</w:t>
                  </w:r>
                </w:p>
              </w:tc>
            </w:tr>
            <w:tr w14:paraId="67F62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6CB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4E8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AC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1A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95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EC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1.84E-10</w:t>
                  </w:r>
                </w:p>
              </w:tc>
            </w:tr>
            <w:tr w14:paraId="06279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97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45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EB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EA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FC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62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1.45E-10</w:t>
                  </w:r>
                </w:p>
              </w:tc>
            </w:tr>
            <w:tr w14:paraId="044E4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C7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21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0C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35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86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03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1.14E-10</w:t>
                  </w:r>
                </w:p>
              </w:tc>
            </w:tr>
            <w:tr w14:paraId="7B6CE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9B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C36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48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37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14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25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8.98E-11</w:t>
                  </w:r>
                </w:p>
              </w:tc>
            </w:tr>
            <w:tr w14:paraId="2D31A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EA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AA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EC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A8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62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A1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7.05E-11</w:t>
                  </w:r>
                </w:p>
              </w:tc>
            </w:tr>
            <w:tr w14:paraId="49A5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5B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27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EB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57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FB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89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5.54E-11</w:t>
                  </w:r>
                </w:p>
              </w:tc>
            </w:tr>
            <w:tr w14:paraId="0BFA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6E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48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B1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B6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A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35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4.34E-11</w:t>
                  </w:r>
                </w:p>
              </w:tc>
            </w:tr>
            <w:tr w14:paraId="14691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DF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D8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81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AA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6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39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3.40E-11</w:t>
                  </w:r>
                </w:p>
              </w:tc>
            </w:tr>
            <w:tr w14:paraId="12145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D3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B0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29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EA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E9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F6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2.65E-11</w:t>
                  </w:r>
                </w:p>
              </w:tc>
            </w:tr>
            <w:tr w14:paraId="77542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DD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4D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B3F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72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E9D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EC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2.07E-11</w:t>
                  </w:r>
                </w:p>
              </w:tc>
            </w:tr>
            <w:tr w14:paraId="2665F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3B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3C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DC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EE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C2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AA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1.62E-11</w:t>
                  </w:r>
                </w:p>
              </w:tc>
            </w:tr>
            <w:tr w14:paraId="232FD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58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D8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9F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E2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6A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D3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1.26E-11</w:t>
                  </w:r>
                </w:p>
              </w:tc>
            </w:tr>
            <w:tr w14:paraId="1BB5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CE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12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AB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01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2A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51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9.79E-12</w:t>
                  </w:r>
                </w:p>
              </w:tc>
            </w:tr>
            <w:tr w14:paraId="6C862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2B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8E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C4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F9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AB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52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7.61E-12</w:t>
                  </w:r>
                </w:p>
              </w:tc>
            </w:tr>
            <w:tr w14:paraId="2449C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5A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49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50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58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14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51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5.90E-12</w:t>
                  </w:r>
                </w:p>
              </w:tc>
            </w:tr>
            <w:tr w14:paraId="2D003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73C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828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3D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EDC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C9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0E1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4.57E-12</w:t>
                  </w:r>
                </w:p>
              </w:tc>
            </w:tr>
            <w:tr w14:paraId="46E96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D1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37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D1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37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CC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796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3.54E-12</w:t>
                  </w:r>
                </w:p>
              </w:tc>
            </w:tr>
            <w:tr w14:paraId="11A17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CA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EC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8F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D2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A6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4F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2.95E-12</w:t>
                  </w:r>
                </w:p>
              </w:tc>
            </w:tr>
            <w:tr w14:paraId="3626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5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DC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4E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B7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5E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980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2.28E-12</w:t>
                  </w:r>
                </w:p>
              </w:tc>
            </w:tr>
            <w:tr w14:paraId="57726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CF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98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4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BA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40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8A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1.75E-12</w:t>
                  </w:r>
                </w:p>
              </w:tc>
            </w:tr>
            <w:tr w14:paraId="1C36C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BD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D3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FCB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2B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97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26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1.35E-12</w:t>
                  </w:r>
                </w:p>
              </w:tc>
            </w:tr>
            <w:tr w14:paraId="5AB1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AB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49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59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61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10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E71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1.04E-12</w:t>
                  </w:r>
                </w:p>
              </w:tc>
            </w:tr>
            <w:tr w14:paraId="5A6B0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DC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87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AA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AC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52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AC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7.96E-13</w:t>
                  </w:r>
                </w:p>
              </w:tc>
            </w:tr>
            <w:tr w14:paraId="07495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BA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E4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D2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9A6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17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CA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6.10E-13</w:t>
                  </w:r>
                </w:p>
              </w:tc>
            </w:tr>
            <w:tr w14:paraId="53E77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787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BB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E3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E0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39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D9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4.67E-13</w:t>
                  </w:r>
                </w:p>
              </w:tc>
            </w:tr>
            <w:tr w14:paraId="1508F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73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7B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F1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C13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4A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81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3.57E-13</w:t>
                  </w:r>
                </w:p>
              </w:tc>
            </w:tr>
            <w:tr w14:paraId="45B04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C1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5A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56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6C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87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FE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2.73E-13</w:t>
                  </w:r>
                </w:p>
              </w:tc>
            </w:tr>
            <w:tr w14:paraId="4FF3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1D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10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72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4E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DF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AA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2.08E-13</w:t>
                  </w:r>
                </w:p>
              </w:tc>
            </w:tr>
            <w:tr w14:paraId="67C02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64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F8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D2F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56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99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3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1.58E-13</w:t>
                  </w:r>
                </w:p>
              </w:tc>
            </w:tr>
            <w:tr w14:paraId="4409A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BF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7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91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50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08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B1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1.20E-13</w:t>
                  </w:r>
                </w:p>
              </w:tc>
            </w:tr>
            <w:tr w14:paraId="673D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85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6F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63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B5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2FA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79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9.14E-14</w:t>
                  </w:r>
                </w:p>
              </w:tc>
            </w:tr>
            <w:tr w14:paraId="364AB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A4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D1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42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E8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5D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11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6.95E-14</w:t>
                  </w:r>
                </w:p>
              </w:tc>
            </w:tr>
            <w:tr w14:paraId="5EC5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DF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1C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B9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63B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CCB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74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5.27E-14</w:t>
                  </w:r>
                </w:p>
              </w:tc>
            </w:tr>
            <w:tr w14:paraId="5BBE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58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8E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A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5A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43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B3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3.99E-14</w:t>
                  </w:r>
                </w:p>
              </w:tc>
            </w:tr>
            <w:tr w14:paraId="5B871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C5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2B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5E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F5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F9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76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3.01E-14</w:t>
                  </w:r>
                </w:p>
              </w:tc>
            </w:tr>
            <w:tr w14:paraId="0286B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E2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62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BC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AC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5A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D7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2.28E-14</w:t>
                  </w:r>
                </w:p>
              </w:tc>
            </w:tr>
            <w:tr w14:paraId="3656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C1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EE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0C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36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85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2C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1.71E-14</w:t>
                  </w:r>
                </w:p>
              </w:tc>
            </w:tr>
            <w:tr w14:paraId="0828A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18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65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14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F4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E9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66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1.30E-14</w:t>
                  </w:r>
                </w:p>
              </w:tc>
            </w:tr>
            <w:tr w14:paraId="5F9DE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48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C2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19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C9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41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EF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9.81E-15</w:t>
                  </w:r>
                </w:p>
              </w:tc>
            </w:tr>
            <w:tr w14:paraId="35343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A5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A7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09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F1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C4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FD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7.25E-15</w:t>
                  </w:r>
                </w:p>
              </w:tc>
            </w:tr>
            <w:tr w14:paraId="0C864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49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7B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10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88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49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0C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5.54E-15</w:t>
                  </w:r>
                </w:p>
              </w:tc>
            </w:tr>
            <w:tr w14:paraId="3110F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76E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6C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A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80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58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AB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4.05E-15</w:t>
                  </w:r>
                </w:p>
              </w:tc>
            </w:tr>
            <w:tr w14:paraId="53605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A4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77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A1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E1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B2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E7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2.98E-15</w:t>
                  </w:r>
                </w:p>
              </w:tc>
            </w:tr>
            <w:tr w14:paraId="3939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FF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7E7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CF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35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F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39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2.34E-15</w:t>
                  </w:r>
                </w:p>
              </w:tc>
            </w:tr>
            <w:tr w14:paraId="72106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CD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4E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44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BA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60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F5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1.71E-15</w:t>
                  </w:r>
                </w:p>
              </w:tc>
            </w:tr>
            <w:tr w14:paraId="54729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1A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7B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89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A5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61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24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1.28E-15</w:t>
                  </w:r>
                </w:p>
              </w:tc>
            </w:tr>
            <w:tr w14:paraId="7D170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0C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50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B5B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6E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6F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6A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8.53E-16</w:t>
                  </w:r>
                </w:p>
              </w:tc>
            </w:tr>
            <w:tr w14:paraId="0FD37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2C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85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D3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52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CF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97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6.39E-16</w:t>
                  </w:r>
                </w:p>
              </w:tc>
            </w:tr>
            <w:tr w14:paraId="07B3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84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7B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23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FE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83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C0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4.26E-16</w:t>
                  </w:r>
                </w:p>
              </w:tc>
            </w:tr>
            <w:tr w14:paraId="5563D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2C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78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85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29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38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2C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4.26E-16</w:t>
                  </w:r>
                </w:p>
              </w:tc>
            </w:tr>
            <w:tr w14:paraId="514FF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F6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BE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48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F2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00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E9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r>
            <w:tr w14:paraId="7A585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ED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76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91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57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C4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550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r>
            <w:tr w14:paraId="65F3B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5E3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8D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99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60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AC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83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r>
            <w:tr w14:paraId="2ED7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EAB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w:t>
                  </w:r>
                </w:p>
              </w:tc>
              <w:tc>
                <w:tcPr>
                  <w:tcW w:w="1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98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E8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DF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45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0.00E+00</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45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2.13E-16</w:t>
                  </w:r>
                </w:p>
              </w:tc>
            </w:tr>
          </w:tbl>
          <w:p w14:paraId="3D939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p>
          <w:p w14:paraId="66A05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p>
          <w:p w14:paraId="6DDDD8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drawing>
                <wp:inline distT="0" distB="0" distL="114300" distR="114300">
                  <wp:extent cx="4762500" cy="2638425"/>
                  <wp:effectExtent l="0" t="0" r="0"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4"/>
                          <a:stretch>
                            <a:fillRect/>
                          </a:stretch>
                        </pic:blipFill>
                        <pic:spPr>
                          <a:xfrm>
                            <a:off x="0" y="0"/>
                            <a:ext cx="4762500" cy="2638425"/>
                          </a:xfrm>
                          <a:prstGeom prst="rect">
                            <a:avLst/>
                          </a:prstGeom>
                          <a:noFill/>
                          <a:ln>
                            <a:noFill/>
                          </a:ln>
                        </pic:spPr>
                      </pic:pic>
                    </a:graphicData>
                  </a:graphic>
                </wp:inline>
              </w:drawing>
            </w:r>
          </w:p>
          <w:p w14:paraId="14E94373">
            <w:pPr>
              <w:pStyle w:val="10"/>
              <w:numPr>
                <w:ilvl w:val="4"/>
                <w:numId w:val="0"/>
              </w:numPr>
              <w:spacing w:line="240" w:lineRule="auto"/>
              <w:rPr>
                <w:color w:val="000000" w:themeColor="text1"/>
                <w:sz w:val="24"/>
                <w:szCs w:val="24"/>
                <w14:textFill>
                  <w14:solidFill>
                    <w14:schemeClr w14:val="tx1"/>
                  </w14:solidFill>
                </w14:textFill>
              </w:rPr>
            </w:pPr>
            <w:bookmarkStart w:id="52" w:name="_Toc14444"/>
            <w:r>
              <w:rPr>
                <w:rFonts w:hint="eastAsia"/>
                <w:color w:val="000000" w:themeColor="text1"/>
                <w:sz w:val="24"/>
                <w:szCs w:val="24"/>
                <w14:textFill>
                  <w14:solidFill>
                    <w14:schemeClr w14:val="tx1"/>
                  </w14:solidFill>
                </w14:textFill>
              </w:rPr>
              <w:t>图4-1</w:t>
            </w:r>
            <w:r>
              <w:rPr>
                <w:rFonts w:hint="eastAsia"/>
                <w:color w:val="000000" w:themeColor="text1"/>
                <w:sz w:val="24"/>
                <w:szCs w:val="24"/>
                <w:lang w:val="en-US" w:eastAsia="zh-CN"/>
                <w14:textFill>
                  <w14:solidFill>
                    <w14:schemeClr w14:val="tx1"/>
                  </w14:solidFill>
                </w14:textFill>
              </w:rPr>
              <w:t xml:space="preserve">2 </w:t>
            </w:r>
            <w:r>
              <w:rPr>
                <w:rFonts w:hint="eastAsia"/>
                <w:color w:val="000000" w:themeColor="text1"/>
                <w:sz w:val="24"/>
                <w:szCs w:val="24"/>
                <w14:textFill>
                  <w14:solidFill>
                    <w14:schemeClr w14:val="tx1"/>
                  </w14:solidFill>
                </w14:textFill>
              </w:rPr>
              <w:t xml:space="preserve"> 项目区下游地下水中氟化物浓度变化曲线图</w:t>
            </w:r>
          </w:p>
          <w:p w14:paraId="086A3FA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从上表和图可看出，在渗滤液收集井或防渗层出现破损或破裂，渗滤液发生渗漏的非正常状况下，渗滤液持续渗入含水层中运移</w:t>
            </w:r>
            <w:r>
              <w:rPr>
                <w:color w:val="000000" w:themeColor="text1"/>
                <w:szCs w:val="22"/>
                <w:highlight w:val="none"/>
                <w14:textFill>
                  <w14:solidFill>
                    <w14:schemeClr w14:val="tx1"/>
                  </w14:solidFill>
                </w14:textFill>
              </w:rPr>
              <w:t>100d</w:t>
            </w:r>
            <w:r>
              <w:rPr>
                <w:rFonts w:hint="eastAsia"/>
                <w:color w:val="000000" w:themeColor="text1"/>
                <w:szCs w:val="22"/>
                <w:highlight w:val="none"/>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365d、730d、</w:t>
            </w:r>
            <w:r>
              <w:rPr>
                <w:color w:val="000000" w:themeColor="text1"/>
                <w:szCs w:val="22"/>
                <w:highlight w:val="none"/>
                <w14:textFill>
                  <w14:solidFill>
                    <w14:schemeClr w14:val="tx1"/>
                  </w14:solidFill>
                </w14:textFill>
              </w:rPr>
              <w:t>1000d</w:t>
            </w:r>
            <w:r>
              <w:rPr>
                <w:rFonts w:hint="eastAsia"/>
                <w:color w:val="000000" w:themeColor="text1"/>
                <w:szCs w:val="22"/>
                <w:highlight w:val="none"/>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2190</w:t>
            </w:r>
            <w:r>
              <w:rPr>
                <w:color w:val="000000" w:themeColor="text1"/>
                <w:szCs w:val="22"/>
                <w:highlight w:val="none"/>
                <w14:textFill>
                  <w14:solidFill>
                    <w14:schemeClr w14:val="tx1"/>
                  </w14:solidFill>
                </w14:textFill>
              </w:rPr>
              <w:t>d</w:t>
            </w:r>
            <w:r>
              <w:rPr>
                <w:rFonts w:hint="eastAsia"/>
                <w:color w:val="000000" w:themeColor="text1"/>
                <w:szCs w:val="22"/>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后，地下水环境受氟化物影响的最大距离分别为</w:t>
            </w:r>
            <w:r>
              <w:rPr>
                <w:rFonts w:hint="eastAsia"/>
                <w:color w:val="000000" w:themeColor="text1"/>
                <w:highlight w:val="none"/>
                <w:lang w:val="en-US" w:eastAsia="zh-CN"/>
                <w14:textFill>
                  <w14:solidFill>
                    <w14:schemeClr w14:val="tx1"/>
                  </w14:solidFill>
                </w14:textFill>
              </w:rPr>
              <w:t>39</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77</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112</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133</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273</w:t>
            </w:r>
            <w:r>
              <w:rPr>
                <w:rFonts w:hint="eastAsia"/>
                <w:color w:val="000000" w:themeColor="text1"/>
                <w:highlight w:val="none"/>
                <w14:textFill>
                  <w14:solidFill>
                    <w14:schemeClr w14:val="tx1"/>
                  </w14:solidFill>
                </w14:textFill>
              </w:rPr>
              <w:t>m。</w:t>
            </w:r>
          </w:p>
          <w:p w14:paraId="03DC4AFF">
            <w:pPr>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污染物</w:t>
            </w:r>
            <w:r>
              <w:rPr>
                <w:color w:val="000000" w:themeColor="text1"/>
                <w:kern w:val="0"/>
                <w:lang w:bidi="ar"/>
                <w14:textFill>
                  <w14:solidFill>
                    <w14:schemeClr w14:val="tx1"/>
                  </w14:solidFill>
                </w14:textFill>
              </w:rPr>
              <w:t>渗漏进入含水层中的污染物在短时间内难以自净恢复，随着时间的增加，污染物在含水层中的迁移扩散距离还会增大，会对</w:t>
            </w:r>
            <w:r>
              <w:rPr>
                <w:rFonts w:hint="eastAsia"/>
                <w:color w:val="000000" w:themeColor="text1"/>
                <w:kern w:val="0"/>
                <w:lang w:bidi="ar"/>
                <w14:textFill>
                  <w14:solidFill>
                    <w14:schemeClr w14:val="tx1"/>
                  </w14:solidFill>
                </w14:textFill>
              </w:rPr>
              <w:t>修复</w:t>
            </w:r>
            <w:r>
              <w:rPr>
                <w:color w:val="000000" w:themeColor="text1"/>
                <w:kern w:val="0"/>
                <w:lang w:bidi="ar"/>
                <w14:textFill>
                  <w14:solidFill>
                    <w14:schemeClr w14:val="tx1"/>
                  </w14:solidFill>
                </w14:textFill>
              </w:rPr>
              <w:t>区及其下游的地下水环境造成不同程度的污染。</w:t>
            </w:r>
          </w:p>
          <w:p w14:paraId="3535DA80">
            <w:pPr>
              <w:ind w:firstLine="480"/>
              <w:rPr>
                <w:color w:val="000000" w:themeColor="text1"/>
                <w14:textFill>
                  <w14:solidFill>
                    <w14:schemeClr w14:val="tx1"/>
                  </w14:solidFill>
                </w14:textFill>
              </w:rPr>
            </w:pPr>
            <w:r>
              <w:rPr>
                <w:color w:val="000000" w:themeColor="text1"/>
                <w:kern w:val="0"/>
                <w:lang w:bidi="ar"/>
                <w14:textFill>
                  <w14:solidFill>
                    <w14:schemeClr w14:val="tx1"/>
                  </w14:solidFill>
                </w14:textFill>
              </w:rPr>
              <w:t>因此，</w:t>
            </w:r>
            <w:r>
              <w:rPr>
                <w:rFonts w:hint="eastAsia"/>
                <w:color w:val="000000" w:themeColor="text1"/>
                <w:kern w:val="0"/>
                <w:lang w:bidi="ar"/>
                <w14:textFill>
                  <w14:solidFill>
                    <w14:schemeClr w14:val="tx1"/>
                  </w14:solidFill>
                </w14:textFill>
              </w:rPr>
              <w:t>在项目建设过程中要按要求做好相应的防渗措施，项目建成后需要定期检查渗滤液收集设施及修复区防渗层破损情况</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直到项目无渗滤液产生，如果</w:t>
            </w:r>
            <w:r>
              <w:rPr>
                <w:color w:val="000000" w:themeColor="text1"/>
                <w:kern w:val="0"/>
                <w:lang w:bidi="ar"/>
                <w14:textFill>
                  <w14:solidFill>
                    <w14:schemeClr w14:val="tx1"/>
                  </w14:solidFill>
                </w14:textFill>
              </w:rPr>
              <w:t>发现有破损</w:t>
            </w:r>
            <w:r>
              <w:rPr>
                <w:rFonts w:hint="eastAsia"/>
                <w:color w:val="000000" w:themeColor="text1"/>
                <w:kern w:val="0"/>
                <w:lang w:bidi="ar"/>
                <w14:textFill>
                  <w14:solidFill>
                    <w14:schemeClr w14:val="tx1"/>
                  </w14:solidFill>
                </w14:textFill>
              </w:rPr>
              <w:t>情况应立即进行修补。</w:t>
            </w:r>
            <w:r>
              <w:rPr>
                <w:color w:val="000000" w:themeColor="text1"/>
                <w:kern w:val="0"/>
                <w:lang w:bidi="ar"/>
                <w14:textFill>
                  <w14:solidFill>
                    <w14:schemeClr w14:val="tx1"/>
                  </w14:solidFill>
                </w14:textFill>
              </w:rPr>
              <w:t>杜绝非正常情况的发生，避免污染物进入含水层及地下水环境中</w:t>
            </w:r>
            <w:r>
              <w:rPr>
                <w:rFonts w:hint="eastAsia"/>
                <w:color w:val="000000" w:themeColor="text1"/>
                <w:kern w:val="0"/>
                <w:lang w:bidi="ar"/>
                <w14:textFill>
                  <w14:solidFill>
                    <w14:schemeClr w14:val="tx1"/>
                  </w14:solidFill>
                </w14:textFill>
              </w:rPr>
              <w:t>。</w:t>
            </w:r>
          </w:p>
          <w:p w14:paraId="6E0C2D60">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监控井穿透曲线</w:t>
            </w:r>
          </w:p>
          <w:p w14:paraId="6435A3A6">
            <w:pPr>
              <w:tabs>
                <w:tab w:val="left" w:pos="420"/>
              </w:tabs>
              <w:ind w:firstLine="480" w:firstLineChars="0"/>
              <w:textAlignment w:val="baseline"/>
              <w:rPr>
                <w:color w:val="000000" w:themeColor="text1"/>
                <w14:textFill>
                  <w14:solidFill>
                    <w14:schemeClr w14:val="tx1"/>
                  </w14:solidFill>
                </w14:textFill>
              </w:rPr>
            </w:pPr>
            <w:r>
              <w:rPr>
                <w:color w:val="000000" w:themeColor="text1"/>
                <w:szCs w:val="21"/>
                <w14:textFill>
                  <w14:solidFill>
                    <w14:schemeClr w14:val="tx1"/>
                  </w14:solidFill>
                </w14:textFill>
              </w:rPr>
              <w:t>本次评价考虑</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渗滤液收集井</w:t>
            </w:r>
            <w:r>
              <w:rPr>
                <w:color w:val="000000" w:themeColor="text1"/>
                <w14:textFill>
                  <w14:solidFill>
                    <w14:schemeClr w14:val="tx1"/>
                  </w14:solidFill>
                </w14:textFill>
              </w:rPr>
              <w:t>防渗层出现破损或破裂，渗滤液发</w:t>
            </w:r>
            <w:r>
              <w:rPr>
                <w:color w:val="000000" w:themeColor="text1"/>
                <w:szCs w:val="21"/>
                <w14:textFill>
                  <w14:solidFill>
                    <w14:schemeClr w14:val="tx1"/>
                  </w14:solidFill>
                </w14:textFill>
              </w:rPr>
              <w:t>泄漏下渗进入地下水中，将各项参数代入所建立的解析模型，计算各污染物到达距离项目修复区</w:t>
            </w:r>
            <w:r>
              <w:rPr>
                <w:rFonts w:hint="eastAsia"/>
                <w:color w:val="000000" w:themeColor="text1"/>
                <w:szCs w:val="21"/>
                <w:lang w:val="en-US" w:eastAsia="zh-CN"/>
                <w14:textFill>
                  <w14:solidFill>
                    <w14:schemeClr w14:val="tx1"/>
                  </w14:solidFill>
                </w14:textFill>
              </w:rPr>
              <w:t>10</w:t>
            </w:r>
            <w:r>
              <w:rPr>
                <w:color w:val="000000" w:themeColor="text1"/>
                <w:szCs w:val="21"/>
                <w14:textFill>
                  <w14:solidFill>
                    <w14:schemeClr w14:val="tx1"/>
                  </w14:solidFill>
                </w14:textFill>
              </w:rPr>
              <w:t>m处的下游监控井的时间变化情况。</w:t>
            </w:r>
          </w:p>
          <w:p w14:paraId="78D407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表4-14</w:t>
            </w:r>
            <w:r>
              <w:rPr>
                <w:rFonts w:hint="eastAsia" w:ascii="宋体" w:hAnsi="宋体" w:cs="宋体"/>
                <w:b/>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渗滤液收集井发生泄漏下游监控井中氟化物浓度变化情况表</w:t>
            </w:r>
          </w:p>
          <w:tbl>
            <w:tblPr>
              <w:tblStyle w:val="40"/>
              <w:tblW w:w="759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6518"/>
            </w:tblGrid>
            <w:tr w14:paraId="23661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95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B8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r>
            <w:tr w14:paraId="51085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56A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3D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r>
            <w:tr w14:paraId="0C48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91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54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5.18E-11</w:t>
                  </w:r>
                </w:p>
              </w:tc>
            </w:tr>
            <w:tr w14:paraId="7E55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CE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8B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1.51E-07</w:t>
                  </w:r>
                </w:p>
              </w:tc>
            </w:tr>
            <w:tr w14:paraId="6FC3D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DF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AB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8.45E-06</w:t>
                  </w:r>
                </w:p>
              </w:tc>
            </w:tr>
            <w:tr w14:paraId="4C9E8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91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C0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9.68E-05</w:t>
                  </w:r>
                </w:p>
              </w:tc>
            </w:tr>
            <w:tr w14:paraId="57FD0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4D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67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4.98E-04</w:t>
                  </w:r>
                </w:p>
              </w:tc>
            </w:tr>
            <w:tr w14:paraId="46178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DE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D9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1.62E-03</w:t>
                  </w:r>
                </w:p>
              </w:tc>
            </w:tr>
            <w:tr w14:paraId="2575E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16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3B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3.96E-03</w:t>
                  </w:r>
                </w:p>
              </w:tc>
            </w:tr>
            <w:tr w14:paraId="02895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6A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582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7.96E-03</w:t>
                  </w:r>
                </w:p>
              </w:tc>
            </w:tr>
            <w:tr w14:paraId="1F1E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88C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36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1.40E-02</w:t>
                  </w:r>
                </w:p>
              </w:tc>
            </w:tr>
            <w:tr w14:paraId="78320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D5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47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2.23E-02</w:t>
                  </w:r>
                </w:p>
              </w:tc>
            </w:tr>
            <w:tr w14:paraId="57A59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7E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C5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3.29E-02</w:t>
                  </w:r>
                </w:p>
              </w:tc>
            </w:tr>
            <w:tr w14:paraId="22A5D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EC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23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4.58E-02</w:t>
                  </w:r>
                </w:p>
              </w:tc>
            </w:tr>
            <w:tr w14:paraId="59CA5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18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8F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6.09E-02</w:t>
                  </w:r>
                </w:p>
              </w:tc>
            </w:tr>
            <w:tr w14:paraId="0F7B8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60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D7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7.82E-02</w:t>
                  </w:r>
                </w:p>
              </w:tc>
            </w:tr>
            <w:tr w14:paraId="6CCA3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16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FD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9.74E-02</w:t>
                  </w:r>
                </w:p>
              </w:tc>
            </w:tr>
            <w:tr w14:paraId="13BF1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A2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46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1.18E-01</w:t>
                  </w:r>
                </w:p>
              </w:tc>
            </w:tr>
            <w:tr w14:paraId="0792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72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BC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1.41E-01</w:t>
                  </w:r>
                </w:p>
              </w:tc>
            </w:tr>
            <w:tr w14:paraId="1E4C2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17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D4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1.65E-01</w:t>
                  </w:r>
                </w:p>
              </w:tc>
            </w:tr>
            <w:tr w14:paraId="2BD0F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8D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CC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1.90E-01</w:t>
                  </w:r>
                </w:p>
              </w:tc>
            </w:tr>
            <w:tr w14:paraId="68A31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DA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48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2.16E-01</w:t>
                  </w:r>
                </w:p>
              </w:tc>
            </w:tr>
            <w:tr w14:paraId="0651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2D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53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2.43E-01</w:t>
                  </w:r>
                </w:p>
              </w:tc>
            </w:tr>
            <w:tr w14:paraId="6A50A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E5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84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2.71E-01</w:t>
                  </w:r>
                </w:p>
              </w:tc>
            </w:tr>
            <w:tr w14:paraId="7AFCE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A9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E7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3.00E-01</w:t>
                  </w:r>
                </w:p>
              </w:tc>
            </w:tr>
            <w:tr w14:paraId="7594A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B0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DC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3.28E-01</w:t>
                  </w:r>
                </w:p>
              </w:tc>
            </w:tr>
            <w:tr w14:paraId="7D95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AB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63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3.58E-01</w:t>
                  </w:r>
                </w:p>
              </w:tc>
            </w:tr>
            <w:tr w14:paraId="553B3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5A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48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3.87E-01</w:t>
                  </w:r>
                </w:p>
              </w:tc>
            </w:tr>
            <w:tr w14:paraId="38CB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DA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62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4.17E-01</w:t>
                  </w:r>
                </w:p>
              </w:tc>
            </w:tr>
            <w:tr w14:paraId="5C584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FC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D1C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4.47E-01</w:t>
                  </w:r>
                </w:p>
              </w:tc>
            </w:tr>
            <w:tr w14:paraId="11F07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99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38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4.77E-01</w:t>
                  </w:r>
                </w:p>
              </w:tc>
            </w:tr>
            <w:tr w14:paraId="64252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9B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8C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5.07E-01</w:t>
                  </w:r>
                </w:p>
              </w:tc>
            </w:tr>
            <w:tr w14:paraId="50180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5F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17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5.37E-01</w:t>
                  </w:r>
                </w:p>
              </w:tc>
            </w:tr>
            <w:tr w14:paraId="7A2BA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D4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F4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5.67E-01</w:t>
                  </w:r>
                </w:p>
              </w:tc>
            </w:tr>
            <w:tr w14:paraId="1C459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600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5BA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5.97E-01</w:t>
                  </w:r>
                </w:p>
              </w:tc>
            </w:tr>
            <w:tr w14:paraId="57B20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C8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17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6.27E-01</w:t>
                  </w:r>
                </w:p>
              </w:tc>
            </w:tr>
            <w:tr w14:paraId="20AA1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BC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E3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6.56E-01</w:t>
                  </w:r>
                </w:p>
              </w:tc>
            </w:tr>
            <w:tr w14:paraId="6BAC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EB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20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6.86E-01</w:t>
                  </w:r>
                </w:p>
              </w:tc>
            </w:tr>
            <w:tr w14:paraId="783E4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C4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B5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7.15E-01</w:t>
                  </w:r>
                </w:p>
              </w:tc>
            </w:tr>
            <w:tr w14:paraId="2F200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77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03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7.44E-01</w:t>
                  </w:r>
                </w:p>
              </w:tc>
            </w:tr>
            <w:tr w14:paraId="091E1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43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C81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7.72E-01</w:t>
                  </w:r>
                </w:p>
              </w:tc>
            </w:tr>
            <w:tr w14:paraId="0B331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FC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6A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8.01E-01</w:t>
                  </w:r>
                </w:p>
              </w:tc>
            </w:tr>
            <w:tr w14:paraId="439CF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6C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B4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8.29E-01</w:t>
                  </w:r>
                </w:p>
              </w:tc>
            </w:tr>
            <w:tr w14:paraId="3EBE3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35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E4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8.56E-01</w:t>
                  </w:r>
                </w:p>
              </w:tc>
            </w:tr>
            <w:tr w14:paraId="3698D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D7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01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8.84E-01</w:t>
                  </w:r>
                </w:p>
              </w:tc>
            </w:tr>
            <w:tr w14:paraId="4D60C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58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B7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9.11E-01</w:t>
                  </w:r>
                </w:p>
              </w:tc>
            </w:tr>
            <w:tr w14:paraId="65724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32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FCA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9.38E-01</w:t>
                  </w:r>
                </w:p>
              </w:tc>
            </w:tr>
            <w:tr w14:paraId="5D073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2F7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14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9.64E-01</w:t>
                  </w:r>
                </w:p>
              </w:tc>
            </w:tr>
            <w:tr w14:paraId="5652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C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6D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9.90E-01</w:t>
                  </w:r>
                </w:p>
              </w:tc>
            </w:tr>
            <w:tr w14:paraId="18F00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E2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99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1.02E+00</w:t>
                  </w:r>
                </w:p>
              </w:tc>
            </w:tr>
            <w:tr w14:paraId="7C9C6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D3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E9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1.04E+00</w:t>
                  </w:r>
                </w:p>
              </w:tc>
            </w:tr>
            <w:tr w14:paraId="38CB0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B6A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5F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1.07E+00</w:t>
                  </w:r>
                </w:p>
              </w:tc>
            </w:tr>
            <w:tr w14:paraId="0B59A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7C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86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1.09E+00</w:t>
                  </w:r>
                </w:p>
              </w:tc>
            </w:tr>
            <w:tr w14:paraId="4A15A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5F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42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1.12E+00</w:t>
                  </w:r>
                </w:p>
              </w:tc>
            </w:tr>
            <w:tr w14:paraId="23DEC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58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19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1.14E+00</w:t>
                  </w:r>
                </w:p>
              </w:tc>
            </w:tr>
            <w:tr w14:paraId="345D3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0D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F70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1.16E+00</w:t>
                  </w:r>
                </w:p>
              </w:tc>
            </w:tr>
            <w:tr w14:paraId="059DA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47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47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1.19E+00</w:t>
                  </w:r>
                </w:p>
              </w:tc>
            </w:tr>
            <w:tr w14:paraId="7E2CB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82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F2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1.21E+00</w:t>
                  </w:r>
                </w:p>
              </w:tc>
            </w:tr>
            <w:tr w14:paraId="0504F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CB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76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1.23E+00</w:t>
                  </w:r>
                </w:p>
              </w:tc>
            </w:tr>
            <w:tr w14:paraId="6DCC4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03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38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1.26E+00</w:t>
                  </w:r>
                </w:p>
              </w:tc>
            </w:tr>
            <w:tr w14:paraId="153D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71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B7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1.28E+00</w:t>
                  </w:r>
                </w:p>
              </w:tc>
            </w:tr>
            <w:tr w14:paraId="7FB2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B4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3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1.30E+00</w:t>
                  </w:r>
                </w:p>
              </w:tc>
            </w:tr>
            <w:tr w14:paraId="7E3EB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2A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53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1.32E+00</w:t>
                  </w:r>
                </w:p>
              </w:tc>
            </w:tr>
            <w:tr w14:paraId="48693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6D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EC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1.35E+00</w:t>
                  </w:r>
                </w:p>
              </w:tc>
            </w:tr>
            <w:tr w14:paraId="6E871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1A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16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1.37E+00</w:t>
                  </w:r>
                </w:p>
              </w:tc>
            </w:tr>
            <w:tr w14:paraId="6B169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8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8F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1.39E+00</w:t>
                  </w:r>
                </w:p>
              </w:tc>
            </w:tr>
            <w:tr w14:paraId="3B82A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46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3A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1.41E+00</w:t>
                  </w:r>
                </w:p>
              </w:tc>
            </w:tr>
            <w:tr w14:paraId="59AF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07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8D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1.43E+00</w:t>
                  </w:r>
                </w:p>
              </w:tc>
            </w:tr>
            <w:tr w14:paraId="4992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6B1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99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1.45E+00</w:t>
                  </w:r>
                </w:p>
              </w:tc>
            </w:tr>
            <w:tr w14:paraId="5241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D2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F0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1.47E+00</w:t>
                  </w:r>
                </w:p>
              </w:tc>
            </w:tr>
            <w:tr w14:paraId="27C91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18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71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1.49E+00</w:t>
                  </w:r>
                </w:p>
              </w:tc>
            </w:tr>
            <w:tr w14:paraId="1038C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22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603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1.51E+00</w:t>
                  </w:r>
                </w:p>
              </w:tc>
            </w:tr>
            <w:tr w14:paraId="58C71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D2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E8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1.53E+00</w:t>
                  </w:r>
                </w:p>
              </w:tc>
            </w:tr>
            <w:tr w14:paraId="224C7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FB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6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89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1.55E+00</w:t>
                  </w:r>
                </w:p>
              </w:tc>
            </w:tr>
          </w:tbl>
          <w:p w14:paraId="7CD8D7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p>
          <w:p w14:paraId="4203E4E0">
            <w:pPr>
              <w:keepNext/>
              <w:keepLines/>
              <w:tabs>
                <w:tab w:val="left" w:pos="420"/>
              </w:tabs>
              <w:adjustRightInd w:val="0"/>
              <w:snapToGrid w:val="0"/>
              <w:ind w:firstLine="0" w:firstLineChars="0"/>
              <w:jc w:val="center"/>
              <w:textAlignment w:val="baseline"/>
              <w:rPr>
                <w:b/>
                <w:bCs/>
                <w:color w:val="000000" w:themeColor="text1"/>
                <w14:textFill>
                  <w14:solidFill>
                    <w14:schemeClr w14:val="tx1"/>
                  </w14:solidFill>
                </w14:textFill>
              </w:rPr>
            </w:pPr>
            <w:r>
              <w:drawing>
                <wp:inline distT="0" distB="0" distL="114300" distR="114300">
                  <wp:extent cx="4762500" cy="2638425"/>
                  <wp:effectExtent l="0" t="0" r="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4762500" cy="2638425"/>
                          </a:xfrm>
                          <a:prstGeom prst="rect">
                            <a:avLst/>
                          </a:prstGeom>
                          <a:noFill/>
                          <a:ln>
                            <a:noFill/>
                          </a:ln>
                        </pic:spPr>
                      </pic:pic>
                    </a:graphicData>
                  </a:graphic>
                </wp:inline>
              </w:drawing>
            </w:r>
          </w:p>
          <w:p w14:paraId="2A7043F0">
            <w:pPr>
              <w:keepNext/>
              <w:keepLines/>
              <w:tabs>
                <w:tab w:val="left" w:pos="420"/>
              </w:tabs>
              <w:adjustRightInd w:val="0"/>
              <w:snapToGrid w:val="0"/>
              <w:ind w:firstLine="0" w:firstLineChars="0"/>
              <w:jc w:val="center"/>
              <w:textAlignment w:val="baseline"/>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图</w:t>
            </w:r>
            <w:r>
              <w:rPr>
                <w:rFonts w:hint="eastAsia"/>
                <w:b/>
                <w:bCs/>
                <w:color w:val="000000" w:themeColor="text1"/>
                <w:sz w:val="24"/>
                <w:szCs w:val="24"/>
                <w14:textFill>
                  <w14:solidFill>
                    <w14:schemeClr w14:val="tx1"/>
                  </w14:solidFill>
                </w14:textFill>
              </w:rPr>
              <w:t>4-1</w:t>
            </w:r>
            <w:r>
              <w:rPr>
                <w:rFonts w:hint="eastAsia"/>
                <w:b/>
                <w:bCs/>
                <w:color w:val="000000" w:themeColor="text1"/>
                <w:sz w:val="24"/>
                <w:szCs w:val="24"/>
                <w:lang w:val="en-US" w:eastAsia="zh-CN"/>
                <w14:textFill>
                  <w14:solidFill>
                    <w14:schemeClr w14:val="tx1"/>
                  </w14:solidFill>
                </w14:textFill>
              </w:rPr>
              <w:t xml:space="preserve">3 </w:t>
            </w:r>
            <w:r>
              <w:rPr>
                <w:rFonts w:hint="eastAsia"/>
                <w:b/>
                <w:bCs/>
                <w:color w:val="000000" w:themeColor="text1"/>
                <w:sz w:val="24"/>
                <w:szCs w:val="24"/>
                <w14:textFill>
                  <w14:solidFill>
                    <w14:schemeClr w14:val="tx1"/>
                  </w14:solidFill>
                </w14:textFill>
              </w:rPr>
              <w:t xml:space="preserve"> 项目区下游监控井中氟化物穿透曲线</w:t>
            </w:r>
          </w:p>
          <w:p w14:paraId="4D3148EF">
            <w:pPr>
              <w:ind w:firstLine="480"/>
              <w:textAlignment w:val="baseline"/>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根据上表及图分析，在项目渗滤液收集井发生泄漏后，污染物氟化物在泄漏后第</w:t>
            </w:r>
            <w:r>
              <w:rPr>
                <w:rFonts w:hint="eastAsia" w:cs="Times New Roman"/>
                <w:color w:val="000000" w:themeColor="text1"/>
                <w:szCs w:val="21"/>
                <w:highlight w:val="none"/>
                <w:lang w:val="en-US" w:eastAsia="zh-CN"/>
                <w14:textFill>
                  <w14:solidFill>
                    <w14:schemeClr w14:val="tx1"/>
                  </w14:solidFill>
                </w14:textFill>
              </w:rPr>
              <w:t>10</w:t>
            </w:r>
            <w:r>
              <w:rPr>
                <w:rFonts w:cs="Times New Roman"/>
                <w:color w:val="000000" w:themeColor="text1"/>
                <w:szCs w:val="21"/>
                <w:highlight w:val="none"/>
                <w14:textFill>
                  <w14:solidFill>
                    <w14:schemeClr w14:val="tx1"/>
                  </w14:solidFill>
                </w14:textFill>
              </w:rPr>
              <w:t>d时到达监控井</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下游JCJ02#</w:t>
            </w:r>
            <w:r>
              <w:rPr>
                <w:rFonts w:hint="eastAsia" w:cs="Times New Roman"/>
                <w:color w:val="000000" w:themeColor="text1"/>
                <w:szCs w:val="21"/>
                <w:highlight w:val="none"/>
                <w:lang w:eastAsia="zh-CN"/>
                <w14:textFill>
                  <w14:solidFill>
                    <w14:schemeClr w14:val="tx1"/>
                  </w14:solidFill>
                </w14:textFill>
              </w:rPr>
              <w:t>）</w:t>
            </w:r>
            <w:r>
              <w:rPr>
                <w:rFonts w:cs="Times New Roman"/>
                <w:color w:val="000000" w:themeColor="text1"/>
                <w:szCs w:val="21"/>
                <w:highlight w:val="none"/>
                <w14:textFill>
                  <w14:solidFill>
                    <w14:schemeClr w14:val="tx1"/>
                  </w14:solidFill>
                </w14:textFill>
              </w:rPr>
              <w:t>，污染物可到达监测井处，预测中的</w:t>
            </w:r>
            <w:r>
              <w:rPr>
                <w:rFonts w:hint="eastAsia" w:cs="Times New Roman"/>
                <w:color w:val="000000" w:themeColor="text1"/>
                <w:szCs w:val="21"/>
                <w:highlight w:val="none"/>
                <w:lang w:val="en-US" w:eastAsia="zh-CN"/>
                <w14:textFill>
                  <w14:solidFill>
                    <w14:schemeClr w14:val="tx1"/>
                  </w14:solidFill>
                </w14:textFill>
              </w:rPr>
              <w:t>氟化物</w:t>
            </w:r>
            <w:r>
              <w:rPr>
                <w:rFonts w:cs="Times New Roman"/>
                <w:color w:val="000000" w:themeColor="text1"/>
                <w:szCs w:val="21"/>
                <w:highlight w:val="none"/>
                <w14:textFill>
                  <w14:solidFill>
                    <w14:schemeClr w14:val="tx1"/>
                  </w14:solidFill>
                </w14:textFill>
              </w:rPr>
              <w:t>浓度随着泄漏时间的推移逐渐升高，泄露到</w:t>
            </w:r>
            <w:r>
              <w:rPr>
                <w:rFonts w:hint="eastAsia" w:cs="Times New Roman"/>
                <w:color w:val="000000" w:themeColor="text1"/>
                <w:szCs w:val="21"/>
                <w:highlight w:val="none"/>
                <w:lang w:val="en-US" w:eastAsia="zh-CN"/>
                <w14:textFill>
                  <w14:solidFill>
                    <w14:schemeClr w14:val="tx1"/>
                  </w14:solidFill>
                </w14:textFill>
              </w:rPr>
              <w:t>225</w:t>
            </w:r>
            <w:r>
              <w:rPr>
                <w:rFonts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后</w:t>
            </w:r>
            <w:r>
              <w:rPr>
                <w:rFonts w:cs="Times New Roman"/>
                <w:color w:val="000000" w:themeColor="text1"/>
                <w:szCs w:val="21"/>
                <w:highlight w:val="none"/>
                <w14:textFill>
                  <w14:solidFill>
                    <w14:schemeClr w14:val="tx1"/>
                  </w14:solidFill>
                </w14:textFill>
              </w:rPr>
              <w:t>监测井中的</w:t>
            </w:r>
            <w:r>
              <w:rPr>
                <w:rFonts w:hint="eastAsia" w:cs="Times New Roman"/>
                <w:color w:val="000000" w:themeColor="text1"/>
                <w:szCs w:val="21"/>
                <w:highlight w:val="none"/>
                <w:lang w:val="en-US" w:eastAsia="zh-CN"/>
                <w14:textFill>
                  <w14:solidFill>
                    <w14:schemeClr w14:val="tx1"/>
                  </w14:solidFill>
                </w14:textFill>
              </w:rPr>
              <w:t>氟化物开始超标</w:t>
            </w:r>
            <w:r>
              <w:rPr>
                <w:rFonts w:cs="Times New Roman"/>
                <w:color w:val="000000" w:themeColor="text1"/>
                <w:szCs w:val="21"/>
                <w:highlight w:val="none"/>
                <w14:textFill>
                  <w14:solidFill>
                    <w14:schemeClr w14:val="tx1"/>
                  </w14:solidFill>
                </w14:textFill>
              </w:rPr>
              <w:t>。</w:t>
            </w:r>
          </w:p>
          <w:p w14:paraId="66FED92B">
            <w:pPr>
              <w:ind w:firstLine="480"/>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本项目施工期避开了雨季且设置了位移监测设施与地下水监控井，能够及时监控项目渗滤液情况，在做好防渗情况下</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渗滤液收集井</w:t>
            </w:r>
            <w:r>
              <w:rPr>
                <w:color w:val="000000" w:themeColor="text1"/>
                <w:szCs w:val="21"/>
                <w14:textFill>
                  <w14:solidFill>
                    <w14:schemeClr w14:val="tx1"/>
                  </w14:solidFill>
                </w14:textFill>
              </w:rPr>
              <w:t>发生泄漏</w:t>
            </w:r>
            <w:r>
              <w:rPr>
                <w:rFonts w:hint="eastAsia"/>
                <w:color w:val="000000" w:themeColor="text1"/>
                <w:szCs w:val="21"/>
                <w14:textFill>
                  <w14:solidFill>
                    <w14:schemeClr w14:val="tx1"/>
                  </w14:solidFill>
                </w14:textFill>
              </w:rPr>
              <w:t>后污染物随地下水流到项目范围外的可能极小。本项目采取了各项防渗措施，建立地下水环境监控体系，包括建立地下水污染监控制度和环境管理体系，制定监测计划，以便及时发现问题，及时采取预防措施。</w:t>
            </w:r>
          </w:p>
          <w:p w14:paraId="59DE2C73">
            <w:pPr>
              <w:ind w:firstLine="480"/>
              <w:rPr>
                <w:color w:val="000000" w:themeColor="text1"/>
                <w:szCs w:val="21"/>
                <w14:textFill>
                  <w14:solidFill>
                    <w14:schemeClr w14:val="tx1"/>
                  </w14:solidFill>
                </w14:textFill>
              </w:rPr>
            </w:pPr>
            <w:r>
              <w:rPr>
                <w:rFonts w:hint="eastAsia"/>
                <w:color w:val="000000" w:themeColor="text1"/>
                <w:kern w:val="0"/>
                <w:lang w:bidi="ar"/>
                <w14:textFill>
                  <w14:solidFill>
                    <w14:schemeClr w14:val="tx1"/>
                  </w14:solidFill>
                </w14:textFill>
              </w:rPr>
              <w:t>综上，当发生非正常情况时，渗滤液短时间下渗对地下水环境影响较小。如</w:t>
            </w:r>
            <w:r>
              <w:rPr>
                <w:rFonts w:hint="eastAsia"/>
                <w:color w:val="000000" w:themeColor="text1"/>
                <w:szCs w:val="21"/>
                <w14:textFill>
                  <w14:solidFill>
                    <w14:schemeClr w14:val="tx1"/>
                  </w14:solidFill>
                </w14:textFill>
              </w:rPr>
              <w:t>防渗层破损导致渗滤液泄露长时间会对地下水造成影响，因此项目需严格做好防渗措施，严格按监测计划进行跟踪监测，做好预防措施，避免对周边环境造成较大影响。</w:t>
            </w:r>
          </w:p>
          <w:p w14:paraId="3B5C0BD9">
            <w:pPr>
              <w:ind w:firstLine="482"/>
              <w:rPr>
                <w:b/>
                <w:bCs/>
                <w:color w:val="000000" w:themeColor="text1"/>
                <w:kern w:val="0"/>
                <w:lang w:bidi="ar"/>
                <w14:textFill>
                  <w14:solidFill>
                    <w14:schemeClr w14:val="tx1"/>
                  </w14:solidFill>
                </w14:textFill>
              </w:rPr>
            </w:pPr>
            <w:bookmarkStart w:id="53" w:name="_Toc6556"/>
            <w:bookmarkStart w:id="54" w:name="_Toc13209"/>
            <w:bookmarkStart w:id="55" w:name="_Toc30169"/>
            <w:bookmarkStart w:id="56" w:name="_Toc12324"/>
            <w:r>
              <w:rPr>
                <w:rFonts w:hint="eastAsia"/>
                <w:b/>
                <w:bCs/>
                <w:color w:val="000000" w:themeColor="text1"/>
                <w:kern w:val="0"/>
                <w:lang w:bidi="ar"/>
                <w14:textFill>
                  <w14:solidFill>
                    <w14:schemeClr w14:val="tx1"/>
                  </w14:solidFill>
                </w14:textFill>
              </w:rPr>
              <w:t>4.15地下水环境保护措施</w:t>
            </w:r>
            <w:bookmarkEnd w:id="52"/>
            <w:bookmarkEnd w:id="53"/>
            <w:bookmarkEnd w:id="54"/>
            <w:bookmarkEnd w:id="55"/>
            <w:bookmarkEnd w:id="56"/>
          </w:p>
          <w:p w14:paraId="553F5607">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为了避免非正常情况发生，项目实施过程中主要从源头防控、过程控制、末端监管方面制定污染防治措施，具体如下：</w:t>
            </w:r>
          </w:p>
          <w:p w14:paraId="79D42E58">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关于地下水保护的相关规定，针对项目可能发生的地下水污染情况，按照“源头控制、分区防治、污染监控、应急响应”的防控原则。从污染物的产生、入渗、扩散、应急响应等全阶段进行控制。拟建项目以主动防渗措施为主，被动防渗措施为辅；人工防渗措施和自然防渗条件保护相结合，防止地下水受到污染。</w:t>
            </w:r>
          </w:p>
          <w:p w14:paraId="5C02E412">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（1）源头控制措施</w:t>
            </w:r>
          </w:p>
          <w:p w14:paraId="75F47B59">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①根据云南省地方标准《改性磷石膏用于矿山废弃地生态修复回填技术规范》（DB53/T1269-2024）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以及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，改性磷石膏按照HJ557规定方法制备改性磷石膏浸出液中任何一种特征污染物浓度均不应超过GB 8978最高允许排放浓度（第二类污染物最高允许排放浓度按照一级标准执行）才允许入场回填，主要污染物及控制指标如下：</w:t>
            </w:r>
          </w:p>
          <w:p w14:paraId="3F2D0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表4-15</w:t>
            </w:r>
            <w:r>
              <w:rPr>
                <w:rFonts w:hint="eastAsia" w:ascii="宋体" w:hAnsi="宋体" w:cs="宋体"/>
                <w:b/>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改性磷石膏浸出液主要指标</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8"/>
              <w:gridCol w:w="2608"/>
              <w:gridCol w:w="2609"/>
            </w:tblGrid>
            <w:tr w14:paraId="00B5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E3FBED3">
                  <w:pPr>
                    <w:pStyle w:val="64"/>
                    <w:spacing w:beforeLines="0" w:afterLines="0" w:line="240" w:lineRule="auto"/>
                    <w:ind w:firstLine="0" w:firstLineChars="0"/>
                    <w:rPr>
                      <w:rFonts w:ascii="Times New Roman"/>
                      <w:b/>
                      <w:bCs/>
                      <w:color w:val="000000" w:themeColor="text1"/>
                      <w:sz w:val="21"/>
                      <w:lang w:bidi="ar"/>
                      <w14:textFill>
                        <w14:solidFill>
                          <w14:schemeClr w14:val="tx1"/>
                        </w14:solidFill>
                      </w14:textFill>
                    </w:rPr>
                  </w:pPr>
                  <w:r>
                    <w:rPr>
                      <w:rFonts w:hint="eastAsia" w:ascii="Times New Roman"/>
                      <w:b/>
                      <w:bCs/>
                      <w:color w:val="000000" w:themeColor="text1"/>
                      <w:sz w:val="21"/>
                      <w:lang w:bidi="ar"/>
                      <w14:textFill>
                        <w14:solidFill>
                          <w14:schemeClr w14:val="tx1"/>
                        </w14:solidFill>
                      </w14:textFill>
                    </w:rPr>
                    <w:t>序号</w:t>
                  </w:r>
                </w:p>
              </w:tc>
              <w:tc>
                <w:tcPr>
                  <w:tcW w:w="2614" w:type="dxa"/>
                </w:tcPr>
                <w:p w14:paraId="2E886E3C">
                  <w:pPr>
                    <w:pStyle w:val="64"/>
                    <w:spacing w:beforeLines="0" w:afterLines="0" w:line="240" w:lineRule="auto"/>
                    <w:ind w:firstLine="0" w:firstLineChars="0"/>
                    <w:rPr>
                      <w:rFonts w:ascii="Times New Roman"/>
                      <w:b/>
                      <w:bCs/>
                      <w:color w:val="000000" w:themeColor="text1"/>
                      <w:sz w:val="21"/>
                      <w:lang w:bidi="ar"/>
                      <w14:textFill>
                        <w14:solidFill>
                          <w14:schemeClr w14:val="tx1"/>
                        </w14:solidFill>
                      </w14:textFill>
                    </w:rPr>
                  </w:pPr>
                  <w:r>
                    <w:rPr>
                      <w:rFonts w:hint="eastAsia" w:ascii="Times New Roman"/>
                      <w:b/>
                      <w:bCs/>
                      <w:color w:val="000000" w:themeColor="text1"/>
                      <w:sz w:val="21"/>
                      <w:lang w:bidi="ar"/>
                      <w14:textFill>
                        <w14:solidFill>
                          <w14:schemeClr w14:val="tx1"/>
                        </w14:solidFill>
                      </w14:textFill>
                    </w:rPr>
                    <w:t>污染物项目</w:t>
                  </w:r>
                </w:p>
              </w:tc>
              <w:tc>
                <w:tcPr>
                  <w:tcW w:w="2614" w:type="dxa"/>
                </w:tcPr>
                <w:p w14:paraId="42F9B582">
                  <w:pPr>
                    <w:pStyle w:val="64"/>
                    <w:spacing w:beforeLines="0" w:afterLines="0" w:line="240" w:lineRule="auto"/>
                    <w:ind w:firstLine="0" w:firstLineChars="0"/>
                    <w:rPr>
                      <w:rFonts w:ascii="Times New Roman"/>
                      <w:b/>
                      <w:bCs/>
                      <w:color w:val="000000" w:themeColor="text1"/>
                      <w:sz w:val="21"/>
                      <w:lang w:bidi="ar"/>
                      <w14:textFill>
                        <w14:solidFill>
                          <w14:schemeClr w14:val="tx1"/>
                        </w14:solidFill>
                      </w14:textFill>
                    </w:rPr>
                  </w:pPr>
                  <w:r>
                    <w:rPr>
                      <w:rFonts w:hint="eastAsia" w:ascii="Times New Roman"/>
                      <w:b/>
                      <w:bCs/>
                      <w:color w:val="000000" w:themeColor="text1"/>
                      <w:sz w:val="21"/>
                      <w:lang w:bidi="ar"/>
                      <w14:textFill>
                        <w14:solidFill>
                          <w14:schemeClr w14:val="tx1"/>
                        </w14:solidFill>
                      </w14:textFill>
                    </w:rPr>
                    <w:t>指标</w:t>
                  </w:r>
                </w:p>
              </w:tc>
            </w:tr>
            <w:tr w14:paraId="6A84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FD42810">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w:t>
                  </w:r>
                </w:p>
              </w:tc>
              <w:tc>
                <w:tcPr>
                  <w:tcW w:w="2614" w:type="dxa"/>
                </w:tcPr>
                <w:p w14:paraId="4911B67E">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pH</w:t>
                  </w:r>
                </w:p>
              </w:tc>
              <w:tc>
                <w:tcPr>
                  <w:tcW w:w="2614" w:type="dxa"/>
                </w:tcPr>
                <w:p w14:paraId="4792EC6B">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6~9</w:t>
                  </w:r>
                </w:p>
              </w:tc>
            </w:tr>
            <w:tr w14:paraId="3A1B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7EF724B2">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2</w:t>
                  </w:r>
                </w:p>
              </w:tc>
              <w:tc>
                <w:tcPr>
                  <w:tcW w:w="2614" w:type="dxa"/>
                </w:tcPr>
                <w:p w14:paraId="6A47C68F">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磷酸盐（以P计）</w:t>
                  </w:r>
                </w:p>
              </w:tc>
              <w:tc>
                <w:tcPr>
                  <w:tcW w:w="2614" w:type="dxa"/>
                </w:tcPr>
                <w:p w14:paraId="5E994C91">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≤0.5</w:t>
                  </w:r>
                </w:p>
              </w:tc>
            </w:tr>
            <w:tr w14:paraId="476E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4029A93D">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3</w:t>
                  </w:r>
                </w:p>
              </w:tc>
              <w:tc>
                <w:tcPr>
                  <w:tcW w:w="2614" w:type="dxa"/>
                </w:tcPr>
                <w:p w14:paraId="194E5630">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氟化物</w:t>
                  </w:r>
                </w:p>
              </w:tc>
              <w:tc>
                <w:tcPr>
                  <w:tcW w:w="2614" w:type="dxa"/>
                </w:tcPr>
                <w:p w14:paraId="6D4D3EC9">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≤10</w:t>
                  </w:r>
                </w:p>
              </w:tc>
            </w:tr>
            <w:tr w14:paraId="13AC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77139813">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4</w:t>
                  </w:r>
                </w:p>
              </w:tc>
              <w:tc>
                <w:tcPr>
                  <w:tcW w:w="2614" w:type="dxa"/>
                </w:tcPr>
                <w:p w14:paraId="45BE0557">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总汞</w:t>
                  </w:r>
                </w:p>
              </w:tc>
              <w:tc>
                <w:tcPr>
                  <w:tcW w:w="2614" w:type="dxa"/>
                </w:tcPr>
                <w:p w14:paraId="25DFBEF0">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≤0.05</w:t>
                  </w:r>
                </w:p>
              </w:tc>
            </w:tr>
            <w:tr w14:paraId="6562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64414D13">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5</w:t>
                  </w:r>
                </w:p>
              </w:tc>
              <w:tc>
                <w:tcPr>
                  <w:tcW w:w="2614" w:type="dxa"/>
                </w:tcPr>
                <w:p w14:paraId="3836AE37">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总镉</w:t>
                  </w:r>
                </w:p>
              </w:tc>
              <w:tc>
                <w:tcPr>
                  <w:tcW w:w="2614" w:type="dxa"/>
                </w:tcPr>
                <w:p w14:paraId="24C6456E">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≤0.1</w:t>
                  </w:r>
                </w:p>
              </w:tc>
            </w:tr>
            <w:tr w14:paraId="1416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07DB5D02">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6</w:t>
                  </w:r>
                </w:p>
              </w:tc>
              <w:tc>
                <w:tcPr>
                  <w:tcW w:w="2614" w:type="dxa"/>
                </w:tcPr>
                <w:p w14:paraId="058BB9FF">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总铬</w:t>
                  </w:r>
                </w:p>
              </w:tc>
              <w:tc>
                <w:tcPr>
                  <w:tcW w:w="2614" w:type="dxa"/>
                </w:tcPr>
                <w:p w14:paraId="5C6B1BD0">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≤1.5</w:t>
                  </w:r>
                </w:p>
              </w:tc>
            </w:tr>
            <w:tr w14:paraId="2883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4F713074">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7</w:t>
                  </w:r>
                </w:p>
              </w:tc>
              <w:tc>
                <w:tcPr>
                  <w:tcW w:w="2614" w:type="dxa"/>
                </w:tcPr>
                <w:p w14:paraId="445CB63F">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六价铬</w:t>
                  </w:r>
                </w:p>
              </w:tc>
              <w:tc>
                <w:tcPr>
                  <w:tcW w:w="2614" w:type="dxa"/>
                </w:tcPr>
                <w:p w14:paraId="33C85C24">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≤0.5</w:t>
                  </w:r>
                </w:p>
              </w:tc>
            </w:tr>
            <w:tr w14:paraId="601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5A109B48">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8</w:t>
                  </w:r>
                </w:p>
              </w:tc>
              <w:tc>
                <w:tcPr>
                  <w:tcW w:w="2614" w:type="dxa"/>
                </w:tcPr>
                <w:p w14:paraId="4A21F52B">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总砷</w:t>
                  </w:r>
                </w:p>
              </w:tc>
              <w:tc>
                <w:tcPr>
                  <w:tcW w:w="2614" w:type="dxa"/>
                </w:tcPr>
                <w:p w14:paraId="13C74E90">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≤0.5</w:t>
                  </w:r>
                </w:p>
              </w:tc>
            </w:tr>
            <w:tr w14:paraId="6267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6A804875">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9</w:t>
                  </w:r>
                </w:p>
              </w:tc>
              <w:tc>
                <w:tcPr>
                  <w:tcW w:w="2614" w:type="dxa"/>
                </w:tcPr>
                <w:p w14:paraId="5668AF95">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总铅</w:t>
                  </w:r>
                </w:p>
              </w:tc>
              <w:tc>
                <w:tcPr>
                  <w:tcW w:w="2614" w:type="dxa"/>
                </w:tcPr>
                <w:p w14:paraId="0924C35F">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≤1.0</w:t>
                  </w:r>
                </w:p>
              </w:tc>
            </w:tr>
            <w:tr w14:paraId="7F71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FFC6418">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10</w:t>
                  </w:r>
                </w:p>
              </w:tc>
              <w:tc>
                <w:tcPr>
                  <w:tcW w:w="2614" w:type="dxa"/>
                </w:tcPr>
                <w:p w14:paraId="5098C6EF">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总镍</w:t>
                  </w:r>
                </w:p>
              </w:tc>
              <w:tc>
                <w:tcPr>
                  <w:tcW w:w="2614" w:type="dxa"/>
                </w:tcPr>
                <w:p w14:paraId="10148CFA">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≤1.0</w:t>
                  </w:r>
                </w:p>
              </w:tc>
            </w:tr>
            <w:tr w14:paraId="1E0B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0A36569">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11</w:t>
                  </w:r>
                </w:p>
              </w:tc>
              <w:tc>
                <w:tcPr>
                  <w:tcW w:w="2614" w:type="dxa"/>
                </w:tcPr>
                <w:p w14:paraId="0776275E">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总锌</w:t>
                  </w:r>
                </w:p>
              </w:tc>
              <w:tc>
                <w:tcPr>
                  <w:tcW w:w="2614" w:type="dxa"/>
                </w:tcPr>
                <w:p w14:paraId="5AD0F9CB">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≤2.0</w:t>
                  </w:r>
                </w:p>
              </w:tc>
            </w:tr>
            <w:tr w14:paraId="4CC3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44D948F4">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12</w:t>
                  </w:r>
                </w:p>
              </w:tc>
              <w:tc>
                <w:tcPr>
                  <w:tcW w:w="2614" w:type="dxa"/>
                </w:tcPr>
                <w:p w14:paraId="5ED0A0B7">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总铍</w:t>
                  </w:r>
                </w:p>
              </w:tc>
              <w:tc>
                <w:tcPr>
                  <w:tcW w:w="2614" w:type="dxa"/>
                </w:tcPr>
                <w:p w14:paraId="04B271CA">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≤0.005</w:t>
                  </w:r>
                </w:p>
              </w:tc>
            </w:tr>
            <w:tr w14:paraId="5C82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14B4B688">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13</w:t>
                  </w:r>
                </w:p>
              </w:tc>
              <w:tc>
                <w:tcPr>
                  <w:tcW w:w="2614" w:type="dxa"/>
                </w:tcPr>
                <w:p w14:paraId="73CB3A39">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总银</w:t>
                  </w:r>
                </w:p>
              </w:tc>
              <w:tc>
                <w:tcPr>
                  <w:tcW w:w="2614" w:type="dxa"/>
                </w:tcPr>
                <w:p w14:paraId="56858D19">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≤0.5</w:t>
                  </w:r>
                </w:p>
              </w:tc>
            </w:tr>
            <w:tr w14:paraId="395E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24627DE3">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14</w:t>
                  </w:r>
                </w:p>
              </w:tc>
              <w:tc>
                <w:tcPr>
                  <w:tcW w:w="2614" w:type="dxa"/>
                </w:tcPr>
                <w:p w14:paraId="7184395D">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烷基汞</w:t>
                  </w:r>
                </w:p>
              </w:tc>
              <w:tc>
                <w:tcPr>
                  <w:tcW w:w="2614" w:type="dxa"/>
                </w:tcPr>
                <w:p w14:paraId="7899A50F">
                  <w:pPr>
                    <w:pStyle w:val="64"/>
                    <w:spacing w:beforeLines="0" w:afterLines="0" w:line="240" w:lineRule="auto"/>
                    <w:ind w:firstLine="0" w:firstLineChars="0"/>
                    <w:rPr>
                      <w:rFonts w:ascii="Times New Roman"/>
                      <w:b w:val="0"/>
                      <w:bCs/>
                      <w:color w:val="000000" w:themeColor="text1"/>
                      <w:sz w:val="21"/>
                      <w:lang w:bidi="ar"/>
                      <w14:textFill>
                        <w14:solidFill>
                          <w14:schemeClr w14:val="tx1"/>
                        </w14:solidFill>
                      </w14:textFill>
                    </w:rPr>
                  </w:pPr>
                  <w:r>
                    <w:rPr>
                      <w:rFonts w:hint="eastAsia" w:ascii="Times New Roman"/>
                      <w:b w:val="0"/>
                      <w:bCs/>
                      <w:color w:val="000000" w:themeColor="text1"/>
                      <w:sz w:val="21"/>
                      <w:lang w:bidi="ar"/>
                      <w14:textFill>
                        <w14:solidFill>
                          <w14:schemeClr w14:val="tx1"/>
                        </w14:solidFill>
                      </w14:textFill>
                    </w:rPr>
                    <w:t>不得检出</w:t>
                  </w:r>
                </w:p>
              </w:tc>
            </w:tr>
          </w:tbl>
          <w:p w14:paraId="15E94C9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根据云南省地方标准《改性磷石膏用于矿山废弃地生态修复回填技术规范》（DB53/T1269-2024），改性磷石膏的采样规则、检测要求为：采样批次：回填规模≤300000T，以5000T改性磷石膏为一批次；300000T&lt;回填规模≤1000000T，以15000T改性磷石膏为一批次；回填规模&gt;1000000T，以30000T改性磷石膏为一批次。采样方法：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检测要求：应对改性磷石膏浸出液进行检测，浸出方法按照HJ557。</w:t>
            </w:r>
          </w:p>
          <w:p w14:paraId="322D0DA9">
            <w:pPr>
              <w:widowControl/>
              <w:ind w:firstLine="480"/>
              <w:rPr>
                <w:color w:val="000000" w:themeColor="text1"/>
                <w:kern w:val="0"/>
                <w:lang w:bidi="ar"/>
                <w14:textFill>
                  <w14:solidFill>
                    <w14:schemeClr w14:val="tx1"/>
                  </w14:solidFill>
                </w14:textFill>
              </w:rPr>
            </w:pPr>
            <w:r>
              <w:rPr>
                <w:rFonts w:hint="eastAsia" w:ascii="Times New Roman" w:hAnsi="Times New Roman" w:eastAsia="宋体" w:cs="Times New Roman"/>
                <w:color w:val="000000" w:themeColor="text1"/>
                <w:kern w:val="0"/>
                <w:lang w:bidi="ar"/>
                <w14:textFill>
                  <w14:solidFill>
                    <w14:schemeClr w14:val="tx1"/>
                  </w14:solidFill>
                </w14:textFill>
              </w:rPr>
              <w:t>建设单位设专人管理回填料合格性检测，本项目改性磷石膏回填量</w:t>
            </w:r>
            <w:r>
              <w:rPr>
                <w:rFonts w:hint="eastAsia" w:ascii="Times New Roman" w:hAnsi="Times New Roman" w:eastAsia="宋体" w:cs="Times New Roman"/>
                <w:color w:val="000000" w:themeColor="text1"/>
                <w:kern w:val="0"/>
                <w:lang w:val="en-US" w:eastAsia="zh-CN" w:bidi="ar"/>
                <w14:textFill>
                  <w14:solidFill>
                    <w14:schemeClr w14:val="tx1"/>
                  </w14:solidFill>
                </w14:textFill>
              </w:rPr>
              <w:t>约</w:t>
            </w:r>
            <w:r>
              <w:rPr>
                <w:rFonts w:hint="eastAsia" w:ascii="Times New Roman" w:hAnsi="Times New Roman" w:eastAsia="宋体" w:cs="Times New Roman"/>
                <w:color w:val="000000" w:themeColor="text1"/>
                <w:kern w:val="0"/>
                <w:lang w:bidi="ar"/>
                <w14:textFill>
                  <w14:solidFill>
                    <w14:schemeClr w14:val="tx1"/>
                  </w14:solidFill>
                </w14:textFill>
              </w:rPr>
              <w:t>为</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215.622万吨</w:t>
            </w:r>
            <w:r>
              <w:rPr>
                <w:rFonts w:hint="eastAsia" w:ascii="Times New Roman" w:hAnsi="Times New Roman" w:eastAsia="宋体" w:cs="Times New Roman"/>
                <w:color w:val="000000" w:themeColor="text1"/>
                <w:kern w:val="0"/>
                <w:lang w:bidi="ar"/>
                <w14:textFill>
                  <w14:solidFill>
                    <w14:schemeClr w14:val="tx1"/>
                  </w14:solidFill>
                </w14:textFill>
              </w:rPr>
              <w:t>，</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2156220</w:t>
            </w:r>
            <w:r>
              <w:rPr>
                <w:rFonts w:hint="eastAsia" w:ascii="Times New Roman" w:hAnsi="Times New Roman" w:eastAsia="宋体" w:cs="Times New Roman"/>
                <w:color w:val="000000" w:themeColor="text1"/>
                <w:kern w:val="0"/>
                <w:lang w:bidi="ar"/>
                <w14:textFill>
                  <w14:solidFill>
                    <w14:schemeClr w14:val="tx1"/>
                  </w14:solidFill>
                </w14:textFill>
              </w:rPr>
              <w:t>T&gt;1000000T，以30000T改性磷石膏为一批次取6组样品，</w:t>
            </w:r>
            <w:r>
              <w:rPr>
                <w:rFonts w:hint="eastAsia"/>
                <w:color w:val="000000" w:themeColor="text1"/>
                <w:kern w:val="0"/>
                <w:lang w:bidi="ar"/>
                <w14:textFill>
                  <w14:solidFill>
                    <w14:schemeClr w14:val="tx1"/>
                  </w14:solidFill>
                </w14:textFill>
              </w:rPr>
              <w:t>制成一个混合样进行分析。经检验合格后方可运入回填区回填，并保留监测记录；</w:t>
            </w:r>
          </w:p>
          <w:p w14:paraId="0571D21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③从源头起进行严格控制，加大监督力度，对混入回填修复区的生活垃圾应立即清理出场；</w:t>
            </w:r>
          </w:p>
          <w:p w14:paraId="7A95204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④防止生活垃圾混入，在回填、推平过程中也要检查，一旦发现生活垃圾混入，应立即停止回填，确保生活垃圾不得进入回填修复区；</w:t>
            </w:r>
          </w:p>
          <w:p w14:paraId="46035965">
            <w:pPr>
              <w:widowControl/>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⑤改性磷石膏回填过程应严格做好台账记录，实现对改性磷石膏回填过程的信息追溯，如实记录改性磷石膏的来源、批次、转运情况以及改性磷石膏回填的使用量和回填区域等信息；</w:t>
            </w:r>
          </w:p>
          <w:p w14:paraId="0989543B">
            <w:pPr>
              <w:widowControl/>
              <w:ind w:firstLine="480"/>
              <w:rPr>
                <w:color w:val="000000" w:themeColor="text1"/>
                <w14:textFill>
                  <w14:solidFill>
                    <w14:schemeClr w14:val="tx1"/>
                  </w14:solidFill>
                </w14:textFill>
              </w:rPr>
            </w:pPr>
            <w:r>
              <w:rPr>
                <w:rFonts w:hint="eastAsia" w:ascii="仿宋" w:hAnsi="仿宋" w:eastAsia="仿宋" w:cs="仿宋"/>
                <w:color w:val="000000" w:themeColor="text1"/>
                <w:kern w:val="0"/>
                <w:lang w:bidi="ar"/>
                <w14:textFill>
                  <w14:solidFill>
                    <w14:schemeClr w14:val="tx1"/>
                  </w14:solidFill>
                </w14:textFill>
              </w:rPr>
              <w:t>⑥</w:t>
            </w:r>
            <w:r>
              <w:rPr>
                <w:rFonts w:hint="eastAsia"/>
                <w:color w:val="000000" w:themeColor="text1"/>
                <w:kern w:val="0"/>
                <w:lang w:bidi="ar"/>
                <w14:textFill>
                  <w14:solidFill>
                    <w14:schemeClr w14:val="tx1"/>
                  </w14:solidFill>
                </w14:textFill>
              </w:rPr>
              <w:t>回填区植被选择须考虑根系简单，不会破坏顶部防渗层的植被，不应选择根系发达，容易破坏防渗层的植被。</w:t>
            </w:r>
          </w:p>
          <w:p w14:paraId="74711B6B">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（2）分区防治措施</w:t>
            </w:r>
          </w:p>
          <w:p w14:paraId="3235DCB8">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项目防渗工程应满足《改性磷石膏用于矿山废弃地生态修复回填技术规范》（DB53/T1269-2024）要求“当矿山废弃地天然基础层饱和渗透系数≤1.0×10</w:t>
            </w:r>
            <w:r>
              <w:rPr>
                <w:rFonts w:hint="eastAsia"/>
                <w:color w:val="000000" w:themeColor="text1"/>
                <w:kern w:val="0"/>
                <w:vertAlign w:val="superscript"/>
                <w:lang w:bidi="ar"/>
                <w14:textFill>
                  <w14:solidFill>
                    <w14:schemeClr w14:val="tx1"/>
                  </w14:solidFill>
                </w14:textFill>
              </w:rPr>
              <w:t>-5</w:t>
            </w:r>
            <w:r>
              <w:rPr>
                <w:rFonts w:hint="eastAsia"/>
                <w:color w:val="000000" w:themeColor="text1"/>
                <w:kern w:val="0"/>
                <w:lang w:bidi="ar"/>
                <w14:textFill>
                  <w14:solidFill>
                    <w14:schemeClr w14:val="tx1"/>
                  </w14:solidFill>
                </w14:textFill>
              </w:rPr>
              <w:t>cm/s，且厚度≥0.75m时，可采用天然基础层作为防渗衬层。当天然基础层不满足上述防渗要求时，应采用改性压实粘土类衬层或具有同等以上隔水效力的其他材料防渗衬层，其防渗性能应至少相当于渗透系数为1.0×10</w:t>
            </w:r>
            <w:r>
              <w:rPr>
                <w:rFonts w:hint="eastAsia"/>
                <w:color w:val="000000" w:themeColor="text1"/>
                <w:kern w:val="0"/>
                <w:vertAlign w:val="superscript"/>
                <w:lang w:bidi="ar"/>
                <w14:textFill>
                  <w14:solidFill>
                    <w14:schemeClr w14:val="tx1"/>
                  </w14:solidFill>
                </w14:textFill>
              </w:rPr>
              <w:t>-5</w:t>
            </w:r>
            <w:r>
              <w:rPr>
                <w:rFonts w:hint="eastAsia"/>
                <w:color w:val="000000" w:themeColor="text1"/>
                <w:kern w:val="0"/>
                <w:lang w:bidi="ar"/>
                <w14:textFill>
                  <w14:solidFill>
                    <w14:schemeClr w14:val="tx1"/>
                  </w14:solidFill>
                </w14:textFill>
              </w:rPr>
              <w:t>cm/s，且厚度为0.75m的天然基础层；回填区域应设置渗漏监控系统，监控防渗衬层的完整性”。</w:t>
            </w:r>
          </w:p>
          <w:p w14:paraId="57615AA1">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根据项目堆填设计，设计参照磷石膏堆存防渗要求对矿坑场底及岸坡进行全防渗处置。底部及岸坡防渗层结构为在场地整平后，铺0.75m厚黏土层，然后依次铺设聚酯长丝土工布，HDPE防渗膜（渗透系数≤1.0×10</w:t>
            </w:r>
            <w:r>
              <w:rPr>
                <w:rFonts w:hint="eastAsia"/>
                <w:color w:val="000000" w:themeColor="text1"/>
                <w:kern w:val="0"/>
                <w:vertAlign w:val="superscript"/>
                <w:lang w:bidi="ar"/>
                <w14:textFill>
                  <w14:solidFill>
                    <w14:schemeClr w14:val="tx1"/>
                  </w14:solidFill>
                </w14:textFill>
              </w:rPr>
              <w:t>-7</w:t>
            </w:r>
            <w:r>
              <w:rPr>
                <w:rFonts w:hint="eastAsia"/>
                <w:color w:val="000000" w:themeColor="text1"/>
                <w:kern w:val="0"/>
                <w:lang w:bidi="ar"/>
                <w14:textFill>
                  <w14:solidFill>
                    <w14:schemeClr w14:val="tx1"/>
                  </w14:solidFill>
                </w14:textFill>
              </w:rPr>
              <w:t>cm/s），聚酯长丝土工布防渗层。通过设置人工防渗系统将场地基底及岸坡与磷石膏基新型材料产品完全隔离，以达到防渗要求。具体防渗措施如下：</w:t>
            </w:r>
          </w:p>
          <w:p w14:paraId="6705EDCA">
            <w:pPr>
              <w:keepNext w:val="0"/>
              <w:keepLines w:val="0"/>
              <w:pageBreakBefore w:val="0"/>
              <w:kinsoku/>
              <w:wordWrap/>
              <w:overflowPunct/>
              <w:topLinePunct w:val="0"/>
              <w:autoSpaceDE/>
              <w:autoSpaceDN/>
              <w:bidi w:val="0"/>
              <w:adjustRightInd w:val="0"/>
              <w:snapToGrid w:val="0"/>
              <w:ind w:firstLine="480"/>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①</w:t>
            </w:r>
            <w:r>
              <w:rPr>
                <w:rFonts w:hint="eastAsia"/>
                <w:b/>
                <w:bCs/>
                <w:color w:val="000000" w:themeColor="text1"/>
                <w:kern w:val="0"/>
                <w:lang w:bidi="ar"/>
                <w14:textFill>
                  <w14:solidFill>
                    <w14:schemeClr w14:val="tx1"/>
                  </w14:solidFill>
                </w14:textFill>
              </w:rPr>
              <w:t>底部及岸坡防渗层结构</w:t>
            </w:r>
          </w:p>
          <w:p w14:paraId="3FCEB249">
            <w:pPr>
              <w:pStyle w:val="9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t>底部防渗层结构</w:t>
            </w:r>
          </w:p>
          <w:p w14:paraId="6C7714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修复回填区底部防渗层首先在整平后的场地铺设0.3m厚粘土作为土工膜支撑保护层，粘土采用市场购买方式获得，要求粘土干净、含沙量小、黏粘、粒径小于0.05mm的含量应超过25%、塑性指数大于15。经压实措施处理后的饱和渗透系数不应大于1.0×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cm/s。黏土层铺设完成后铺设1.5mm厚单糙面HEPD土工防渗膜，并满足GB/T 17643和CJ/T234-2006规定的技术指标要求；最后在上部回填改性磷石膏填料。</w:t>
            </w:r>
          </w:p>
          <w:p w14:paraId="1174A8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底部防渗结构由下至上构成如下：</w:t>
            </w:r>
          </w:p>
          <w:p w14:paraId="3AFA2C7B">
            <w:pPr>
              <w:pStyle w:val="9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textAlignment w:val="auto"/>
              <w:rPr>
                <w:rFonts w:hint="eastAsia"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库底整平压实基础层&lt;地下水导排盲沟在其中&gt;+300mm厚粘土层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土工布+1.5mmHDPE单糙面防渗膜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土工布；（4）改性磷石膏填料回填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16E54E91">
            <w:pPr>
              <w:pStyle w:val="9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2）边坡防渗结构</w:t>
            </w:r>
          </w:p>
          <w:p w14:paraId="3BFC51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采石场由于场地边坡大部分陡峻，粘土层无法铺设，设计对边坡清理整平后，</w:t>
            </w:r>
            <w:r>
              <w:rPr>
                <w:rFonts w:hint="eastAsia"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采用4800g/m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纳基膨润土毯作为防渗膜的保护层铺设在整平边坡上，再铺设HDPE土工防渗膜。</w:t>
            </w:r>
          </w:p>
          <w:p w14:paraId="6D23B0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膨润土毯在岸坡较陡地段，需采用锚固钉、链固定，防止下滑。膨润土毯和土工防渗膜均在边坡顶部和分台台阶处设锚固沟进行锚固。</w:t>
            </w:r>
          </w:p>
          <w:p w14:paraId="47F0F9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采石场边坡防渗层结构由下至上构成</w:t>
            </w:r>
            <w:r>
              <w:rPr>
                <w:rFonts w:hint="eastAsia"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如下：</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边坡清理整平层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1.5mm 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7EF3F1D5">
            <w:pPr>
              <w:adjustRightInd w:val="0"/>
              <w:ind w:firstLine="480"/>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②</w:t>
            </w:r>
            <w:r>
              <w:rPr>
                <w:rFonts w:hint="eastAsia"/>
                <w:b/>
                <w:bCs/>
                <w:color w:val="000000" w:themeColor="text1"/>
                <w:kern w:val="0"/>
                <w:lang w:bidi="ar"/>
                <w14:textFill>
                  <w14:solidFill>
                    <w14:schemeClr w14:val="tx1"/>
                  </w14:solidFill>
                </w14:textFill>
              </w:rPr>
              <w:t>顶部防渗</w:t>
            </w:r>
          </w:p>
          <w:p w14:paraId="37A7EBA5">
            <w:pPr>
              <w:pStyle w:val="94"/>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采石场</w:t>
            </w:r>
            <w:r>
              <w:rPr>
                <w:rFonts w:hint="default" w:ascii="Times New Roman" w:hAnsi="Times New Roman" w:eastAsia="宋体" w:cs="Times New Roman"/>
                <w:color w:val="000000" w:themeColor="text1"/>
                <w:sz w:val="24"/>
                <w:szCs w:val="24"/>
                <w:highlight w:val="none"/>
                <w14:textFill>
                  <w14:solidFill>
                    <w14:schemeClr w14:val="tx1"/>
                  </w14:solidFill>
                </w14:textFill>
              </w:rPr>
              <w:t>修复回填区</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改性磷石膏填料</w:t>
            </w:r>
            <w:r>
              <w:rPr>
                <w:rFonts w:hint="default" w:ascii="Times New Roman" w:hAnsi="Times New Roman" w:eastAsia="宋体" w:cs="Times New Roman"/>
                <w:color w:val="000000" w:themeColor="text1"/>
                <w:sz w:val="24"/>
                <w:szCs w:val="24"/>
                <w:highlight w:val="none"/>
                <w14:textFill>
                  <w14:solidFill>
                    <w14:schemeClr w14:val="tx1"/>
                  </w14:solidFill>
                </w14:textFill>
              </w:rPr>
              <w:t>回填完成后，对回填区顶部采用土工防渗膜进行封场防渗，</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顶部防渗膜与底部全防渗土工膜可靠焊接，阻隔雨水下渗进入堆填体。</w:t>
            </w:r>
          </w:p>
          <w:p w14:paraId="11EE4BDD">
            <w:pPr>
              <w:pStyle w:val="94"/>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采石场</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顶部防渗处理结构由下至上构成如下：</w:t>
            </w:r>
          </w:p>
          <w:p w14:paraId="1E8F15CF">
            <w:pPr>
              <w:widowControl/>
              <w:numPr>
                <w:ilvl w:val="0"/>
                <w:numId w:val="8"/>
              </w:numPr>
              <w:ind w:firstLine="480"/>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回填材料压实整平</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膜下排气管</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1.5mm HDPE双糙面防渗膜</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400mm厚阻隔支撑层填土&lt;碎石盲沟排水网格布设其中&gt;</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600mm厚土壤覆盖层；顶部防渗应与矿坑内边坡防渗膜搭接。</w:t>
            </w:r>
          </w:p>
          <w:p w14:paraId="0D6204C4">
            <w:pPr>
              <w:adjustRightInd w:val="0"/>
              <w:ind w:firstLine="480"/>
              <w:rPr>
                <w:rFonts w:hint="eastAsia" w:ascii="Times New Roman" w:hAnsi="Times New Roman" w:cs="Times New Roman"/>
                <w:b/>
                <w:bCs/>
                <w:color w:val="000000" w:themeColor="text1"/>
                <w:kern w:val="0"/>
                <w:lang w:bidi="ar"/>
                <w14:textFill>
                  <w14:solidFill>
                    <w14:schemeClr w14:val="tx1"/>
                  </w14:solidFill>
                </w14:textFill>
              </w:rPr>
            </w:pPr>
            <w:r>
              <w:rPr>
                <w:rFonts w:hint="eastAsia" w:ascii="Times New Roman" w:hAnsi="Times New Roman" w:cs="Times New Roman"/>
                <w:b/>
                <w:bCs/>
                <w:color w:val="000000" w:themeColor="text1"/>
                <w:kern w:val="0"/>
                <w:lang w:val="en-US" w:eastAsia="zh-CN" w:bidi="ar"/>
                <w14:textFill>
                  <w14:solidFill>
                    <w14:schemeClr w14:val="tx1"/>
                  </w14:solidFill>
                </w14:textFill>
              </w:rPr>
              <w:t>③</w:t>
            </w:r>
            <w:r>
              <w:rPr>
                <w:rFonts w:hint="eastAsia" w:ascii="Times New Roman" w:hAnsi="Times New Roman" w:cs="Times New Roman"/>
                <w:b/>
                <w:bCs/>
                <w:color w:val="000000" w:themeColor="text1"/>
                <w:kern w:val="0"/>
                <w:lang w:bidi="ar"/>
                <w14:textFill>
                  <w14:solidFill>
                    <w14:schemeClr w14:val="tx1"/>
                  </w14:solidFill>
                </w14:textFill>
              </w:rPr>
              <w:t>施工质量管理</w:t>
            </w:r>
          </w:p>
          <w:p w14:paraId="045D893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施工方案包括施工质量保证和施工质量控制内容，明确环保条款和责任，施工完毕后保存施工报告、全套竣工图、所有材料的现场及实验室检测报告，提供人工防渗衬层完整性检测报告。</w:t>
            </w:r>
          </w:p>
          <w:p w14:paraId="13664E7D">
            <w:pPr>
              <w:widowControl/>
              <w:ind w:firstLine="480"/>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⑤防渗材料性能要求</w:t>
            </w:r>
          </w:p>
          <w:p w14:paraId="56DDD1C6">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双糙面防渗土工膜性能要求：土工膜幅宽应≥7m，极限厚度偏差应控制在±10%之内；土工膜产品颜色要求为黑色，外观质量应符合CJ/T234-2006的规定；其他性能指标应符合CJ/T234-2006的规定。</w:t>
            </w:r>
          </w:p>
          <w:p w14:paraId="16C573E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土工布性能要求：土工布原材料采用抗氧化性和紫外线强的长丝无纺土工布；土工布外观质量需逐卷进行检验和评定，每卷土工布不得出现孔洞和破损；外观疵点不得出现下表中的重缺陷，轻缺陷每200㎡不超过5个。</w:t>
            </w:r>
          </w:p>
          <w:p w14:paraId="2FFBDF4D">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（3）地下水污染监控措施</w:t>
            </w:r>
          </w:p>
          <w:p w14:paraId="4D92D141">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建立回填区地下水环境监控体系，包括建立地下水污染监控制度和环境管理体系，以便及时发现问题，及时采取预防措施。根据《改性磷石膏用于矿山废弃地生态修复回填技术规范》（DB53T/1269-2024）</w:t>
            </w:r>
            <w:r>
              <w:rPr>
                <w:rFonts w:hint="eastAsia" w:ascii="宋体" w:hAnsi="宋体"/>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ascii="宋体" w:hAnsi="宋体"/>
                <w:color w:val="000000" w:themeColor="text1"/>
                <w:kern w:val="0"/>
                <w:sz w:val="24"/>
                <w14:textFill>
                  <w14:solidFill>
                    <w14:schemeClr w14:val="tx1"/>
                  </w14:solidFill>
                </w14:textFill>
              </w:rPr>
              <w:t>要求，结合项目实际水文地质调查情况，项目设置</w:t>
            </w:r>
            <w:r>
              <w:rPr>
                <w:rFonts w:hint="eastAsia" w:ascii="宋体" w:hAnsi="宋体"/>
                <w:color w:val="000000" w:themeColor="text1"/>
                <w:kern w:val="0"/>
                <w:sz w:val="24"/>
                <w:lang w:val="en-US" w:eastAsia="zh-CN"/>
                <w14:textFill>
                  <w14:solidFill>
                    <w14:schemeClr w14:val="tx1"/>
                  </w14:solidFill>
                </w14:textFill>
              </w:rPr>
              <w:t>6</w:t>
            </w:r>
            <w:r>
              <w:rPr>
                <w:rFonts w:ascii="宋体" w:hAnsi="宋体"/>
                <w:color w:val="000000" w:themeColor="text1"/>
                <w:kern w:val="0"/>
                <w:sz w:val="24"/>
                <w14:textFill>
                  <w14:solidFill>
                    <w14:schemeClr w14:val="tx1"/>
                  </w14:solidFill>
                </w14:textFill>
              </w:rPr>
              <w:t>个</w:t>
            </w:r>
            <w:r>
              <w:rPr>
                <w:rFonts w:hint="eastAsia" w:cs="Times New Roman"/>
                <w:color w:val="000000" w:themeColor="text1"/>
                <w:kern w:val="0"/>
                <w:sz w:val="24"/>
                <w:szCs w:val="24"/>
                <w:lang w:val="en-US" w:eastAsia="zh-CN"/>
                <w14:textFill>
                  <w14:solidFill>
                    <w14:schemeClr w14:val="tx1"/>
                  </w14:solidFill>
                </w14:textFill>
              </w:rPr>
              <w:t>地下水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跟踪监控井</w:t>
            </w:r>
            <w:r>
              <w:rPr>
                <w:rFonts w:hint="eastAsia" w:ascii="宋体" w:hAnsi="宋体"/>
                <w:color w:val="000000" w:themeColor="text1"/>
                <w:kern w:val="0"/>
                <w:sz w:val="24"/>
                <w:lang w:eastAsia="zh-CN"/>
                <w14:textFill>
                  <w14:solidFill>
                    <w14:schemeClr w14:val="tx1"/>
                  </w14:solidFill>
                </w14:textFill>
              </w:rPr>
              <w:t>，</w:t>
            </w:r>
            <w:r>
              <w:rPr>
                <w:rFonts w:hint="eastAsia" w:ascii="宋体" w:hAnsi="宋体"/>
                <w:color w:val="000000" w:themeColor="text1"/>
                <w:kern w:val="0"/>
                <w:sz w:val="24"/>
                <w:lang w:val="en-US" w:eastAsia="zh-CN"/>
                <w14:textFill>
                  <w14:solidFill>
                    <w14:schemeClr w14:val="tx1"/>
                  </w14:solidFill>
                </w14:textFill>
              </w:rPr>
              <w:t>1个地下水收集井</w:t>
            </w:r>
            <w:r>
              <w:rPr>
                <w:rFonts w:ascii="宋体" w:hAnsi="宋体"/>
                <w:color w:val="000000" w:themeColor="text1"/>
                <w:kern w:val="0"/>
                <w:sz w:val="24"/>
                <w14:textFill>
                  <w14:solidFill>
                    <w14:schemeClr w14:val="tx1"/>
                  </w14:solidFill>
                </w14:textFill>
              </w:rPr>
              <w:t>。</w:t>
            </w:r>
          </w:p>
          <w:p w14:paraId="02FA27AC">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1、定期对渗滤液进行监测，记录水质情况，直到连续2年不超出地下水本底水平。</w:t>
            </w:r>
          </w:p>
          <w:p w14:paraId="4DC031E8">
            <w:pPr>
              <w:snapToGrid w:val="0"/>
              <w:spacing w:line="360" w:lineRule="auto"/>
              <w:ind w:right="-1" w:firstLine="480" w:firstLineChars="200"/>
              <w:rPr>
                <w:rFonts w:hint="eastAsia"/>
                <w:color w:val="000000" w:themeColor="text1"/>
                <w:highlight w:val="none"/>
                <w14:textFill>
                  <w14:solidFill>
                    <w14:schemeClr w14:val="tx1"/>
                  </w14:solidFill>
                </w14:textFill>
              </w:rPr>
            </w:pPr>
            <w:r>
              <w:rPr>
                <w:rFonts w:ascii="宋体" w:hAnsi="宋体"/>
                <w:color w:val="000000" w:themeColor="text1"/>
                <w:kern w:val="0"/>
                <w:sz w:val="24"/>
                <w14:textFill>
                  <w14:solidFill>
                    <w14:schemeClr w14:val="tx1"/>
                  </w14:solidFill>
                </w14:textFill>
              </w:rPr>
              <w:t>2、</w:t>
            </w:r>
            <w:r>
              <w:rPr>
                <w:rFonts w:hint="eastAsia"/>
                <w:color w:val="000000" w:themeColor="text1"/>
                <w:highlight w:val="none"/>
                <w14:textFill>
                  <w14:solidFill>
                    <w14:schemeClr w14:val="tx1"/>
                  </w14:solidFill>
                </w14:textFill>
              </w:rPr>
              <w:t>项目地下水总体流向由</w:t>
            </w:r>
            <w:r>
              <w:rPr>
                <w:rFonts w:hint="eastAsia"/>
                <w:color w:val="000000" w:themeColor="text1"/>
                <w:highlight w:val="none"/>
                <w:lang w:val="en-US" w:eastAsia="zh-CN"/>
                <w14:textFill>
                  <w14:solidFill>
                    <w14:schemeClr w14:val="tx1"/>
                  </w14:solidFill>
                </w14:textFill>
              </w:rPr>
              <w:t>西</w:t>
            </w:r>
            <w:r>
              <w:rPr>
                <w:rFonts w:hint="eastAsia"/>
                <w:color w:val="000000" w:themeColor="text1"/>
                <w:highlight w:val="none"/>
                <w14:textFill>
                  <w14:solidFill>
                    <w14:schemeClr w14:val="tx1"/>
                  </w14:solidFill>
                </w14:textFill>
              </w:rPr>
              <w:t>向</w:t>
            </w:r>
            <w:r>
              <w:rPr>
                <w:rFonts w:hint="eastAsia"/>
                <w:color w:val="000000" w:themeColor="text1"/>
                <w:highlight w:val="none"/>
                <w:lang w:val="en-US" w:eastAsia="zh-CN"/>
                <w14:textFill>
                  <w14:solidFill>
                    <w14:schemeClr w14:val="tx1"/>
                  </w14:solidFill>
                </w14:textFill>
              </w:rPr>
              <w:t>东</w:t>
            </w:r>
            <w:r>
              <w:rPr>
                <w:rFonts w:hint="eastAsia"/>
                <w:color w:val="000000" w:themeColor="text1"/>
                <w:highlight w:val="none"/>
                <w14:textFill>
                  <w14:solidFill>
                    <w14:schemeClr w14:val="tx1"/>
                  </w14:solidFill>
                </w14:textFill>
              </w:rPr>
              <w:t>径排，拟建项目设置</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个地下水水质监测井，分别位于矿坑上游、两侧和下游位置，</w:t>
            </w:r>
            <w:r>
              <w:rPr>
                <w:rFonts w:hint="eastAsia"/>
                <w:color w:val="000000" w:themeColor="text1"/>
                <w:highlight w:val="none"/>
                <w:lang w:val="en-US" w:eastAsia="zh-CN"/>
                <w14:textFill>
                  <w14:solidFill>
                    <w14:schemeClr w14:val="tx1"/>
                  </w14:solidFill>
                </w14:textFill>
              </w:rPr>
              <w:t>以及八角洞村，</w:t>
            </w:r>
            <w:r>
              <w:rPr>
                <w:rFonts w:hint="eastAsia"/>
                <w:color w:val="000000" w:themeColor="text1"/>
                <w:highlight w:val="none"/>
                <w14:textFill>
                  <w14:solidFill>
                    <w14:schemeClr w14:val="tx1"/>
                  </w14:solidFill>
                </w14:textFill>
              </w:rPr>
              <w:t>其中上游布设1个水质监测井，</w:t>
            </w:r>
            <w:r>
              <w:rPr>
                <w:rFonts w:hint="eastAsia"/>
                <w:color w:val="000000" w:themeColor="text1"/>
                <w:highlight w:val="none"/>
                <w:lang w:val="en-US" w:eastAsia="zh-CN"/>
                <w14:textFill>
                  <w14:solidFill>
                    <w14:schemeClr w14:val="tx1"/>
                  </w14:solidFill>
                </w14:textFill>
              </w:rPr>
              <w:t>矿坑周边及下游共</w:t>
            </w:r>
            <w:r>
              <w:rPr>
                <w:rFonts w:hint="eastAsia"/>
                <w:color w:val="000000" w:themeColor="text1"/>
                <w:highlight w:val="none"/>
                <w14:textFill>
                  <w14:solidFill>
                    <w14:schemeClr w14:val="tx1"/>
                  </w14:solidFill>
                </w14:textFill>
              </w:rPr>
              <w:t>布设</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个水质监测井，代表矿坑测游污染扩散井，下游布设</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个水质监测井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八角洞村设置1口水质监控井</w:t>
            </w:r>
            <w:r>
              <w:rPr>
                <w:rFonts w:hint="eastAsia"/>
                <w:color w:val="000000" w:themeColor="text1"/>
                <w:highlight w:val="none"/>
                <w14:textFill>
                  <w14:solidFill>
                    <w14:schemeClr w14:val="tx1"/>
                  </w14:solidFill>
                </w14:textFill>
              </w:rPr>
              <w:t>。</w:t>
            </w:r>
          </w:p>
          <w:p w14:paraId="6F7627CA">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生态修复覆土绿化完成后，监测频次至少每半年1次，直到地下水水质连续2年不超出地下水本底水平。</w:t>
            </w:r>
          </w:p>
          <w:p w14:paraId="3174F3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color w:val="000000" w:themeColor="text1"/>
                <w:sz w:val="24"/>
                <w:lang w:val="en-US"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表3-3  项目</w:t>
            </w:r>
            <w:r>
              <w:rPr>
                <w:rFonts w:hint="eastAsia" w:ascii="宋体" w:hAnsi="宋体" w:cs="宋体"/>
                <w:b/>
                <w:color w:val="000000" w:themeColor="text1"/>
                <w:sz w:val="24"/>
                <w:lang w:val="en-US" w:eastAsia="zh-CN"/>
                <w14:textFill>
                  <w14:solidFill>
                    <w14:schemeClr w14:val="tx1"/>
                  </w14:solidFill>
                </w14:textFill>
              </w:rPr>
              <w:t>地下水跟踪监测井信息一览表</w:t>
            </w:r>
          </w:p>
          <w:tbl>
            <w:tblPr>
              <w:tblStyle w:val="40"/>
              <w:tblW w:w="4998"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0" w:type="dxa"/>
                <w:left w:w="108" w:type="dxa"/>
                <w:bottom w:w="0" w:type="dxa"/>
                <w:right w:w="108" w:type="dxa"/>
              </w:tblCellMar>
            </w:tblPr>
            <w:tblGrid>
              <w:gridCol w:w="823"/>
              <w:gridCol w:w="1743"/>
              <w:gridCol w:w="1643"/>
              <w:gridCol w:w="848"/>
              <w:gridCol w:w="848"/>
              <w:gridCol w:w="956"/>
              <w:gridCol w:w="956"/>
            </w:tblGrid>
            <w:tr w14:paraId="50677D4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vMerge w:val="restart"/>
                  <w:noWrap w:val="0"/>
                  <w:vAlign w:val="center"/>
                </w:tcPr>
                <w:p w14:paraId="52A47C6C">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编号</w:t>
                  </w:r>
                </w:p>
              </w:tc>
              <w:tc>
                <w:tcPr>
                  <w:tcW w:w="2166" w:type="pct"/>
                  <w:gridSpan w:val="2"/>
                  <w:noWrap w:val="0"/>
                  <w:vAlign w:val="center"/>
                </w:tcPr>
                <w:p w14:paraId="73C7B977">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坐标位置</w:t>
                  </w:r>
                </w:p>
              </w:tc>
              <w:tc>
                <w:tcPr>
                  <w:tcW w:w="542" w:type="pct"/>
                  <w:vMerge w:val="restart"/>
                  <w:noWrap w:val="0"/>
                  <w:vAlign w:val="center"/>
                </w:tcPr>
                <w:p w14:paraId="5577CB02">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井深（m）</w:t>
                  </w:r>
                </w:p>
              </w:tc>
              <w:tc>
                <w:tcPr>
                  <w:tcW w:w="542" w:type="pct"/>
                  <w:vMerge w:val="restart"/>
                  <w:noWrap w:val="0"/>
                  <w:vAlign w:val="center"/>
                </w:tcPr>
                <w:p w14:paraId="20116AB1">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水位埋深（m）</w:t>
                  </w:r>
                </w:p>
              </w:tc>
              <w:tc>
                <w:tcPr>
                  <w:tcW w:w="611" w:type="pct"/>
                  <w:vMerge w:val="restart"/>
                  <w:noWrap w:val="0"/>
                  <w:vAlign w:val="center"/>
                </w:tcPr>
                <w:p w14:paraId="126A4862">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地面高程（m）</w:t>
                  </w:r>
                </w:p>
              </w:tc>
              <w:tc>
                <w:tcPr>
                  <w:tcW w:w="611" w:type="pct"/>
                  <w:vMerge w:val="restart"/>
                  <w:noWrap w:val="0"/>
                  <w:vAlign w:val="center"/>
                </w:tcPr>
                <w:p w14:paraId="78D99D5D">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水位高程（m）</w:t>
                  </w:r>
                </w:p>
              </w:tc>
            </w:tr>
            <w:tr w14:paraId="572AF29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vMerge w:val="continue"/>
                  <w:noWrap w:val="0"/>
                  <w:vAlign w:val="center"/>
                </w:tcPr>
                <w:p w14:paraId="4E8545E7">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b/>
                      <w:color w:val="000000" w:themeColor="text1"/>
                      <w:sz w:val="21"/>
                      <w:szCs w:val="21"/>
                      <w14:textFill>
                        <w14:solidFill>
                          <w14:schemeClr w14:val="tx1"/>
                        </w14:solidFill>
                      </w14:textFill>
                    </w:rPr>
                  </w:pPr>
                </w:p>
              </w:tc>
              <w:tc>
                <w:tcPr>
                  <w:tcW w:w="1115" w:type="pct"/>
                  <w:noWrap w:val="0"/>
                  <w:vAlign w:val="center"/>
                </w:tcPr>
                <w:p w14:paraId="3905E933">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经度（度分秒）</w:t>
                  </w:r>
                </w:p>
              </w:tc>
              <w:tc>
                <w:tcPr>
                  <w:tcW w:w="1050" w:type="pct"/>
                  <w:noWrap w:val="0"/>
                  <w:vAlign w:val="center"/>
                </w:tcPr>
                <w:p w14:paraId="4F49695F">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纬度（度分秒）</w:t>
                  </w:r>
                </w:p>
              </w:tc>
              <w:tc>
                <w:tcPr>
                  <w:tcW w:w="542" w:type="pct"/>
                  <w:vMerge w:val="continue"/>
                  <w:noWrap w:val="0"/>
                  <w:vAlign w:val="center"/>
                </w:tcPr>
                <w:p w14:paraId="1B33DD37">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b/>
                      <w:color w:val="000000" w:themeColor="text1"/>
                      <w:sz w:val="21"/>
                      <w:szCs w:val="21"/>
                      <w14:textFill>
                        <w14:solidFill>
                          <w14:schemeClr w14:val="tx1"/>
                        </w14:solidFill>
                      </w14:textFill>
                    </w:rPr>
                  </w:pPr>
                </w:p>
              </w:tc>
              <w:tc>
                <w:tcPr>
                  <w:tcW w:w="542" w:type="pct"/>
                  <w:vMerge w:val="continue"/>
                  <w:noWrap w:val="0"/>
                  <w:vAlign w:val="center"/>
                </w:tcPr>
                <w:p w14:paraId="1DCA3C87">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b/>
                      <w:color w:val="000000" w:themeColor="text1"/>
                      <w:sz w:val="21"/>
                      <w:szCs w:val="21"/>
                      <w14:textFill>
                        <w14:solidFill>
                          <w14:schemeClr w14:val="tx1"/>
                        </w14:solidFill>
                      </w14:textFill>
                    </w:rPr>
                  </w:pPr>
                </w:p>
              </w:tc>
              <w:tc>
                <w:tcPr>
                  <w:tcW w:w="611" w:type="pct"/>
                  <w:vMerge w:val="continue"/>
                  <w:noWrap w:val="0"/>
                  <w:vAlign w:val="center"/>
                </w:tcPr>
                <w:p w14:paraId="260DF8F1">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b/>
                      <w:color w:val="000000" w:themeColor="text1"/>
                      <w:sz w:val="21"/>
                      <w:szCs w:val="21"/>
                      <w14:textFill>
                        <w14:solidFill>
                          <w14:schemeClr w14:val="tx1"/>
                        </w14:solidFill>
                      </w14:textFill>
                    </w:rPr>
                  </w:pPr>
                </w:p>
              </w:tc>
              <w:tc>
                <w:tcPr>
                  <w:tcW w:w="611" w:type="pct"/>
                  <w:vMerge w:val="continue"/>
                  <w:noWrap w:val="0"/>
                  <w:vAlign w:val="center"/>
                </w:tcPr>
                <w:p w14:paraId="5D51EE71">
                  <w:pPr>
                    <w:pStyle w:val="96"/>
                    <w:keepNext w:val="0"/>
                    <w:keepLines w:val="0"/>
                    <w:pageBreakBefore w:val="0"/>
                    <w:framePr w:wrap="auto" w:vAnchor="margin" w:hAnchor="text" w:xAlign="left" w:yAlign="inline"/>
                    <w:widowControl/>
                    <w:kinsoku/>
                    <w:wordWrap/>
                    <w:overflowPunct/>
                    <w:topLinePunct w:val="0"/>
                    <w:autoSpaceDE/>
                    <w:autoSpaceDN/>
                    <w:bidi w:val="0"/>
                    <w:adjustRightInd w:val="0"/>
                    <w:snapToGrid w:val="0"/>
                    <w:spacing w:line="240" w:lineRule="auto"/>
                    <w:ind w:firstLine="0" w:firstLineChars="0"/>
                    <w:rPr>
                      <w:rFonts w:ascii="Times New Roman"/>
                      <w:b/>
                      <w:color w:val="000000" w:themeColor="text1"/>
                      <w:sz w:val="21"/>
                      <w:szCs w:val="21"/>
                      <w14:textFill>
                        <w14:solidFill>
                          <w14:schemeClr w14:val="tx1"/>
                        </w14:solidFill>
                      </w14:textFill>
                    </w:rPr>
                  </w:pPr>
                </w:p>
              </w:tc>
            </w:tr>
            <w:tr w14:paraId="484BF1D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noWrap w:val="0"/>
                  <w:vAlign w:val="center"/>
                </w:tcPr>
                <w:p w14:paraId="6221D9EF">
                  <w:pPr>
                    <w:pStyle w:val="96"/>
                    <w:framePr w:wrap="auto" w:vAnchor="margin" w:hAnchor="text" w:xAlign="left" w:yAlign="inline"/>
                    <w:rPr>
                      <w:rFonts w:ascii="Times New Roman"/>
                      <w:b/>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JCJ01</w:t>
                  </w:r>
                </w:p>
              </w:tc>
              <w:tc>
                <w:tcPr>
                  <w:tcW w:w="1115" w:type="pct"/>
                  <w:noWrap w:val="0"/>
                  <w:vAlign w:val="center"/>
                </w:tcPr>
                <w:p w14:paraId="7495EC71">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103°17'47.48"</w:t>
                  </w:r>
                </w:p>
              </w:tc>
              <w:tc>
                <w:tcPr>
                  <w:tcW w:w="1050" w:type="pct"/>
                  <w:noWrap w:val="0"/>
                  <w:vAlign w:val="center"/>
                </w:tcPr>
                <w:p w14:paraId="3D2C9A15">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25°23'54.47"</w:t>
                  </w:r>
                </w:p>
              </w:tc>
              <w:tc>
                <w:tcPr>
                  <w:tcW w:w="848" w:type="dxa"/>
                  <w:noWrap w:val="0"/>
                  <w:vAlign w:val="center"/>
                </w:tcPr>
                <w:p w14:paraId="51A8C20C">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142</w:t>
                  </w:r>
                </w:p>
              </w:tc>
              <w:tc>
                <w:tcPr>
                  <w:tcW w:w="848" w:type="dxa"/>
                  <w:noWrap w:val="0"/>
                  <w:vAlign w:val="center"/>
                </w:tcPr>
                <w:p w14:paraId="00C35D24">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lang w:val="en-US" w:eastAsia="zh-CN"/>
                      <w14:textFill>
                        <w14:solidFill>
                          <w14:schemeClr w14:val="tx1"/>
                        </w14:solidFill>
                      </w14:textFill>
                    </w:rPr>
                    <w:t>4</w:t>
                  </w:r>
                  <w:r>
                    <w:rPr>
                      <w:rFonts w:hint="eastAsia" w:ascii="Times New Roman"/>
                      <w:bCs/>
                      <w:color w:val="000000" w:themeColor="text1"/>
                      <w:sz w:val="21"/>
                      <w:szCs w:val="21"/>
                      <w14:textFill>
                        <w14:solidFill>
                          <w14:schemeClr w14:val="tx1"/>
                        </w14:solidFill>
                      </w14:textFill>
                    </w:rPr>
                    <w:t>6.5</w:t>
                  </w:r>
                </w:p>
              </w:tc>
              <w:tc>
                <w:tcPr>
                  <w:tcW w:w="956" w:type="dxa"/>
                  <w:noWrap w:val="0"/>
                  <w:vAlign w:val="center"/>
                </w:tcPr>
                <w:p w14:paraId="190EEEE7">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bCs/>
                      <w:color w:val="000000" w:themeColor="text1"/>
                      <w:sz w:val="21"/>
                      <w:szCs w:val="21"/>
                      <w14:textFill>
                        <w14:solidFill>
                          <w14:schemeClr w14:val="tx1"/>
                        </w14:solidFill>
                      </w14:textFill>
                    </w:rPr>
                    <w:t>2076.</w:t>
                  </w:r>
                  <w:r>
                    <w:rPr>
                      <w:rFonts w:hint="eastAsia" w:ascii="Times New Roman"/>
                      <w:bCs/>
                      <w:color w:val="000000" w:themeColor="text1"/>
                      <w:sz w:val="21"/>
                      <w:szCs w:val="21"/>
                      <w14:textFill>
                        <w14:solidFill>
                          <w14:schemeClr w14:val="tx1"/>
                        </w14:solidFill>
                      </w14:textFill>
                    </w:rPr>
                    <w:t>53</w:t>
                  </w:r>
                </w:p>
              </w:tc>
              <w:tc>
                <w:tcPr>
                  <w:tcW w:w="956" w:type="dxa"/>
                  <w:noWrap w:val="0"/>
                  <w:vAlign w:val="center"/>
                </w:tcPr>
                <w:p w14:paraId="49C2BFC7">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bCs/>
                      <w:color w:val="000000" w:themeColor="text1"/>
                      <w:sz w:val="21"/>
                      <w:szCs w:val="21"/>
                      <w14:textFill>
                        <w14:solidFill>
                          <w14:schemeClr w14:val="tx1"/>
                        </w14:solidFill>
                      </w14:textFill>
                    </w:rPr>
                    <w:t>20</w:t>
                  </w:r>
                  <w:r>
                    <w:rPr>
                      <w:rFonts w:hint="eastAsia" w:ascii="Times New Roman"/>
                      <w:bCs/>
                      <w:color w:val="000000" w:themeColor="text1"/>
                      <w:sz w:val="21"/>
                      <w:szCs w:val="21"/>
                      <w:lang w:val="en-US" w:eastAsia="zh-CN"/>
                      <w14:textFill>
                        <w14:solidFill>
                          <w14:schemeClr w14:val="tx1"/>
                        </w14:solidFill>
                      </w14:textFill>
                    </w:rPr>
                    <w:t>3</w:t>
                  </w:r>
                  <w:r>
                    <w:rPr>
                      <w:rFonts w:hint="eastAsia" w:ascii="Times New Roman"/>
                      <w:bCs/>
                      <w:color w:val="000000" w:themeColor="text1"/>
                      <w:sz w:val="21"/>
                      <w:szCs w:val="21"/>
                      <w14:textFill>
                        <w14:solidFill>
                          <w14:schemeClr w14:val="tx1"/>
                        </w14:solidFill>
                      </w14:textFill>
                    </w:rPr>
                    <w:t>0</w:t>
                  </w:r>
                  <w:r>
                    <w:rPr>
                      <w:rFonts w:ascii="Times New Roman"/>
                      <w:bCs/>
                      <w:color w:val="000000" w:themeColor="text1"/>
                      <w:sz w:val="21"/>
                      <w:szCs w:val="21"/>
                      <w14:textFill>
                        <w14:solidFill>
                          <w14:schemeClr w14:val="tx1"/>
                        </w14:solidFill>
                      </w14:textFill>
                    </w:rPr>
                    <w:t>.03</w:t>
                  </w:r>
                </w:p>
              </w:tc>
            </w:tr>
            <w:tr w14:paraId="6BD0BE3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noWrap w:val="0"/>
                  <w:vAlign w:val="center"/>
                </w:tcPr>
                <w:p w14:paraId="10295AB1">
                  <w:pPr>
                    <w:pStyle w:val="96"/>
                    <w:framePr w:wrap="auto" w:vAnchor="margin" w:hAnchor="text" w:xAlign="left" w:yAlign="inline"/>
                    <w:rPr>
                      <w:rFonts w:ascii="Times New Roman"/>
                      <w:b/>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JCJ02</w:t>
                  </w:r>
                </w:p>
              </w:tc>
              <w:tc>
                <w:tcPr>
                  <w:tcW w:w="1115" w:type="pct"/>
                  <w:noWrap w:val="0"/>
                  <w:vAlign w:val="center"/>
                </w:tcPr>
                <w:p w14:paraId="69843AD3">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103°</w:t>
                  </w:r>
                  <w:r>
                    <w:rPr>
                      <w:rFonts w:hint="eastAsia" w:ascii="Times New Roman"/>
                      <w:bCs/>
                      <w:color w:val="000000" w:themeColor="text1"/>
                      <w:sz w:val="21"/>
                      <w:szCs w:val="21"/>
                      <w14:textFill>
                        <w14:solidFill>
                          <w14:schemeClr w14:val="tx1"/>
                        </w14:solidFill>
                      </w14:textFill>
                    </w:rPr>
                    <w:t>17'56.71"</w:t>
                  </w:r>
                </w:p>
              </w:tc>
              <w:tc>
                <w:tcPr>
                  <w:tcW w:w="1050" w:type="pct"/>
                  <w:noWrap w:val="0"/>
                  <w:vAlign w:val="center"/>
                </w:tcPr>
                <w:p w14:paraId="761D581B">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25°</w:t>
                  </w:r>
                  <w:r>
                    <w:rPr>
                      <w:rFonts w:hint="eastAsia" w:ascii="Times New Roman"/>
                      <w:bCs/>
                      <w:color w:val="000000" w:themeColor="text1"/>
                      <w:sz w:val="21"/>
                      <w:szCs w:val="21"/>
                      <w14:textFill>
                        <w14:solidFill>
                          <w14:schemeClr w14:val="tx1"/>
                        </w14:solidFill>
                      </w14:textFill>
                    </w:rPr>
                    <w:t>23'56.50"</w:t>
                  </w:r>
                </w:p>
              </w:tc>
              <w:tc>
                <w:tcPr>
                  <w:tcW w:w="848" w:type="dxa"/>
                  <w:noWrap w:val="0"/>
                  <w:vAlign w:val="center"/>
                </w:tcPr>
                <w:p w14:paraId="5FC1B0AB">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172</w:t>
                  </w:r>
                </w:p>
              </w:tc>
              <w:tc>
                <w:tcPr>
                  <w:tcW w:w="848" w:type="dxa"/>
                  <w:noWrap w:val="0"/>
                  <w:vAlign w:val="center"/>
                </w:tcPr>
                <w:p w14:paraId="7938F9FB">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lang w:val="en-US" w:eastAsia="zh-CN"/>
                      <w14:textFill>
                        <w14:solidFill>
                          <w14:schemeClr w14:val="tx1"/>
                        </w14:solidFill>
                      </w14:textFill>
                    </w:rPr>
                    <w:t>7</w:t>
                  </w:r>
                  <w:r>
                    <w:rPr>
                      <w:rFonts w:hint="eastAsia" w:ascii="Times New Roman"/>
                      <w:bCs/>
                      <w:color w:val="000000" w:themeColor="text1"/>
                      <w:sz w:val="21"/>
                      <w:szCs w:val="21"/>
                      <w14:textFill>
                        <w14:solidFill>
                          <w14:schemeClr w14:val="tx1"/>
                        </w14:solidFill>
                      </w14:textFill>
                    </w:rPr>
                    <w:t>2.3</w:t>
                  </w:r>
                </w:p>
              </w:tc>
              <w:tc>
                <w:tcPr>
                  <w:tcW w:w="956" w:type="dxa"/>
                  <w:noWrap w:val="0"/>
                  <w:vAlign w:val="center"/>
                </w:tcPr>
                <w:p w14:paraId="567069FF">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2084.75</w:t>
                  </w:r>
                </w:p>
              </w:tc>
              <w:tc>
                <w:tcPr>
                  <w:tcW w:w="956" w:type="dxa"/>
                  <w:noWrap w:val="0"/>
                  <w:vAlign w:val="center"/>
                </w:tcPr>
                <w:p w14:paraId="234264F4">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w:t>
                  </w:r>
                  <w:r>
                    <w:rPr>
                      <w:rFonts w:hint="eastAsia" w:ascii="Times New Roman"/>
                      <w:bCs/>
                      <w:color w:val="000000" w:themeColor="text1"/>
                      <w:sz w:val="21"/>
                      <w:szCs w:val="21"/>
                      <w:lang w:val="en-US" w:eastAsia="zh-CN"/>
                      <w14:textFill>
                        <w14:solidFill>
                          <w14:schemeClr w14:val="tx1"/>
                        </w14:solidFill>
                      </w14:textFill>
                    </w:rPr>
                    <w:t>1</w:t>
                  </w:r>
                  <w:r>
                    <w:rPr>
                      <w:rFonts w:hint="eastAsia" w:ascii="Times New Roman"/>
                      <w:bCs/>
                      <w:color w:val="000000" w:themeColor="text1"/>
                      <w:sz w:val="21"/>
                      <w:szCs w:val="21"/>
                      <w14:textFill>
                        <w14:solidFill>
                          <w14:schemeClr w14:val="tx1"/>
                        </w14:solidFill>
                      </w14:textFill>
                    </w:rPr>
                    <w:t>2.45</w:t>
                  </w:r>
                </w:p>
              </w:tc>
            </w:tr>
            <w:tr w14:paraId="0D2EC25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noWrap w:val="0"/>
                  <w:vAlign w:val="center"/>
                </w:tcPr>
                <w:p w14:paraId="79BC6E14">
                  <w:pPr>
                    <w:pStyle w:val="96"/>
                    <w:framePr w:wrap="auto" w:vAnchor="margin" w:hAnchor="text" w:xAlign="left" w:yAlign="inline"/>
                    <w:rPr>
                      <w:rFonts w:ascii="Times New Roman"/>
                      <w:b/>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JCJ03</w:t>
                  </w:r>
                </w:p>
              </w:tc>
              <w:tc>
                <w:tcPr>
                  <w:tcW w:w="1115" w:type="pct"/>
                  <w:noWrap w:val="0"/>
                  <w:vAlign w:val="center"/>
                </w:tcPr>
                <w:p w14:paraId="7AB2326D">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103°</w:t>
                  </w:r>
                  <w:r>
                    <w:rPr>
                      <w:rFonts w:hint="eastAsia" w:ascii="Times New Roman"/>
                      <w:bCs/>
                      <w:color w:val="000000" w:themeColor="text1"/>
                      <w:sz w:val="21"/>
                      <w:szCs w:val="21"/>
                      <w14:textFill>
                        <w14:solidFill>
                          <w14:schemeClr w14:val="tx1"/>
                        </w14:solidFill>
                      </w14:textFill>
                    </w:rPr>
                    <w:t>17'43.22"</w:t>
                  </w:r>
                </w:p>
              </w:tc>
              <w:tc>
                <w:tcPr>
                  <w:tcW w:w="1050" w:type="pct"/>
                  <w:noWrap w:val="0"/>
                  <w:vAlign w:val="center"/>
                </w:tcPr>
                <w:p w14:paraId="1A06C917">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25°</w:t>
                  </w:r>
                  <w:r>
                    <w:rPr>
                      <w:rFonts w:hint="eastAsia" w:ascii="Times New Roman"/>
                      <w:bCs/>
                      <w:color w:val="000000" w:themeColor="text1"/>
                      <w:sz w:val="21"/>
                      <w:szCs w:val="21"/>
                      <w14:textFill>
                        <w14:solidFill>
                          <w14:schemeClr w14:val="tx1"/>
                        </w14:solidFill>
                      </w14:textFill>
                    </w:rPr>
                    <w:t>23'50.36"</w:t>
                  </w:r>
                </w:p>
              </w:tc>
              <w:tc>
                <w:tcPr>
                  <w:tcW w:w="848" w:type="dxa"/>
                  <w:noWrap w:val="0"/>
                  <w:vAlign w:val="center"/>
                </w:tcPr>
                <w:p w14:paraId="5F0FE5B4">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202</w:t>
                  </w:r>
                </w:p>
              </w:tc>
              <w:tc>
                <w:tcPr>
                  <w:tcW w:w="848" w:type="dxa"/>
                  <w:noWrap w:val="0"/>
                  <w:vAlign w:val="center"/>
                </w:tcPr>
                <w:p w14:paraId="7A82CBBB">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3</w:t>
                  </w:r>
                  <w:r>
                    <w:rPr>
                      <w:rFonts w:hint="eastAsia" w:ascii="Times New Roman"/>
                      <w:color w:val="000000" w:themeColor="text1"/>
                      <w:sz w:val="21"/>
                      <w:szCs w:val="21"/>
                      <w14:textFill>
                        <w14:solidFill>
                          <w14:schemeClr w14:val="tx1"/>
                        </w14:solidFill>
                      </w14:textFill>
                    </w:rPr>
                    <w:t>4.8</w:t>
                  </w:r>
                </w:p>
              </w:tc>
              <w:tc>
                <w:tcPr>
                  <w:tcW w:w="956" w:type="dxa"/>
                  <w:noWrap w:val="0"/>
                  <w:vAlign w:val="center"/>
                </w:tcPr>
                <w:p w14:paraId="17286778">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color w:val="000000" w:themeColor="text1"/>
                      <w:sz w:val="21"/>
                      <w:szCs w:val="21"/>
                      <w14:textFill>
                        <w14:solidFill>
                          <w14:schemeClr w14:val="tx1"/>
                        </w14:solidFill>
                      </w14:textFill>
                    </w:rPr>
                    <w:t>2075.41</w:t>
                  </w:r>
                </w:p>
              </w:tc>
              <w:tc>
                <w:tcPr>
                  <w:tcW w:w="956" w:type="dxa"/>
                  <w:noWrap w:val="0"/>
                  <w:vAlign w:val="center"/>
                </w:tcPr>
                <w:p w14:paraId="58FD0119">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color w:val="000000" w:themeColor="text1"/>
                      <w:sz w:val="21"/>
                      <w:szCs w:val="21"/>
                      <w14:textFill>
                        <w14:solidFill>
                          <w14:schemeClr w14:val="tx1"/>
                        </w14:solidFill>
                      </w14:textFill>
                    </w:rPr>
                    <w:t>20</w:t>
                  </w:r>
                  <w:r>
                    <w:rPr>
                      <w:rFonts w:hint="eastAsia" w:ascii="Times New Roman"/>
                      <w:color w:val="000000" w:themeColor="text1"/>
                      <w:sz w:val="21"/>
                      <w:szCs w:val="21"/>
                      <w:lang w:val="en-US" w:eastAsia="zh-CN"/>
                      <w14:textFill>
                        <w14:solidFill>
                          <w14:schemeClr w14:val="tx1"/>
                        </w14:solidFill>
                      </w14:textFill>
                    </w:rPr>
                    <w:t>4</w:t>
                  </w:r>
                  <w:r>
                    <w:rPr>
                      <w:rFonts w:hint="eastAsia" w:ascii="Times New Roman"/>
                      <w:color w:val="000000" w:themeColor="text1"/>
                      <w:sz w:val="21"/>
                      <w:szCs w:val="21"/>
                      <w14:textFill>
                        <w14:solidFill>
                          <w14:schemeClr w14:val="tx1"/>
                        </w14:solidFill>
                      </w14:textFill>
                    </w:rPr>
                    <w:t>0.61</w:t>
                  </w:r>
                </w:p>
              </w:tc>
            </w:tr>
            <w:tr w14:paraId="5E89716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noWrap w:val="0"/>
                  <w:vAlign w:val="center"/>
                </w:tcPr>
                <w:p w14:paraId="4CDACA56">
                  <w:pPr>
                    <w:pStyle w:val="96"/>
                    <w:framePr w:wrap="auto" w:vAnchor="margin" w:hAnchor="text" w:xAlign="left" w:yAlign="inline"/>
                    <w:rPr>
                      <w:rFonts w:ascii="Times New Roman"/>
                      <w:b/>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JCJ04</w:t>
                  </w:r>
                </w:p>
              </w:tc>
              <w:tc>
                <w:tcPr>
                  <w:tcW w:w="1115" w:type="pct"/>
                  <w:noWrap w:val="0"/>
                  <w:vAlign w:val="center"/>
                </w:tcPr>
                <w:p w14:paraId="21A56D7E">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103°</w:t>
                  </w:r>
                  <w:r>
                    <w:rPr>
                      <w:rFonts w:hint="eastAsia" w:ascii="Times New Roman"/>
                      <w:bCs/>
                      <w:color w:val="000000" w:themeColor="text1"/>
                      <w:sz w:val="21"/>
                      <w:szCs w:val="21"/>
                      <w14:textFill>
                        <w14:solidFill>
                          <w14:schemeClr w14:val="tx1"/>
                        </w14:solidFill>
                      </w14:textFill>
                    </w:rPr>
                    <w:t>17'43.00"</w:t>
                  </w:r>
                </w:p>
              </w:tc>
              <w:tc>
                <w:tcPr>
                  <w:tcW w:w="1050" w:type="pct"/>
                  <w:noWrap w:val="0"/>
                  <w:vAlign w:val="center"/>
                </w:tcPr>
                <w:p w14:paraId="7122342B">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25°</w:t>
                  </w:r>
                  <w:r>
                    <w:rPr>
                      <w:rFonts w:hint="eastAsia" w:ascii="Times New Roman"/>
                      <w:bCs/>
                      <w:color w:val="000000" w:themeColor="text1"/>
                      <w:sz w:val="21"/>
                      <w:szCs w:val="21"/>
                      <w14:textFill>
                        <w14:solidFill>
                          <w14:schemeClr w14:val="tx1"/>
                        </w14:solidFill>
                      </w14:textFill>
                    </w:rPr>
                    <w:t>23'38.86"</w:t>
                  </w:r>
                </w:p>
              </w:tc>
              <w:tc>
                <w:tcPr>
                  <w:tcW w:w="848" w:type="dxa"/>
                  <w:noWrap w:val="0"/>
                  <w:vAlign w:val="center"/>
                </w:tcPr>
                <w:p w14:paraId="48E3BDA4">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66</w:t>
                  </w:r>
                </w:p>
              </w:tc>
              <w:tc>
                <w:tcPr>
                  <w:tcW w:w="848" w:type="dxa"/>
                  <w:noWrap w:val="0"/>
                  <w:vAlign w:val="center"/>
                </w:tcPr>
                <w:p w14:paraId="46696228">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lang w:val="en-US" w:eastAsia="zh-CN"/>
                      <w14:textFill>
                        <w14:solidFill>
                          <w14:schemeClr w14:val="tx1"/>
                        </w14:solidFill>
                      </w14:textFill>
                    </w:rPr>
                    <w:t>3</w:t>
                  </w:r>
                  <w:r>
                    <w:rPr>
                      <w:rFonts w:hint="eastAsia" w:ascii="Times New Roman"/>
                      <w:bCs/>
                      <w:color w:val="000000" w:themeColor="text1"/>
                      <w:sz w:val="21"/>
                      <w:szCs w:val="21"/>
                      <w14:textFill>
                        <w14:solidFill>
                          <w14:schemeClr w14:val="tx1"/>
                        </w14:solidFill>
                      </w14:textFill>
                    </w:rPr>
                    <w:t>6.5</w:t>
                  </w:r>
                </w:p>
              </w:tc>
              <w:tc>
                <w:tcPr>
                  <w:tcW w:w="956" w:type="dxa"/>
                  <w:noWrap w:val="0"/>
                  <w:vAlign w:val="center"/>
                </w:tcPr>
                <w:p w14:paraId="3062F80B">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2075.68</w:t>
                  </w:r>
                </w:p>
              </w:tc>
              <w:tc>
                <w:tcPr>
                  <w:tcW w:w="956" w:type="dxa"/>
                  <w:noWrap w:val="0"/>
                  <w:vAlign w:val="center"/>
                </w:tcPr>
                <w:p w14:paraId="1132A358">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w:t>
                  </w:r>
                  <w:r>
                    <w:rPr>
                      <w:rFonts w:hint="eastAsia" w:ascii="Times New Roman"/>
                      <w:bCs/>
                      <w:color w:val="000000" w:themeColor="text1"/>
                      <w:sz w:val="21"/>
                      <w:szCs w:val="21"/>
                      <w:lang w:val="en-US" w:eastAsia="zh-CN"/>
                      <w14:textFill>
                        <w14:solidFill>
                          <w14:schemeClr w14:val="tx1"/>
                        </w14:solidFill>
                      </w14:textFill>
                    </w:rPr>
                    <w:t>3</w:t>
                  </w:r>
                  <w:r>
                    <w:rPr>
                      <w:rFonts w:hint="eastAsia" w:ascii="Times New Roman"/>
                      <w:bCs/>
                      <w:color w:val="000000" w:themeColor="text1"/>
                      <w:sz w:val="21"/>
                      <w:szCs w:val="21"/>
                      <w14:textFill>
                        <w14:solidFill>
                          <w14:schemeClr w14:val="tx1"/>
                        </w14:solidFill>
                      </w14:textFill>
                    </w:rPr>
                    <w:t>9.18</w:t>
                  </w:r>
                </w:p>
              </w:tc>
            </w:tr>
            <w:tr w14:paraId="7747DB4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526" w:type="pct"/>
                  <w:noWrap w:val="0"/>
                  <w:vAlign w:val="center"/>
                </w:tcPr>
                <w:p w14:paraId="63CDC83F">
                  <w:pPr>
                    <w:pStyle w:val="96"/>
                    <w:framePr w:wrap="auto" w:vAnchor="margin" w:hAnchor="text" w:xAlign="left" w:yAlign="inline"/>
                    <w:rPr>
                      <w:rFonts w:ascii="Times New Roman"/>
                      <w:b/>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CSC01</w:t>
                  </w:r>
                </w:p>
              </w:tc>
              <w:tc>
                <w:tcPr>
                  <w:tcW w:w="1115" w:type="pct"/>
                  <w:noWrap w:val="0"/>
                  <w:vAlign w:val="center"/>
                </w:tcPr>
                <w:p w14:paraId="7DD4BCCE">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103°</w:t>
                  </w:r>
                  <w:r>
                    <w:rPr>
                      <w:rFonts w:hint="eastAsia" w:ascii="Times New Roman"/>
                      <w:bCs/>
                      <w:color w:val="000000" w:themeColor="text1"/>
                      <w:sz w:val="21"/>
                      <w:szCs w:val="21"/>
                      <w14:textFill>
                        <w14:solidFill>
                          <w14:schemeClr w14:val="tx1"/>
                        </w14:solidFill>
                      </w14:textFill>
                    </w:rPr>
                    <w:t>17'48.71"</w:t>
                  </w:r>
                </w:p>
              </w:tc>
              <w:tc>
                <w:tcPr>
                  <w:tcW w:w="1050" w:type="pct"/>
                  <w:noWrap w:val="0"/>
                  <w:vAlign w:val="center"/>
                </w:tcPr>
                <w:p w14:paraId="434E61AF">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25°</w:t>
                  </w:r>
                  <w:r>
                    <w:rPr>
                      <w:rFonts w:hint="eastAsia" w:ascii="Times New Roman"/>
                      <w:bCs/>
                      <w:color w:val="000000" w:themeColor="text1"/>
                      <w:sz w:val="21"/>
                      <w:szCs w:val="21"/>
                      <w14:textFill>
                        <w14:solidFill>
                          <w14:schemeClr w14:val="tx1"/>
                        </w14:solidFill>
                      </w14:textFill>
                    </w:rPr>
                    <w:t>23'42.44"</w:t>
                  </w:r>
                </w:p>
              </w:tc>
              <w:tc>
                <w:tcPr>
                  <w:tcW w:w="848" w:type="dxa"/>
                  <w:noWrap w:val="0"/>
                  <w:vAlign w:val="center"/>
                </w:tcPr>
                <w:p w14:paraId="4943C755">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200</w:t>
                  </w:r>
                </w:p>
              </w:tc>
              <w:tc>
                <w:tcPr>
                  <w:tcW w:w="848" w:type="dxa"/>
                  <w:noWrap w:val="0"/>
                  <w:vAlign w:val="center"/>
                </w:tcPr>
                <w:p w14:paraId="38D28232">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lang w:val="en-US" w:eastAsia="zh-CN"/>
                      <w14:textFill>
                        <w14:solidFill>
                          <w14:schemeClr w14:val="tx1"/>
                        </w14:solidFill>
                      </w14:textFill>
                    </w:rPr>
                    <w:t>4</w:t>
                  </w:r>
                  <w:r>
                    <w:rPr>
                      <w:rFonts w:hint="eastAsia" w:ascii="Times New Roman"/>
                      <w:bCs/>
                      <w:color w:val="000000" w:themeColor="text1"/>
                      <w:sz w:val="21"/>
                      <w:szCs w:val="21"/>
                      <w14:textFill>
                        <w14:solidFill>
                          <w14:schemeClr w14:val="tx1"/>
                        </w14:solidFill>
                      </w14:textFill>
                    </w:rPr>
                    <w:t>0.0</w:t>
                  </w:r>
                </w:p>
              </w:tc>
              <w:tc>
                <w:tcPr>
                  <w:tcW w:w="956" w:type="dxa"/>
                  <w:noWrap w:val="0"/>
                  <w:vAlign w:val="center"/>
                </w:tcPr>
                <w:p w14:paraId="774D109E">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bCs/>
                      <w:color w:val="000000" w:themeColor="text1"/>
                      <w:sz w:val="21"/>
                      <w:szCs w:val="21"/>
                      <w14:textFill>
                        <w14:solidFill>
                          <w14:schemeClr w14:val="tx1"/>
                        </w14:solidFill>
                      </w14:textFill>
                    </w:rPr>
                    <w:t>20</w:t>
                  </w:r>
                  <w:r>
                    <w:rPr>
                      <w:rFonts w:hint="eastAsia" w:ascii="Times New Roman"/>
                      <w:bCs/>
                      <w:color w:val="000000" w:themeColor="text1"/>
                      <w:sz w:val="21"/>
                      <w:szCs w:val="21"/>
                      <w14:textFill>
                        <w14:solidFill>
                          <w14:schemeClr w14:val="tx1"/>
                        </w14:solidFill>
                      </w14:textFill>
                    </w:rPr>
                    <w:t>7</w:t>
                  </w:r>
                  <w:r>
                    <w:rPr>
                      <w:rFonts w:ascii="Times New Roman"/>
                      <w:bCs/>
                      <w:color w:val="000000" w:themeColor="text1"/>
                      <w:sz w:val="21"/>
                      <w:szCs w:val="21"/>
                      <w14:textFill>
                        <w14:solidFill>
                          <w14:schemeClr w14:val="tx1"/>
                        </w14:solidFill>
                      </w14:textFill>
                    </w:rPr>
                    <w:t>2.</w:t>
                  </w:r>
                  <w:r>
                    <w:rPr>
                      <w:rFonts w:hint="eastAsia" w:ascii="Times New Roman"/>
                      <w:bCs/>
                      <w:color w:val="000000" w:themeColor="text1"/>
                      <w:sz w:val="21"/>
                      <w:szCs w:val="21"/>
                      <w14:textFill>
                        <w14:solidFill>
                          <w14:schemeClr w14:val="tx1"/>
                        </w14:solidFill>
                      </w14:textFill>
                    </w:rPr>
                    <w:t>19</w:t>
                  </w:r>
                </w:p>
              </w:tc>
              <w:tc>
                <w:tcPr>
                  <w:tcW w:w="956" w:type="dxa"/>
                  <w:noWrap w:val="0"/>
                  <w:vAlign w:val="center"/>
                </w:tcPr>
                <w:p w14:paraId="2670DF7E">
                  <w:pPr>
                    <w:pStyle w:val="96"/>
                    <w:framePr w:wrap="auto" w:vAnchor="margin" w:hAnchor="text" w:xAlign="left" w:yAlign="inline"/>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20</w:t>
                  </w:r>
                  <w:r>
                    <w:rPr>
                      <w:rFonts w:hint="eastAsia" w:ascii="Times New Roman"/>
                      <w:bCs/>
                      <w:color w:val="000000" w:themeColor="text1"/>
                      <w:sz w:val="21"/>
                      <w:szCs w:val="21"/>
                      <w:lang w:val="en-US" w:eastAsia="zh-CN"/>
                      <w14:textFill>
                        <w14:solidFill>
                          <w14:schemeClr w14:val="tx1"/>
                        </w14:solidFill>
                      </w14:textFill>
                    </w:rPr>
                    <w:t>3</w:t>
                  </w:r>
                  <w:r>
                    <w:rPr>
                      <w:rFonts w:hint="eastAsia" w:ascii="Times New Roman"/>
                      <w:bCs/>
                      <w:color w:val="000000" w:themeColor="text1"/>
                      <w:sz w:val="21"/>
                      <w:szCs w:val="21"/>
                      <w14:textFill>
                        <w14:solidFill>
                          <w14:schemeClr w14:val="tx1"/>
                        </w14:solidFill>
                      </w14:textFill>
                    </w:rPr>
                    <w:t>0.19</w:t>
                  </w:r>
                </w:p>
              </w:tc>
            </w:tr>
            <w:tr w14:paraId="15EC31E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526" w:type="pct"/>
                  <w:noWrap w:val="0"/>
                  <w:vAlign w:val="center"/>
                </w:tcPr>
                <w:p w14:paraId="507F2998">
                  <w:pPr>
                    <w:pStyle w:val="96"/>
                    <w:framePr w:wrap="auto" w:vAnchor="margin" w:hAnchor="text" w:xAlign="left" w:yAlign="inline"/>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八角洞村</w:t>
                  </w:r>
                </w:p>
              </w:tc>
              <w:tc>
                <w:tcPr>
                  <w:tcW w:w="1744" w:type="dxa"/>
                  <w:noWrap w:val="0"/>
                  <w:vAlign w:val="center"/>
                </w:tcPr>
                <w:p w14:paraId="5EEAE025">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103°</w:t>
                  </w:r>
                  <w:r>
                    <w:rPr>
                      <w:rFonts w:hint="eastAsia" w:ascii="Times New Roman"/>
                      <w:bCs/>
                      <w:color w:val="000000" w:themeColor="text1"/>
                      <w:sz w:val="21"/>
                      <w:szCs w:val="21"/>
                      <w14:textFill>
                        <w14:solidFill>
                          <w14:schemeClr w14:val="tx1"/>
                        </w14:solidFill>
                      </w14:textFill>
                    </w:rPr>
                    <w:t>18'35.48"</w:t>
                  </w:r>
                </w:p>
              </w:tc>
              <w:tc>
                <w:tcPr>
                  <w:tcW w:w="1643" w:type="dxa"/>
                  <w:noWrap w:val="0"/>
                  <w:vAlign w:val="center"/>
                </w:tcPr>
                <w:p w14:paraId="03FF0B99">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25°</w:t>
                  </w:r>
                  <w:r>
                    <w:rPr>
                      <w:rFonts w:hint="eastAsia" w:ascii="Times New Roman"/>
                      <w:bCs/>
                      <w:color w:val="000000" w:themeColor="text1"/>
                      <w:sz w:val="21"/>
                      <w:szCs w:val="21"/>
                      <w14:textFill>
                        <w14:solidFill>
                          <w14:schemeClr w14:val="tx1"/>
                        </w14:solidFill>
                      </w14:textFill>
                    </w:rPr>
                    <w:t>23'36.72"</w:t>
                  </w:r>
                </w:p>
              </w:tc>
              <w:tc>
                <w:tcPr>
                  <w:tcW w:w="848" w:type="dxa"/>
                  <w:noWrap w:val="0"/>
                  <w:vAlign w:val="center"/>
                </w:tcPr>
                <w:p w14:paraId="3D11663F">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80</w:t>
                  </w:r>
                </w:p>
              </w:tc>
              <w:tc>
                <w:tcPr>
                  <w:tcW w:w="848" w:type="dxa"/>
                  <w:noWrap w:val="0"/>
                  <w:vAlign w:val="center"/>
                </w:tcPr>
                <w:p w14:paraId="11C08621">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lang w:val="en-US" w:eastAsia="zh-CN"/>
                      <w14:textFill>
                        <w14:solidFill>
                          <w14:schemeClr w14:val="tx1"/>
                        </w14:solidFill>
                      </w14:textFill>
                    </w:rPr>
                    <w:t>19</w:t>
                  </w:r>
                  <w:r>
                    <w:rPr>
                      <w:rFonts w:hint="eastAsia" w:ascii="Times New Roman"/>
                      <w:bCs/>
                      <w:color w:val="000000" w:themeColor="text1"/>
                      <w:sz w:val="21"/>
                      <w:szCs w:val="21"/>
                      <w14:textFill>
                        <w14:solidFill>
                          <w14:schemeClr w14:val="tx1"/>
                        </w14:solidFill>
                      </w14:textFill>
                    </w:rPr>
                    <w:t>.0</w:t>
                  </w:r>
                </w:p>
              </w:tc>
              <w:tc>
                <w:tcPr>
                  <w:tcW w:w="956" w:type="dxa"/>
                  <w:noWrap w:val="0"/>
                  <w:vAlign w:val="center"/>
                </w:tcPr>
                <w:p w14:paraId="34DD6356">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1960.20</w:t>
                  </w:r>
                </w:p>
              </w:tc>
              <w:tc>
                <w:tcPr>
                  <w:tcW w:w="956" w:type="dxa"/>
                  <w:noWrap w:val="0"/>
                  <w:vAlign w:val="bottom"/>
                </w:tcPr>
                <w:p w14:paraId="25B621C0">
                  <w:pPr>
                    <w:pStyle w:val="96"/>
                    <w:framePr w:wrap="auto" w:vAnchor="margin" w:hAnchor="text" w:xAlign="left" w:yAlign="inline"/>
                    <w:rPr>
                      <w:rFonts w:ascii="Times New Roman"/>
                      <w:color w:val="000000" w:themeColor="text1"/>
                      <w:sz w:val="21"/>
                      <w:szCs w:val="21"/>
                      <w14:textFill>
                        <w14:solidFill>
                          <w14:schemeClr w14:val="tx1"/>
                        </w14:solidFill>
                      </w14:textFill>
                    </w:rPr>
                  </w:pPr>
                  <w:r>
                    <w:rPr>
                      <w:rFonts w:hint="eastAsia" w:ascii="Times New Roman"/>
                      <w:bCs/>
                      <w:color w:val="000000" w:themeColor="text1"/>
                      <w:sz w:val="21"/>
                      <w:szCs w:val="21"/>
                      <w14:textFill>
                        <w14:solidFill>
                          <w14:schemeClr w14:val="tx1"/>
                        </w14:solidFill>
                      </w14:textFill>
                    </w:rPr>
                    <w:t>19</w:t>
                  </w:r>
                  <w:r>
                    <w:rPr>
                      <w:rFonts w:hint="eastAsia" w:ascii="Times New Roman"/>
                      <w:bCs/>
                      <w:color w:val="000000" w:themeColor="text1"/>
                      <w:sz w:val="21"/>
                      <w:szCs w:val="21"/>
                      <w:lang w:val="en-US" w:eastAsia="zh-CN"/>
                      <w14:textFill>
                        <w14:solidFill>
                          <w14:schemeClr w14:val="tx1"/>
                        </w14:solidFill>
                      </w14:textFill>
                    </w:rPr>
                    <w:t>4</w:t>
                  </w:r>
                  <w:r>
                    <w:rPr>
                      <w:rFonts w:hint="eastAsia" w:ascii="Times New Roman"/>
                      <w:bCs/>
                      <w:color w:val="000000" w:themeColor="text1"/>
                      <w:sz w:val="21"/>
                      <w:szCs w:val="21"/>
                      <w14:textFill>
                        <w14:solidFill>
                          <w14:schemeClr w14:val="tx1"/>
                        </w14:solidFill>
                      </w14:textFill>
                    </w:rPr>
                    <w:t>1.20</w:t>
                  </w:r>
                </w:p>
              </w:tc>
            </w:tr>
          </w:tbl>
          <w:p w14:paraId="4918EA11">
            <w:pPr>
              <w:widowControl/>
              <w:ind w:firstLine="480"/>
              <w:rPr>
                <w:color w:val="000000" w:themeColor="text1"/>
                <w:kern w:val="0"/>
                <w:lang w:bidi="ar"/>
                <w14:textFill>
                  <w14:solidFill>
                    <w14:schemeClr w14:val="tx1"/>
                  </w14:solidFill>
                </w14:textFill>
              </w:rPr>
            </w:pPr>
            <w:r>
              <w:rPr>
                <w:rFonts w:ascii="宋体" w:hAnsi="宋体"/>
                <w:color w:val="000000" w:themeColor="text1"/>
                <w:kern w:val="0"/>
                <w:sz w:val="24"/>
                <w:szCs w:val="24"/>
                <w14:textFill>
                  <w14:solidFill>
                    <w14:schemeClr w14:val="tx1"/>
                  </w14:solidFill>
                </w14:textFill>
              </w:rPr>
              <w:t>3、</w:t>
            </w:r>
            <w:r>
              <w:rPr>
                <w:rFonts w:hint="eastAsia" w:ascii="宋体" w:hAnsi="宋体"/>
                <w:color w:val="000000" w:themeColor="text1"/>
                <w:kern w:val="0"/>
                <w:sz w:val="24"/>
                <w:szCs w:val="24"/>
                <w:lang w:val="en-US" w:eastAsia="zh-CN"/>
                <w14:textFill>
                  <w14:solidFill>
                    <w14:schemeClr w14:val="tx1"/>
                  </w14:solidFill>
                </w14:textFill>
              </w:rPr>
              <w:t>分别在项目采石场</w:t>
            </w:r>
            <w:r>
              <w:rPr>
                <w:rFonts w:hint="eastAsia" w:ascii="Times New Roman" w:hAnsi="Times New Roman" w:eastAsia="宋体" w:cs="Times New Roman"/>
                <w:b w:val="0"/>
                <w:bCs/>
                <w:color w:val="000000" w:themeColor="text1"/>
                <w:kern w:val="0"/>
                <w:sz w:val="24"/>
                <w:szCs w:val="24"/>
                <w:highlight w:val="none"/>
                <w:vertAlign w:val="baseline"/>
                <w:lang w:val="en-US" w:eastAsia="zh-CN" w:bidi="ar"/>
                <w14:textFill>
                  <w14:solidFill>
                    <w14:schemeClr w14:val="tx1"/>
                  </w14:solidFill>
                </w14:textFill>
              </w:rPr>
              <w:t>地下水主管出口位置设置</w:t>
            </w:r>
            <w:r>
              <w:rPr>
                <w:rFonts w:hint="eastAsia" w:cs="Times New Roman"/>
                <w:b w:val="0"/>
                <w:bCs/>
                <w:color w:val="000000" w:themeColor="text1"/>
                <w:kern w:val="0"/>
                <w:sz w:val="24"/>
                <w:szCs w:val="24"/>
                <w:highlight w:val="none"/>
                <w:vertAlign w:val="baseline"/>
                <w:lang w:val="en-US" w:eastAsia="zh-CN" w:bidi="ar"/>
                <w14:textFill>
                  <w14:solidFill>
                    <w14:schemeClr w14:val="tx1"/>
                  </w14:solidFill>
                </w14:textFill>
              </w:rPr>
              <w:t>1个地下水收集井，</w:t>
            </w:r>
            <w:r>
              <w:rPr>
                <w:rFonts w:ascii="宋体" w:hAnsi="宋体"/>
                <w:color w:val="000000" w:themeColor="text1"/>
                <w:kern w:val="0"/>
                <w:sz w:val="24"/>
                <w14:textFill>
                  <w14:solidFill>
                    <w14:schemeClr w14:val="tx1"/>
                  </w14:solidFill>
                </w14:textFill>
              </w:rPr>
              <w:t>通过地下水监控井和生态修复回填场防渗膜底部地下水导排管对地下水和防渗效果进行监控，防止地下水污染，监测资料存档，便于长时间观测生态修复区下游水质变化情况，一旦发现监控井中水质出现异常，及时上报主管部门。</w:t>
            </w:r>
          </w:p>
          <w:p w14:paraId="4655E678">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w:t>
            </w:r>
            <w:r>
              <w:rPr>
                <w:rFonts w:hint="eastAsia"/>
                <w:b/>
                <w:bCs/>
                <w:color w:val="000000" w:themeColor="text1"/>
                <w14:textFill>
                  <w14:solidFill>
                    <w14:schemeClr w14:val="tx1"/>
                  </w14:solidFill>
                </w14:textFill>
              </w:rPr>
              <w:t>渗滤液</w:t>
            </w:r>
            <w:r>
              <w:rPr>
                <w:rFonts w:hint="eastAsia"/>
                <w:b/>
                <w:bCs/>
                <w:color w:val="000000" w:themeColor="text1"/>
                <w:kern w:val="0"/>
                <w:lang w:bidi="ar"/>
                <w14:textFill>
                  <w14:solidFill>
                    <w14:schemeClr w14:val="tx1"/>
                  </w14:solidFill>
                </w14:textFill>
              </w:rPr>
              <w:t>跟踪监测</w:t>
            </w:r>
          </w:p>
          <w:p w14:paraId="6877630E">
            <w:pPr>
              <w:widowControl/>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的要求，项目实施过程中，对</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进行检测。封场后渗滤液收集井、</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污染物监测应继续正常运行，直到连续3年内没有</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产生或产生的</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未经处理即可稳定达标排放。</w:t>
            </w:r>
          </w:p>
          <w:p w14:paraId="31A3E564">
            <w:pPr>
              <w:pStyle w:val="23"/>
              <w:rPr>
                <w:rFonts w:hint="default" w:eastAsia="宋体"/>
                <w:color w:val="000000" w:themeColor="text1"/>
                <w:lang w:val="en-US" w:eastAsia="zh-CN"/>
                <w14:textFill>
                  <w14:solidFill>
                    <w14:schemeClr w14:val="tx1"/>
                  </w14:solidFill>
                </w14:textFill>
              </w:rPr>
            </w:pPr>
            <w:r>
              <w:rPr>
                <w:rFonts w:hint="eastAsia"/>
                <w:b/>
                <w:bCs/>
                <w:color w:val="000000" w:themeColor="text1"/>
                <w:kern w:val="0"/>
                <w:lang w:eastAsia="zh-CN" w:bidi="ar"/>
                <w14:textFill>
                  <w14:solidFill>
                    <w14:schemeClr w14:val="tx1"/>
                  </w14:solidFill>
                </w14:textFill>
              </w:rPr>
              <w:t>（</w:t>
            </w:r>
            <w:r>
              <w:rPr>
                <w:rFonts w:hint="eastAsia"/>
                <w:b/>
                <w:bCs/>
                <w:color w:val="000000" w:themeColor="text1"/>
                <w:kern w:val="0"/>
                <w:lang w:val="en-US" w:eastAsia="zh-CN" w:bidi="ar"/>
                <w14:textFill>
                  <w14:solidFill>
                    <w14:schemeClr w14:val="tx1"/>
                  </w14:solidFill>
                </w14:textFill>
              </w:rPr>
              <w:t>5</w:t>
            </w:r>
            <w:r>
              <w:rPr>
                <w:rFonts w:hint="eastAsia"/>
                <w:b/>
                <w:bCs/>
                <w:color w:val="000000" w:themeColor="text1"/>
                <w:kern w:val="0"/>
                <w:lang w:eastAsia="zh-CN" w:bidi="ar"/>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饮用水保护区及居民水井保护措施</w:t>
            </w:r>
          </w:p>
          <w:p w14:paraId="45B2E511">
            <w:pPr>
              <w:ind w:firstLine="480"/>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评价区位于马龙河水文地质单元：该</w:t>
            </w:r>
            <w:r>
              <w:rPr>
                <w:rFonts w:hint="default" w:ascii="Times New Roman" w:hAnsi="Times New Roman" w:eastAsia="宋体" w:cs="Times New Roman"/>
                <w:color w:val="000000" w:themeColor="text1"/>
                <w:szCs w:val="21"/>
                <w:highlight w:val="none"/>
                <w14:textFill>
                  <w14:solidFill>
                    <w14:schemeClr w14:val="tx1"/>
                  </w14:solidFill>
                </w14:textFill>
              </w:rPr>
              <w:t>水文地质单元包含整个项目场区，其边界大致以东部分水岭（西新村→狮子口→石山）为界；南部以分水岭（大黑井→良家田）为界；北部以马龙河为界</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，中</w:t>
            </w:r>
            <w:r>
              <w:rPr>
                <w:rFonts w:hint="default" w:ascii="Times New Roman" w:hAnsi="Times New Roman" w:eastAsia="宋体" w:cs="Times New Roman"/>
                <w:color w:val="000000" w:themeColor="text1"/>
                <w:szCs w:val="21"/>
                <w:highlight w:val="none"/>
                <w14:textFill>
                  <w14:solidFill>
                    <w14:schemeClr w14:val="tx1"/>
                  </w14:solidFill>
                </w14:textFill>
              </w:rPr>
              <w:t>部以F126断裂及分水岭（莲花山-田房-庄房）为界</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F126断裂及分水岭（莲花山-田房-庄房）</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东</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侧为龙潭河次级单元，西侧为</w:t>
            </w:r>
            <w:r>
              <w:rPr>
                <w:rFonts w:hint="default" w:ascii="Times New Roman" w:hAnsi="Times New Roman" w:eastAsia="宋体" w:cs="Times New Roman"/>
                <w:color w:val="000000" w:themeColor="text1"/>
                <w:szCs w:val="21"/>
                <w:highlight w:val="none"/>
                <w14:textFill>
                  <w14:solidFill>
                    <w14:schemeClr w14:val="tx1"/>
                  </w14:solidFill>
                </w14:textFill>
              </w:rPr>
              <w:t>石板河</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次级单元。</w:t>
            </w:r>
            <w:r>
              <w:rPr>
                <w:rFonts w:hint="default" w:ascii="Times New Roman" w:hAnsi="Times New Roman" w:eastAsia="宋体" w:cs="Times New Roman"/>
                <w:color w:val="000000" w:themeColor="text1"/>
                <w:szCs w:val="21"/>
                <w:highlight w:val="none"/>
                <w14:textFill>
                  <w14:solidFill>
                    <w14:schemeClr w14:val="tx1"/>
                  </w14:solidFill>
                </w14:textFill>
              </w:rPr>
              <w:t>普家屯-哈螃沟断裂（F126）东盘为志留系上统关底组（S3g）地层，岩性为钙质、泥质页岩、粉砂岩夹灰岩，属微-中等透水性，西盘为寒武系中统陡坡组（∈2d）钙、泥质页岩、粉砂岩夹泥质白云岩及下统龙王庙组（∈1l）粉-细晶白云岩夹粉砂岩、页岩，属微-中等透水性；沿走向断裂平面上呈舒缓波状破碎带宽数米至上百米，常见角砾岩、片理化带、碎裂岩带和断层泥，胶结较好，未见断裂带有出水等现象，断面无浸水。该断裂为逆断层，富水性较弱-中等，由于页岩具</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相对</w:t>
            </w:r>
            <w:r>
              <w:rPr>
                <w:rFonts w:hint="default" w:ascii="Times New Roman" w:hAnsi="Times New Roman" w:eastAsia="宋体" w:cs="Times New Roman"/>
                <w:color w:val="000000" w:themeColor="text1"/>
                <w:szCs w:val="21"/>
                <w:highlight w:val="none"/>
                <w14:textFill>
                  <w14:solidFill>
                    <w14:schemeClr w14:val="tx1"/>
                  </w14:solidFill>
                </w14:textFill>
              </w:rPr>
              <w:t>隔水性，</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根据水文地质勘察、水文地质调查及综合分析，评价区地下水与石板河水库属于不同的水文地质单元，项目区地下水排泄方向为东北龙潭河。</w:t>
            </w:r>
          </w:p>
          <w:p w14:paraId="5C08FEAA">
            <w:pPr>
              <w:ind w:firstLine="480"/>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根据从昆明市生态环境局收集的相关资料，昆明市寻甸县塘子街道石板河水库饮用水水源保护区划分方案</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一级保护区面积1.402km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，二级保护区面积为13.094km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。项目区西侧边界临近二级保护边界，但石板河水库直接补给上游为土官庄、大凹一带；而且项目区地表水就近向坑底方向下渗补给地下水，项目运营过程地表水不会向石板河水库饮用水水源保护区方向排泄。</w:t>
            </w:r>
          </w:p>
          <w:p w14:paraId="2D994AA9">
            <w:pPr>
              <w:ind w:firstLine="480"/>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评价区周边分布3口水井，三个泉点，分别为M</w:t>
            </w:r>
            <w:r>
              <w:rPr>
                <w:rFonts w:hint="default" w:ascii="Times New Roman" w:hAnsi="Times New Roman" w:eastAsia="宋体" w:cs="Times New Roman"/>
                <w:color w:val="000000" w:themeColor="text1"/>
                <w:szCs w:val="21"/>
                <w:highlight w:val="none"/>
                <w14:textFill>
                  <w14:solidFill>
                    <w14:schemeClr w14:val="tx1"/>
                  </w14:solidFill>
                </w14:textFill>
              </w:rPr>
              <w:t>J1-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MJ3</w:t>
            </w:r>
            <w:r>
              <w:rPr>
                <w:rFonts w:hint="default" w:ascii="Times New Roman" w:hAnsi="Times New Roman" w:eastAsia="宋体" w:cs="Times New Roman"/>
                <w:color w:val="000000" w:themeColor="text1"/>
                <w:szCs w:val="21"/>
                <w:highlight w:val="none"/>
                <w14:textFill>
                  <w14:solidFill>
                    <w14:schemeClr w14:val="tx1"/>
                  </w14:solidFill>
                </w14:textFill>
              </w:rPr>
              <w:t>水井</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及Q1、Q2、Q3泉点</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三口深井开采层位为志留系上统关底组（S3g）地层</w:t>
            </w:r>
            <w:r>
              <w:rPr>
                <w:rFonts w:hint="default" w:ascii="Times New Roman" w:hAnsi="Times New Roman" w:eastAsia="宋体" w:cs="Times New Roman"/>
                <w:color w:val="000000" w:themeColor="text1"/>
                <w:szCs w:val="21"/>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与项目区地下水属于同一层位。经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现场勘察及</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查阅相关资料，M</w:t>
            </w:r>
            <w:r>
              <w:rPr>
                <w:rFonts w:hint="default" w:ascii="Times New Roman" w:hAnsi="Times New Roman" w:eastAsia="宋体" w:cs="Times New Roman"/>
                <w:color w:val="000000" w:themeColor="text1"/>
                <w:szCs w:val="21"/>
                <w:highlight w:val="none"/>
                <w14:textFill>
                  <w14:solidFill>
                    <w14:schemeClr w14:val="tx1"/>
                  </w14:solidFill>
                </w14:textFill>
              </w:rPr>
              <w:t>J1-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MJ3</w:t>
            </w:r>
            <w:r>
              <w:rPr>
                <w:rFonts w:hint="default" w:ascii="Times New Roman" w:hAnsi="Times New Roman" w:eastAsia="宋体" w:cs="Times New Roman"/>
                <w:color w:val="000000" w:themeColor="text1"/>
                <w:szCs w:val="21"/>
                <w:highlight w:val="none"/>
                <w14:textFill>
                  <w14:solidFill>
                    <w14:schemeClr w14:val="tx1"/>
                  </w14:solidFill>
                </w14:textFill>
              </w:rPr>
              <w:t>水井</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及Q1、Q2、Q3泉点均不</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当地集中式饮用水保护区及村镇饮用水水源点保护区范围内</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，但</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Q1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泉点及</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14:textFill>
                  <w14:solidFill>
                    <w14:schemeClr w14:val="tx1"/>
                  </w14:solidFill>
                </w14:textFill>
              </w:rPr>
              <w:t>J</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MJ3</w:t>
            </w:r>
            <w:r>
              <w:rPr>
                <w:rFonts w:hint="default" w:ascii="Times New Roman" w:hAnsi="Times New Roman" w:eastAsia="宋体" w:cs="Times New Roman"/>
                <w:color w:val="000000" w:themeColor="text1"/>
                <w:szCs w:val="21"/>
                <w:highlight w:val="none"/>
                <w14:textFill>
                  <w14:solidFill>
                    <w14:schemeClr w14:val="tx1"/>
                  </w14:solidFill>
                </w14:textFill>
              </w:rPr>
              <w:t>水井</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具有饮用水功能，</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Q2、Q3泉点</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14:textFill>
                  <w14:solidFill>
                    <w14:schemeClr w14:val="tx1"/>
                  </w14:solidFill>
                </w14:textFill>
              </w:rPr>
              <w:t>J1水井</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仅具有灌溉功能</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p w14:paraId="3BE79A84">
            <w:pPr>
              <w:ind w:firstLine="480"/>
              <w:textAlignment w:val="baseline"/>
              <w:rPr>
                <w:rFonts w:hint="default"/>
                <w:color w:val="000000" w:themeColor="text1"/>
                <w:lang w:val="en-US" w:eastAsia="zh-CN"/>
                <w14:textFill>
                  <w14:solidFill>
                    <w14:schemeClr w14:val="tx1"/>
                  </w14:solidFill>
                </w14:textFill>
              </w:rPr>
            </w:pPr>
            <w:r>
              <w:rPr>
                <w:rFonts w:hint="eastAsia"/>
                <w:color w:val="000000" w:themeColor="text1"/>
                <w:kern w:val="0"/>
                <w:lang w:val="en-US" w:eastAsia="zh-CN" w:bidi="ar"/>
                <w14:textFill>
                  <w14:solidFill>
                    <w14:schemeClr w14:val="tx1"/>
                  </w14:solidFill>
                </w14:textFill>
              </w:rPr>
              <w:t>本着项目实施前应优先解决项目周边涉及村庄的饮水安全问题，并做好地下水保护措施，防止地下水污染，合理规划保护周边村组用水和水源点</w:t>
            </w:r>
            <w:r>
              <w:rPr>
                <w:rFonts w:hint="eastAsia"/>
                <w:color w:val="000000" w:themeColor="text1"/>
                <w:kern w:val="0"/>
                <w:lang w:bidi="ar"/>
                <w14:textFill>
                  <w14:solidFill>
                    <w14:schemeClr w14:val="tx1"/>
                  </w14:solidFill>
                </w14:textFill>
              </w:rPr>
              <w:t>的</w:t>
            </w:r>
            <w:r>
              <w:rPr>
                <w:rFonts w:hint="eastAsia"/>
                <w:color w:val="000000" w:themeColor="text1"/>
                <w:kern w:val="0"/>
                <w:lang w:val="en-US" w:eastAsia="zh-CN" w:bidi="ar"/>
                <w14:textFill>
                  <w14:solidFill>
                    <w14:schemeClr w14:val="tx1"/>
                  </w14:solidFill>
                </w14:textFill>
              </w:rPr>
              <w:t>原则</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本项目在生态修复区底部防渗层施工质量确保完整有效的基础上，</w:t>
            </w:r>
            <w:r>
              <w:rPr>
                <w:rFonts w:hint="eastAsia"/>
                <w:color w:val="000000" w:themeColor="text1"/>
                <w:kern w:val="0"/>
                <w:lang w:val="en-US" w:eastAsia="zh-CN" w:bidi="ar"/>
                <w14:textFill>
                  <w14:solidFill>
                    <w14:schemeClr w14:val="tx1"/>
                  </w14:solidFill>
                </w14:textFill>
              </w:rPr>
              <w:t>结合跟踪监测结果，</w:t>
            </w:r>
            <w:r>
              <w:rPr>
                <w:rFonts w:hint="eastAsia"/>
                <w:color w:val="000000" w:themeColor="text1"/>
                <w:kern w:val="0"/>
                <w:lang w:bidi="ar"/>
                <w14:textFill>
                  <w14:solidFill>
                    <w14:schemeClr w14:val="tx1"/>
                  </w14:solidFill>
                </w14:textFill>
              </w:rPr>
              <w:t>若监测</w:t>
            </w:r>
            <w:r>
              <w:rPr>
                <w:rFonts w:hint="eastAsia"/>
                <w:color w:val="000000" w:themeColor="text1"/>
                <w:kern w:val="0"/>
                <w:lang w:val="en-US" w:eastAsia="zh-CN" w:bidi="ar"/>
                <w14:textFill>
                  <w14:solidFill>
                    <w14:schemeClr w14:val="tx1"/>
                  </w14:solidFill>
                </w14:textFill>
              </w:rPr>
              <w:t>发现监控井</w:t>
            </w:r>
            <w:r>
              <w:rPr>
                <w:rFonts w:hint="eastAsia"/>
                <w:color w:val="000000" w:themeColor="text1"/>
                <w:kern w:val="0"/>
                <w:lang w:bidi="ar"/>
                <w14:textFill>
                  <w14:solidFill>
                    <w14:schemeClr w14:val="tx1"/>
                  </w14:solidFill>
                </w14:textFill>
              </w:rPr>
              <w:t>水质超标，</w:t>
            </w:r>
            <w:r>
              <w:rPr>
                <w:rFonts w:hint="eastAsia"/>
                <w:color w:val="000000" w:themeColor="text1"/>
                <w:kern w:val="0"/>
                <w:lang w:val="en-US" w:eastAsia="zh-CN" w:bidi="ar"/>
                <w14:textFill>
                  <w14:solidFill>
                    <w14:schemeClr w14:val="tx1"/>
                  </w14:solidFill>
                </w14:textFill>
              </w:rPr>
              <w:t>立即由</w:t>
            </w:r>
            <w:r>
              <w:rPr>
                <w:color w:val="000000" w:themeColor="text1"/>
                <w:highlight w:val="none"/>
                <w14:textFill>
                  <w14:solidFill>
                    <w14:schemeClr w14:val="tx1"/>
                  </w14:solidFill>
                </w14:textFill>
              </w:rPr>
              <w:t>寻甸县科技和工业信息</w:t>
            </w:r>
            <w:r>
              <w:rPr>
                <w:rFonts w:hint="eastAsia"/>
                <w:color w:val="000000" w:themeColor="text1"/>
                <w:highlight w:val="none"/>
                <w:lang w:val="en-US" w:eastAsia="zh-CN"/>
                <w14:textFill>
                  <w14:solidFill>
                    <w14:schemeClr w14:val="tx1"/>
                  </w14:solidFill>
                </w14:textFill>
              </w:rPr>
              <w:t>局和寻甸县政府一起组织实施</w:t>
            </w:r>
            <w:r>
              <w:rPr>
                <w:rFonts w:hint="eastAsia"/>
                <w:color w:val="000000" w:themeColor="text1"/>
                <w:kern w:val="0"/>
                <w:lang w:bidi="ar"/>
                <w14:textFill>
                  <w14:solidFill>
                    <w14:schemeClr w14:val="tx1"/>
                  </w14:solidFill>
                </w14:textFill>
              </w:rPr>
              <w:t>备用水源设施</w:t>
            </w:r>
            <w:r>
              <w:rPr>
                <w:rFonts w:hint="eastAsia"/>
                <w:color w:val="000000" w:themeColor="text1"/>
                <w:kern w:val="0"/>
                <w:lang w:val="en-US" w:eastAsia="zh-CN" w:bidi="ar"/>
                <w14:textFill>
                  <w14:solidFill>
                    <w14:schemeClr w14:val="tx1"/>
                  </w14:solidFill>
                </w14:textFill>
              </w:rPr>
              <w:t>工程，</w:t>
            </w:r>
            <w:r>
              <w:rPr>
                <w:rFonts w:hint="eastAsia"/>
                <w:color w:val="000000" w:themeColor="text1"/>
                <w:kern w:val="0"/>
                <w:lang w:bidi="ar"/>
                <w14:textFill>
                  <w14:solidFill>
                    <w14:schemeClr w14:val="tx1"/>
                  </w14:solidFill>
                </w14:textFill>
              </w:rPr>
              <w:t>建设项目周边</w:t>
            </w:r>
            <w:r>
              <w:rPr>
                <w:rFonts w:hint="eastAsia"/>
                <w:color w:val="000000" w:themeColor="text1"/>
                <w:kern w:val="0"/>
                <w:lang w:val="en-US" w:eastAsia="zh-CN" w:bidi="ar"/>
                <w14:textFill>
                  <w14:solidFill>
                    <w14:schemeClr w14:val="tx1"/>
                  </w14:solidFill>
                </w14:textFill>
              </w:rPr>
              <w:t>八角洞村、龙潭村</w:t>
            </w:r>
            <w:r>
              <w:rPr>
                <w:rFonts w:hint="eastAsia"/>
                <w:color w:val="000000" w:themeColor="text1"/>
                <w:kern w:val="0"/>
                <w:lang w:bidi="ar"/>
                <w14:textFill>
                  <w14:solidFill>
                    <w14:schemeClr w14:val="tx1"/>
                  </w14:solidFill>
                </w14:textFill>
              </w:rPr>
              <w:t>人饮备用水源设施</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并及时查找水质超标的原因，采取措施进行补救</w:t>
            </w:r>
            <w:r>
              <w:rPr>
                <w:rFonts w:hint="eastAsia"/>
                <w:color w:val="000000" w:themeColor="text1"/>
                <w:kern w:val="0"/>
                <w:lang w:eastAsia="zh-CN" w:bidi="ar"/>
                <w14:textFill>
                  <w14:solidFill>
                    <w14:schemeClr w14:val="tx1"/>
                  </w14:solidFill>
                </w14:textFill>
              </w:rPr>
              <w:t>。</w:t>
            </w:r>
          </w:p>
          <w:p w14:paraId="3E3053C1">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w:t>
            </w:r>
            <w:r>
              <w:rPr>
                <w:rFonts w:hint="eastAsia"/>
                <w:b/>
                <w:bCs/>
                <w:color w:val="000000" w:themeColor="text1"/>
                <w:kern w:val="0"/>
                <w:lang w:val="en-US" w:eastAsia="zh-CN" w:bidi="ar"/>
                <w14:textFill>
                  <w14:solidFill>
                    <w14:schemeClr w14:val="tx1"/>
                  </w14:solidFill>
                </w14:textFill>
              </w:rPr>
              <w:t>6</w:t>
            </w:r>
            <w:r>
              <w:rPr>
                <w:rFonts w:hint="eastAsia"/>
                <w:b/>
                <w:bCs/>
                <w:color w:val="000000" w:themeColor="text1"/>
                <w:kern w:val="0"/>
                <w:lang w:bidi="ar"/>
                <w14:textFill>
                  <w14:solidFill>
                    <w14:schemeClr w14:val="tx1"/>
                  </w14:solidFill>
                </w14:textFill>
              </w:rPr>
              <w:t>）小结</w:t>
            </w:r>
          </w:p>
          <w:p w14:paraId="5F09F079">
            <w:pPr>
              <w:widowControl/>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本项目为废弃矿坑生态修复项目，项目采用改性磷石膏作为矿坑回填修复材料，回填区域参照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要求进行防渗，回填材料应达到《改性磷石膏用于矿山废弃地生态修复回填技术规范》（DB53/T1269-2024）及</w:t>
            </w:r>
            <w:r>
              <w:rPr>
                <w:rFonts w:hint="eastAsia"/>
                <w:color w:val="000000" w:themeColor="text1"/>
                <w14:textFill>
                  <w14:solidFill>
                    <w14:schemeClr w14:val="tx1"/>
                  </w14:solidFill>
                </w14:textFill>
              </w:rPr>
              <w:t>《磷石膏的处理处置规范》（GB/T 32124-2024）相关要求</w:t>
            </w:r>
            <w:r>
              <w:rPr>
                <w:rFonts w:hint="eastAsia"/>
                <w:color w:val="000000" w:themeColor="text1"/>
                <w:kern w:val="0"/>
                <w:lang w:bidi="ar"/>
                <w14:textFill>
                  <w14:solidFill>
                    <w14:schemeClr w14:val="tx1"/>
                  </w14:solidFill>
                </w14:textFill>
              </w:rPr>
              <w:t>，改性磷石膏按照HJ557规定方法制备改性磷石膏浸出液中任何一种特征污染物浓度均不应超过GB 8978最高允许排放浓度（第二类污染物最高允许排放浓度按照一级标准执行）才允许入场回填，项目建设对区域周边地下水环境影响不大。</w:t>
            </w:r>
          </w:p>
          <w:p w14:paraId="1B5B383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建设单位通过采取以上措施处理之后，正常情况下回填场渗滤液基本不会下渗，非正常排放渗滤液影响范围有限，非正常排放对下游地下水水质产生一定的影响，建设单位需要认真落实防渗措施，通过地下水监控井和生态修复回填场防渗膜底部地下水导排管对地下水和防渗效果进行监控，防止地下水污染，监测资料存档，便于长时间观测生态修复区下游水质变化情况，一旦发现监控井中水质出现异常，要及时上报主管部门。</w:t>
            </w:r>
          </w:p>
          <w:p w14:paraId="15892D51">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4、声环境影响</w:t>
            </w:r>
          </w:p>
          <w:p w14:paraId="4A9C35E5">
            <w:pPr>
              <w:widowControl/>
              <w:adjustRightInd w:val="0"/>
              <w:snapToGrid w:val="0"/>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bidi="ar"/>
                <w14:textFill>
                  <w14:solidFill>
                    <w14:schemeClr w14:val="tx1"/>
                  </w14:solidFill>
                </w14:textFill>
              </w:rPr>
              <w:t>）主要噪声源强</w:t>
            </w:r>
          </w:p>
          <w:p w14:paraId="65CC783E">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施工期间噪声主要是施工现场的各类机械设备噪声、施工作业噪声以及物料运输造成的交通噪声。不同的施工阶段会使用不同的机械设备，所以施工现场会产生强度较高、无规则、不连续的施工噪声。其强度与施工机械的类型、功率、工作状态等因素都有关。</w:t>
            </w:r>
          </w:p>
          <w:p w14:paraId="702DCB7F">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经查阅相关工程监测资料可知，施工阶段主要噪声源及其声级值见下表。</w:t>
            </w:r>
          </w:p>
          <w:p w14:paraId="27E4B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表4-1</w:t>
            </w:r>
            <w:r>
              <w:rPr>
                <w:rFonts w:hint="default" w:ascii="Times New Roman" w:hAnsi="Times New Roman" w:cs="Times New Roman"/>
                <w:b/>
                <w:color w:val="000000" w:themeColor="text1"/>
                <w:sz w:val="24"/>
                <w:highlight w:val="none"/>
                <w:lang w:val="en-US" w:eastAsia="zh-CN"/>
                <w14:textFill>
                  <w14:solidFill>
                    <w14:schemeClr w14:val="tx1"/>
                  </w14:solidFill>
                </w14:textFill>
              </w:rPr>
              <w:t xml:space="preserve">6  </w:t>
            </w:r>
            <w:r>
              <w:rPr>
                <w:rFonts w:hint="default" w:ascii="Times New Roman" w:hAnsi="Times New Roman" w:eastAsia="宋体" w:cs="Times New Roman"/>
                <w:b/>
                <w:color w:val="000000" w:themeColor="text1"/>
                <w:sz w:val="24"/>
                <w:highlight w:val="none"/>
                <w14:textFill>
                  <w14:solidFill>
                    <w14:schemeClr w14:val="tx1"/>
                  </w14:solidFill>
                </w14:textFill>
              </w:rPr>
              <w:t>主要施工设备源强</w:t>
            </w:r>
          </w:p>
          <w:tbl>
            <w:tblPr>
              <w:tblStyle w:val="41"/>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3920"/>
            </w:tblGrid>
            <w:tr w14:paraId="497E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0BC0A8D0">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主要噪声源</w:t>
                  </w:r>
                </w:p>
              </w:tc>
              <w:tc>
                <w:tcPr>
                  <w:tcW w:w="3920" w:type="dxa"/>
                </w:tcPr>
                <w:p w14:paraId="7918DA5F">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1m处噪声源强dB（A）</w:t>
                  </w:r>
                </w:p>
              </w:tc>
            </w:tr>
            <w:tr w14:paraId="66F6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12EE6E4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挖掘机</w:t>
                  </w:r>
                </w:p>
              </w:tc>
              <w:tc>
                <w:tcPr>
                  <w:tcW w:w="3920" w:type="dxa"/>
                </w:tcPr>
                <w:p w14:paraId="60097C6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r>
            <w:tr w14:paraId="5254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0DAB564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推土机</w:t>
                  </w:r>
                </w:p>
              </w:tc>
              <w:tc>
                <w:tcPr>
                  <w:tcW w:w="3920" w:type="dxa"/>
                </w:tcPr>
                <w:p w14:paraId="0119B57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r>
            <w:tr w14:paraId="3847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07DF8E0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重型运输车辆</w:t>
                  </w:r>
                </w:p>
              </w:tc>
              <w:tc>
                <w:tcPr>
                  <w:tcW w:w="3920" w:type="dxa"/>
                </w:tcPr>
                <w:p w14:paraId="2658D09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w:t>
                  </w:r>
                </w:p>
              </w:tc>
            </w:tr>
            <w:tr w14:paraId="100E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29697CE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洒水车</w:t>
                  </w:r>
                </w:p>
              </w:tc>
              <w:tc>
                <w:tcPr>
                  <w:tcW w:w="3920" w:type="dxa"/>
                </w:tcPr>
                <w:p w14:paraId="4EEA5D6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r>
            <w:tr w14:paraId="4167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19" w:type="dxa"/>
                </w:tcPr>
                <w:p w14:paraId="2638D69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压路机</w:t>
                  </w:r>
                </w:p>
              </w:tc>
              <w:tc>
                <w:tcPr>
                  <w:tcW w:w="3920" w:type="dxa"/>
                </w:tcPr>
                <w:p w14:paraId="6D8C7B6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r>
          </w:tbl>
          <w:p w14:paraId="4896A2D1">
            <w:pPr>
              <w:widowControl/>
              <w:adjustRightInd w:val="0"/>
              <w:snapToGrid w:val="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）声环境影响预测与评价</w:t>
            </w:r>
          </w:p>
          <w:p w14:paraId="55F106E3">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①预测模式：</w:t>
            </w:r>
          </w:p>
          <w:p w14:paraId="1AA21FF0">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设备噪声预测：施工期噪声主要是来自施工车辆和施工机械作业，施工期间主要噪声及振动来源于挖掘机、推土机、洒水车、雾炮机等设备。</w:t>
            </w:r>
          </w:p>
          <w:p w14:paraId="58AFFC20">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考虑到项目作业机械的种类、台数、具体分布情况随着建设内容变化而变化，因此只能在假设的典型情况进行，即所有施工设备噪声源均看作固定点声源。</w:t>
            </w:r>
          </w:p>
          <w:p w14:paraId="72682B78">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采用点源衰减模式，预测声源至受声点的几何发散衰减，不考虑声屏障、空气吸收的衰减。预测公式如下：</w:t>
            </w:r>
          </w:p>
          <w:p w14:paraId="21587E40">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项目施工期噪声在施工时噪声随距离衰减后的衰减值情况见下表。</w:t>
            </w:r>
          </w:p>
          <w:p w14:paraId="5AF02734">
            <w:pPr>
              <w:adjustRightInd w:val="0"/>
              <w:ind w:left="3840" w:leftChars="200" w:hanging="3360" w:hangingChars="1400"/>
              <w:rPr>
                <w:color w:val="000000" w:themeColor="text1"/>
                <w14:textFill>
                  <w14:solidFill>
                    <w14:schemeClr w14:val="tx1"/>
                  </w14:solidFill>
                </w14:textFill>
              </w:rPr>
            </w:pPr>
            <w:r>
              <w:rPr>
                <w:color w:val="000000" w:themeColor="text1"/>
                <w14:textFill>
                  <w14:solidFill>
                    <w14:schemeClr w14:val="tx1"/>
                  </w14:solidFill>
                </w14:textFill>
              </w:rPr>
              <w:t>按点声源衰减模式计算噪声的距离衰减，公式为：</w:t>
            </w:r>
          </w:p>
          <w:p w14:paraId="4A1CDA72">
            <w:pPr>
              <w:adjustRightInd w:val="0"/>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r</w:t>
            </w: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r0</w:t>
            </w:r>
            <w:r>
              <w:rPr>
                <w:color w:val="000000" w:themeColor="text1"/>
                <w14:textFill>
                  <w14:solidFill>
                    <w14:schemeClr w14:val="tx1"/>
                  </w14:solidFill>
                </w14:textFill>
              </w:rPr>
              <w:t>-20lg(r/r</w:t>
            </w:r>
            <w:r>
              <w:rPr>
                <w:rFonts w:hint="eastAsia"/>
                <w:color w:val="000000" w:themeColor="text1"/>
                <w:vertAlign w:val="subscript"/>
                <w14:textFill>
                  <w14:solidFill>
                    <w14:schemeClr w14:val="tx1"/>
                  </w14:solidFill>
                </w14:textFill>
              </w:rPr>
              <w:t>0</w:t>
            </w:r>
            <w:r>
              <w:rPr>
                <w:color w:val="000000" w:themeColor="text1"/>
                <w14:textFill>
                  <w14:solidFill>
                    <w14:schemeClr w14:val="tx1"/>
                  </w14:solidFill>
                </w14:textFill>
              </w:rPr>
              <w:t>)</w:t>
            </w:r>
          </w:p>
          <w:p w14:paraId="4FF5181C">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hint="eastAsia"/>
                <w:color w:val="000000" w:themeColor="text1"/>
                <w14:textFill>
                  <w14:solidFill>
                    <w14:schemeClr w14:val="tx1"/>
                  </w14:solidFill>
                </w14:textFill>
              </w:rPr>
              <w:t>Lr为声源r处的A声压级，dB（A）；</w:t>
            </w:r>
          </w:p>
          <w:p w14:paraId="08AADC11">
            <w:pPr>
              <w:adjustRightInd w:val="0"/>
              <w:ind w:firstLine="1200" w:firstLineChars="500"/>
              <w:rPr>
                <w:color w:val="000000" w:themeColor="text1"/>
                <w14:textFill>
                  <w14:solidFill>
                    <w14:schemeClr w14:val="tx1"/>
                  </w14:solidFill>
                </w14:textFill>
              </w:rPr>
            </w:pPr>
            <w:r>
              <w:rPr>
                <w:iCs/>
                <w:color w:val="000000" w:themeColor="text1"/>
                <w14:textFill>
                  <w14:solidFill>
                    <w14:schemeClr w14:val="tx1"/>
                  </w14:solidFill>
                </w14:textFill>
              </w:rPr>
              <w:t>L</w:t>
            </w:r>
            <w:r>
              <w:rPr>
                <w:rFonts w:hint="eastAsia"/>
                <w:iCs/>
                <w:color w:val="000000" w:themeColor="text1"/>
                <w:vertAlign w:val="subscript"/>
                <w14:textFill>
                  <w14:solidFill>
                    <w14:schemeClr w14:val="tx1"/>
                  </w14:solidFill>
                </w14:textFill>
              </w:rPr>
              <w:t>r0</w:t>
            </w:r>
            <w:r>
              <w:rPr>
                <w:rFonts w:hint="eastAsia"/>
                <w:iCs/>
                <w:color w:val="000000" w:themeColor="text1"/>
                <w14:textFill>
                  <w14:solidFill>
                    <w14:schemeClr w14:val="tx1"/>
                  </w14:solidFill>
                </w14:textFill>
              </w:rPr>
              <w:t>为距声源r0</w:t>
            </w:r>
            <w:r>
              <w:rPr>
                <w:rFonts w:hint="eastAsia"/>
                <w:color w:val="000000" w:themeColor="text1"/>
                <w14:textFill>
                  <w14:solidFill>
                    <w14:schemeClr w14:val="tx1"/>
                  </w14:solidFill>
                </w14:textFill>
              </w:rPr>
              <w:t>处的A声压级，dB（A）；</w:t>
            </w:r>
          </w:p>
          <w:p w14:paraId="1DC92F40">
            <w:pPr>
              <w:adjustRightInd w:val="0"/>
              <w:ind w:firstLine="1200" w:firstLineChars="50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r为预测点与声源的距离，m；</w:t>
            </w:r>
          </w:p>
          <w:p w14:paraId="4A267122">
            <w:pPr>
              <w:adjustRightInd w:val="0"/>
              <w:ind w:firstLine="1200" w:firstLineChars="500"/>
              <w:rPr>
                <w:color w:val="000000" w:themeColor="text1"/>
                <w14:textFill>
                  <w14:solidFill>
                    <w14:schemeClr w14:val="tx1"/>
                  </w14:solidFill>
                </w14:textFill>
              </w:rPr>
            </w:pPr>
            <w:r>
              <w:rPr>
                <w:iCs/>
                <w:color w:val="000000" w:themeColor="text1"/>
                <w14:textFill>
                  <w14:solidFill>
                    <w14:schemeClr w14:val="tx1"/>
                  </w14:solidFill>
                </w14:textFill>
              </w:rPr>
              <w:t>r</w:t>
            </w:r>
            <w:r>
              <w:rPr>
                <w:rFonts w:hint="eastAsia"/>
                <w:iCs/>
                <w:color w:val="000000" w:themeColor="text1"/>
                <w14:textFill>
                  <w14:solidFill>
                    <w14:schemeClr w14:val="tx1"/>
                  </w14:solidFill>
                </w14:textFill>
              </w:rPr>
              <w:t>0</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监测设备噪声时</w:t>
            </w:r>
            <w:r>
              <w:rPr>
                <w:color w:val="000000" w:themeColor="text1"/>
                <w14:textFill>
                  <w14:solidFill>
                    <w14:schemeClr w14:val="tx1"/>
                  </w14:solidFill>
                </w14:textFill>
              </w:rPr>
              <w:t>的距离（m）。</w:t>
            </w:r>
          </w:p>
          <w:p w14:paraId="3FCEF8BF">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根据上述预测模型，施工阶段所涉及设备同时运用，根据上述预测模型，项目施工阶段厂界噪声预测值如下表所示：</w:t>
            </w:r>
          </w:p>
          <w:p w14:paraId="02299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表4-18主要施工机械噪声贡献预测值单位：dB（A）</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794"/>
              <w:gridCol w:w="861"/>
              <w:gridCol w:w="861"/>
              <w:gridCol w:w="861"/>
              <w:gridCol w:w="861"/>
              <w:gridCol w:w="868"/>
              <w:gridCol w:w="872"/>
            </w:tblGrid>
            <w:tr w14:paraId="08CC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Merge w:val="restart"/>
                  <w:vAlign w:val="center"/>
                </w:tcPr>
                <w:p w14:paraId="10A984C1">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噪声源</w:t>
                  </w:r>
                </w:p>
              </w:tc>
              <w:tc>
                <w:tcPr>
                  <w:tcW w:w="507" w:type="pct"/>
                  <w:vMerge w:val="restart"/>
                  <w:vAlign w:val="center"/>
                </w:tcPr>
                <w:p w14:paraId="52568E1F">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源强</w:t>
                  </w:r>
                </w:p>
              </w:tc>
              <w:tc>
                <w:tcPr>
                  <w:tcW w:w="3312" w:type="pct"/>
                  <w:gridSpan w:val="6"/>
                  <w:vAlign w:val="center"/>
                </w:tcPr>
                <w:p w14:paraId="5D9719F8">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施工场界不同距离处噪声贡献值</w:t>
                  </w:r>
                </w:p>
              </w:tc>
            </w:tr>
            <w:tr w14:paraId="2865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Merge w:val="continue"/>
                  <w:vAlign w:val="center"/>
                </w:tcPr>
                <w:p w14:paraId="1C4F332F">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p>
              </w:tc>
              <w:tc>
                <w:tcPr>
                  <w:tcW w:w="507" w:type="pct"/>
                  <w:vMerge w:val="continue"/>
                  <w:vAlign w:val="center"/>
                </w:tcPr>
                <w:p w14:paraId="256B524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p>
              </w:tc>
              <w:tc>
                <w:tcPr>
                  <w:tcW w:w="550" w:type="pct"/>
                  <w:vAlign w:val="center"/>
                </w:tcPr>
                <w:p w14:paraId="2140ADE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10m</w:t>
                  </w:r>
                </w:p>
              </w:tc>
              <w:tc>
                <w:tcPr>
                  <w:tcW w:w="550" w:type="pct"/>
                  <w:vAlign w:val="center"/>
                </w:tcPr>
                <w:p w14:paraId="495C92FE">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30m</w:t>
                  </w:r>
                </w:p>
              </w:tc>
              <w:tc>
                <w:tcPr>
                  <w:tcW w:w="550" w:type="pct"/>
                  <w:vAlign w:val="center"/>
                </w:tcPr>
                <w:p w14:paraId="7F8001D2">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50m</w:t>
                  </w:r>
                </w:p>
              </w:tc>
              <w:tc>
                <w:tcPr>
                  <w:tcW w:w="550" w:type="pct"/>
                  <w:vAlign w:val="center"/>
                </w:tcPr>
                <w:p w14:paraId="6CD2D68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70m</w:t>
                  </w:r>
                </w:p>
              </w:tc>
              <w:tc>
                <w:tcPr>
                  <w:tcW w:w="555" w:type="pct"/>
                  <w:vAlign w:val="center"/>
                </w:tcPr>
                <w:p w14:paraId="6F7D52B5">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100m</w:t>
                  </w:r>
                </w:p>
              </w:tc>
              <w:tc>
                <w:tcPr>
                  <w:tcW w:w="557" w:type="pct"/>
                  <w:vAlign w:val="center"/>
                </w:tcPr>
                <w:p w14:paraId="35DADD38">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200m</w:t>
                  </w:r>
                </w:p>
              </w:tc>
            </w:tr>
            <w:tr w14:paraId="7F28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597BADB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挖掘机</w:t>
                  </w:r>
                </w:p>
              </w:tc>
              <w:tc>
                <w:tcPr>
                  <w:tcW w:w="507" w:type="pct"/>
                  <w:vAlign w:val="center"/>
                </w:tcPr>
                <w:p w14:paraId="78C35CC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c>
                <w:tcPr>
                  <w:tcW w:w="550" w:type="pct"/>
                  <w:vAlign w:val="center"/>
                </w:tcPr>
                <w:p w14:paraId="79CC2E3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550" w:type="pct"/>
                  <w:vAlign w:val="center"/>
                </w:tcPr>
                <w:p w14:paraId="2914E23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55.46</w:t>
                  </w:r>
                </w:p>
              </w:tc>
              <w:tc>
                <w:tcPr>
                  <w:tcW w:w="550" w:type="pct"/>
                  <w:vAlign w:val="center"/>
                </w:tcPr>
                <w:p w14:paraId="213859A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51.02</w:t>
                  </w:r>
                </w:p>
              </w:tc>
              <w:tc>
                <w:tcPr>
                  <w:tcW w:w="550" w:type="pct"/>
                  <w:vAlign w:val="center"/>
                </w:tcPr>
                <w:p w14:paraId="09D3986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48.1</w:t>
                  </w:r>
                </w:p>
              </w:tc>
              <w:tc>
                <w:tcPr>
                  <w:tcW w:w="555" w:type="pct"/>
                  <w:vAlign w:val="center"/>
                </w:tcPr>
                <w:p w14:paraId="1589BD1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557" w:type="pct"/>
                  <w:vAlign w:val="center"/>
                </w:tcPr>
                <w:p w14:paraId="6028253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38.98</w:t>
                  </w:r>
                </w:p>
              </w:tc>
            </w:tr>
            <w:tr w14:paraId="3A6C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5DD71F0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推土机</w:t>
                  </w:r>
                </w:p>
              </w:tc>
              <w:tc>
                <w:tcPr>
                  <w:tcW w:w="507" w:type="pct"/>
                  <w:vAlign w:val="center"/>
                </w:tcPr>
                <w:p w14:paraId="20CEE7B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550" w:type="pct"/>
                  <w:vAlign w:val="center"/>
                </w:tcPr>
                <w:p w14:paraId="3C9B9DC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550" w:type="pct"/>
                  <w:vAlign w:val="center"/>
                </w:tcPr>
                <w:p w14:paraId="3901071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50.46</w:t>
                  </w:r>
                </w:p>
              </w:tc>
              <w:tc>
                <w:tcPr>
                  <w:tcW w:w="550" w:type="pct"/>
                  <w:vAlign w:val="center"/>
                </w:tcPr>
                <w:p w14:paraId="777A5D8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46.02</w:t>
                  </w:r>
                </w:p>
              </w:tc>
              <w:tc>
                <w:tcPr>
                  <w:tcW w:w="550" w:type="pct"/>
                  <w:vAlign w:val="center"/>
                </w:tcPr>
                <w:p w14:paraId="2C6362F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43.1</w:t>
                  </w:r>
                </w:p>
              </w:tc>
              <w:tc>
                <w:tcPr>
                  <w:tcW w:w="555" w:type="pct"/>
                  <w:vAlign w:val="center"/>
                </w:tcPr>
                <w:p w14:paraId="7BD8132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557" w:type="pct"/>
                  <w:vAlign w:val="center"/>
                </w:tcPr>
                <w:p w14:paraId="2B641B0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33.98</w:t>
                  </w:r>
                </w:p>
              </w:tc>
            </w:tr>
            <w:tr w14:paraId="33BF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00B9917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重型运输车辆</w:t>
                  </w:r>
                </w:p>
              </w:tc>
              <w:tc>
                <w:tcPr>
                  <w:tcW w:w="507" w:type="pct"/>
                  <w:vAlign w:val="center"/>
                </w:tcPr>
                <w:p w14:paraId="6A0F2C3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w:t>
                  </w:r>
                </w:p>
              </w:tc>
              <w:tc>
                <w:tcPr>
                  <w:tcW w:w="550" w:type="pct"/>
                  <w:vAlign w:val="center"/>
                </w:tcPr>
                <w:p w14:paraId="632048F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66</w:t>
                  </w:r>
                </w:p>
              </w:tc>
              <w:tc>
                <w:tcPr>
                  <w:tcW w:w="550" w:type="pct"/>
                  <w:vAlign w:val="center"/>
                </w:tcPr>
                <w:p w14:paraId="689B40B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56.46</w:t>
                  </w:r>
                </w:p>
              </w:tc>
              <w:tc>
                <w:tcPr>
                  <w:tcW w:w="550" w:type="pct"/>
                  <w:vAlign w:val="center"/>
                </w:tcPr>
                <w:p w14:paraId="270F377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52.02</w:t>
                  </w:r>
                </w:p>
              </w:tc>
              <w:tc>
                <w:tcPr>
                  <w:tcW w:w="550" w:type="pct"/>
                  <w:vAlign w:val="center"/>
                </w:tcPr>
                <w:p w14:paraId="0DCF17B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49.1</w:t>
                  </w:r>
                </w:p>
              </w:tc>
              <w:tc>
                <w:tcPr>
                  <w:tcW w:w="555" w:type="pct"/>
                  <w:vAlign w:val="center"/>
                </w:tcPr>
                <w:p w14:paraId="5CCE62C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46</w:t>
                  </w:r>
                </w:p>
              </w:tc>
              <w:tc>
                <w:tcPr>
                  <w:tcW w:w="557" w:type="pct"/>
                  <w:vAlign w:val="center"/>
                </w:tcPr>
                <w:p w14:paraId="74B08A8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39.98</w:t>
                  </w:r>
                </w:p>
              </w:tc>
            </w:tr>
            <w:tr w14:paraId="2C95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5E805DD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洒水车</w:t>
                  </w:r>
                </w:p>
              </w:tc>
              <w:tc>
                <w:tcPr>
                  <w:tcW w:w="507" w:type="pct"/>
                  <w:vAlign w:val="center"/>
                </w:tcPr>
                <w:p w14:paraId="7D9C134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550" w:type="pct"/>
                  <w:vAlign w:val="center"/>
                </w:tcPr>
                <w:p w14:paraId="679BC03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550" w:type="pct"/>
                  <w:vAlign w:val="center"/>
                </w:tcPr>
                <w:p w14:paraId="5D2AC85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45.46</w:t>
                  </w:r>
                </w:p>
              </w:tc>
              <w:tc>
                <w:tcPr>
                  <w:tcW w:w="550" w:type="pct"/>
                  <w:vAlign w:val="center"/>
                </w:tcPr>
                <w:p w14:paraId="4D5485D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41.02</w:t>
                  </w:r>
                </w:p>
              </w:tc>
              <w:tc>
                <w:tcPr>
                  <w:tcW w:w="550" w:type="pct"/>
                  <w:vAlign w:val="center"/>
                </w:tcPr>
                <w:p w14:paraId="3E9ECFC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38.1</w:t>
                  </w:r>
                </w:p>
              </w:tc>
              <w:tc>
                <w:tcPr>
                  <w:tcW w:w="555" w:type="pct"/>
                  <w:vAlign w:val="center"/>
                </w:tcPr>
                <w:p w14:paraId="6D962D9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557" w:type="pct"/>
                  <w:vAlign w:val="center"/>
                </w:tcPr>
                <w:p w14:paraId="355F859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28.98</w:t>
                  </w:r>
                </w:p>
              </w:tc>
            </w:tr>
            <w:tr w14:paraId="3B6E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0E920B6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压路机</w:t>
                  </w:r>
                </w:p>
              </w:tc>
              <w:tc>
                <w:tcPr>
                  <w:tcW w:w="507" w:type="pct"/>
                  <w:vAlign w:val="center"/>
                </w:tcPr>
                <w:p w14:paraId="13CD64B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550" w:type="pct"/>
                  <w:vAlign w:val="center"/>
                </w:tcPr>
                <w:p w14:paraId="499C72B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550" w:type="pct"/>
                  <w:vAlign w:val="center"/>
                </w:tcPr>
                <w:p w14:paraId="11EA2BA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45.46</w:t>
                  </w:r>
                </w:p>
              </w:tc>
              <w:tc>
                <w:tcPr>
                  <w:tcW w:w="550" w:type="pct"/>
                  <w:vAlign w:val="center"/>
                </w:tcPr>
                <w:p w14:paraId="5F99769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41.02</w:t>
                  </w:r>
                </w:p>
              </w:tc>
              <w:tc>
                <w:tcPr>
                  <w:tcW w:w="550" w:type="pct"/>
                  <w:vAlign w:val="center"/>
                </w:tcPr>
                <w:p w14:paraId="1D675F4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38.1</w:t>
                  </w:r>
                </w:p>
              </w:tc>
              <w:tc>
                <w:tcPr>
                  <w:tcW w:w="555" w:type="pct"/>
                  <w:vAlign w:val="center"/>
                </w:tcPr>
                <w:p w14:paraId="21BF6AF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557" w:type="pct"/>
                  <w:vAlign w:val="center"/>
                </w:tcPr>
                <w:p w14:paraId="4777010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28.98</w:t>
                  </w:r>
                </w:p>
              </w:tc>
            </w:tr>
            <w:tr w14:paraId="7962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pct"/>
                  <w:gridSpan w:val="2"/>
                  <w:vAlign w:val="center"/>
                </w:tcPr>
                <w:p w14:paraId="1CED5E7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噪声贡献值</w:t>
                  </w:r>
                </w:p>
              </w:tc>
              <w:tc>
                <w:tcPr>
                  <w:tcW w:w="550" w:type="pct"/>
                  <w:vAlign w:val="center"/>
                </w:tcPr>
                <w:p w14:paraId="594EC98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69.43</w:t>
                  </w:r>
                </w:p>
              </w:tc>
              <w:tc>
                <w:tcPr>
                  <w:tcW w:w="550" w:type="pct"/>
                  <w:vAlign w:val="center"/>
                </w:tcPr>
                <w:p w14:paraId="3E975F3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58.14</w:t>
                  </w:r>
                </w:p>
              </w:tc>
              <w:tc>
                <w:tcPr>
                  <w:tcW w:w="550" w:type="pct"/>
                  <w:vAlign w:val="center"/>
                </w:tcPr>
                <w:p w14:paraId="502CD33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55.45</w:t>
                  </w:r>
                </w:p>
              </w:tc>
              <w:tc>
                <w:tcPr>
                  <w:tcW w:w="550" w:type="pct"/>
                  <w:vAlign w:val="center"/>
                </w:tcPr>
                <w:p w14:paraId="62B0BA9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52.53</w:t>
                  </w:r>
                </w:p>
              </w:tc>
              <w:tc>
                <w:tcPr>
                  <w:tcW w:w="555" w:type="pct"/>
                  <w:vAlign w:val="center"/>
                </w:tcPr>
                <w:p w14:paraId="30F29D6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49.43</w:t>
                  </w:r>
                </w:p>
              </w:tc>
              <w:tc>
                <w:tcPr>
                  <w:tcW w:w="557" w:type="pct"/>
                  <w:vAlign w:val="center"/>
                </w:tcPr>
                <w:p w14:paraId="668E3A6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43.41</w:t>
                  </w:r>
                </w:p>
              </w:tc>
            </w:tr>
          </w:tbl>
          <w:p w14:paraId="59E04DF8">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项目施工期单体设备声源最大声级为</w:t>
            </w:r>
            <w:r>
              <w:rPr>
                <w:color w:val="000000" w:themeColor="text1"/>
                <w:kern w:val="0"/>
                <w:lang w:bidi="ar"/>
                <w14:textFill>
                  <w14:solidFill>
                    <w14:schemeClr w14:val="tx1"/>
                  </w14:solidFill>
                </w14:textFill>
              </w:rPr>
              <w:t>86dB(A)</w:t>
            </w:r>
            <w:r>
              <w:rPr>
                <w:rFonts w:hint="eastAsia"/>
                <w:color w:val="000000" w:themeColor="text1"/>
                <w:kern w:val="0"/>
                <w:lang w:bidi="ar"/>
                <w14:textFill>
                  <w14:solidFill>
                    <w14:schemeClr w14:val="tx1"/>
                  </w14:solidFill>
                </w14:textFill>
              </w:rPr>
              <w:t>，根据预测结果可知，最大噪声源衰减至10m时噪声值为66</w:t>
            </w:r>
            <w:r>
              <w:rPr>
                <w:color w:val="000000" w:themeColor="text1"/>
                <w:kern w:val="0"/>
                <w:lang w:bidi="ar"/>
                <w14:textFill>
                  <w14:solidFill>
                    <w14:schemeClr w14:val="tx1"/>
                  </w14:solidFill>
                </w14:textFill>
              </w:rPr>
              <w:t>dB(A)</w:t>
            </w:r>
            <w:r>
              <w:rPr>
                <w:rFonts w:hint="eastAsia"/>
                <w:color w:val="000000" w:themeColor="text1"/>
                <w:kern w:val="0"/>
                <w:lang w:bidi="ar"/>
                <w14:textFill>
                  <w14:solidFill>
                    <w14:schemeClr w14:val="tx1"/>
                  </w14:solidFill>
                </w14:textFill>
              </w:rPr>
              <w:t>，衰减至200m时噪声值为39.98</w:t>
            </w:r>
            <w:r>
              <w:rPr>
                <w:color w:val="000000" w:themeColor="text1"/>
                <w:kern w:val="0"/>
                <w:lang w:bidi="ar"/>
                <w14:textFill>
                  <w14:solidFill>
                    <w14:schemeClr w14:val="tx1"/>
                  </w14:solidFill>
                </w14:textFill>
              </w:rPr>
              <w:t>dB(A)</w:t>
            </w:r>
            <w:r>
              <w:rPr>
                <w:rFonts w:hint="eastAsia"/>
                <w:color w:val="000000" w:themeColor="text1"/>
                <w:kern w:val="0"/>
                <w:lang w:bidi="ar"/>
                <w14:textFill>
                  <w14:solidFill>
                    <w14:schemeClr w14:val="tx1"/>
                  </w14:solidFill>
                </w14:textFill>
              </w:rPr>
              <w:t>，满足《建筑施工场界环境噪声排放标准》（</w:t>
            </w:r>
            <w:r>
              <w:rPr>
                <w:color w:val="000000" w:themeColor="text1"/>
                <w:kern w:val="0"/>
                <w:lang w:bidi="ar"/>
                <w14:textFill>
                  <w14:solidFill>
                    <w14:schemeClr w14:val="tx1"/>
                  </w14:solidFill>
                </w14:textFill>
              </w:rPr>
              <w:t>GB12523-20</w:t>
            </w:r>
            <w:r>
              <w:rPr>
                <w:rFonts w:hint="eastAsia"/>
                <w:color w:val="000000" w:themeColor="text1"/>
                <w:kern w:val="0"/>
                <w:lang w:val="en-US" w:eastAsia="zh-CN" w:bidi="ar"/>
                <w14:textFill>
                  <w14:solidFill>
                    <w14:schemeClr w14:val="tx1"/>
                  </w14:solidFill>
                </w14:textFill>
              </w:rPr>
              <w:t>25</w:t>
            </w:r>
            <w:r>
              <w:rPr>
                <w:rFonts w:hint="eastAsia"/>
                <w:color w:val="000000" w:themeColor="text1"/>
                <w:kern w:val="0"/>
                <w:lang w:bidi="ar"/>
                <w14:textFill>
                  <w14:solidFill>
                    <w14:schemeClr w14:val="tx1"/>
                  </w14:solidFill>
                </w14:textFill>
              </w:rPr>
              <w:t>）排放限值要求。</w:t>
            </w:r>
          </w:p>
          <w:p w14:paraId="0D1BFB23">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为避免车辆运输噪声对沿途村民点的影响，要求运输车辆经过村民点时减速慢行；在经过沿线村庄时，应减缓车速、禁止鸣笛；合理安排运输时间。经采取以上措施后，项目运输噪声对沿途村庄的影响是可以接受的。</w:t>
            </w:r>
          </w:p>
          <w:p w14:paraId="057E319B">
            <w:pPr>
              <w:widowControl/>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3</w:t>
            </w:r>
            <w:r>
              <w:rPr>
                <w:rFonts w:hint="eastAsia"/>
                <w:b/>
                <w:bCs/>
                <w:color w:val="000000" w:themeColor="text1"/>
                <w:kern w:val="0"/>
                <w:lang w:bidi="ar"/>
                <w14:textFill>
                  <w14:solidFill>
                    <w14:schemeClr w14:val="tx1"/>
                  </w14:solidFill>
                </w14:textFill>
              </w:rPr>
              <w:t>）噪声控制措施</w:t>
            </w:r>
          </w:p>
          <w:p w14:paraId="5541AA26">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为减轻施工期对周围环境影响，项目施工期需注意采取以下措施：</w:t>
            </w:r>
          </w:p>
          <w:p w14:paraId="53295F6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①在符合施工需要的前提下，尽可能选取噪声低、振动小、能耗小的先进设备。加强对施工机械的维护保养，避免由于设备性能差而使机械噪声增大的现象发生，避免偶发噪声发生；</w:t>
            </w:r>
          </w:p>
          <w:p w14:paraId="753DC5F6">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②加快施工进度，合理安排施工时间；</w:t>
            </w:r>
          </w:p>
          <w:p w14:paraId="5DE05C8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③加强对施工人员的环境宣传和教育，使他们认真落实各项降噪措施，做到文明施工；</w:t>
            </w:r>
          </w:p>
          <w:p w14:paraId="0349E808">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④运输施工物资应注意合理安排施工物料运输时间；</w:t>
            </w:r>
          </w:p>
          <w:p w14:paraId="45573799">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⑤加强对施工场地的噪声管理，文明施工，做好区内交通组织，施工场地车辆出入现场时应低速、禁鸣，设立专人负责。</w:t>
            </w:r>
          </w:p>
          <w:p w14:paraId="3DFCC75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通过采取上述措施，将项目施工期施工机械噪声对周围环境的影响降至最低。随着项目施工结束，施工噪声污染将随之消失，在严格执行上述措施的前提下，项目施工噪声对周边环境产生的影响是可以接受的。</w:t>
            </w:r>
          </w:p>
          <w:p w14:paraId="25794960">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5、固体废弃物影响分析</w:t>
            </w:r>
          </w:p>
          <w:p w14:paraId="3900B4C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项目施工期固体废物主要为土石方、施工人员生活垃圾、沉淀池及渗滤液收集井沉渣、拆除工程产生的建筑垃圾。</w:t>
            </w:r>
          </w:p>
          <w:p w14:paraId="6B231186">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1）土石方</w:t>
            </w:r>
          </w:p>
          <w:p w14:paraId="3B643179">
            <w:pPr>
              <w:widowControl/>
              <w:ind w:firstLine="480"/>
              <w:jc w:val="left"/>
              <w:rPr>
                <w:color w:val="000000" w:themeColor="text1"/>
                <w:kern w:val="0"/>
                <w:lang w:bidi="ar"/>
                <w14:textFill>
                  <w14:solidFill>
                    <w14:schemeClr w14:val="tx1"/>
                  </w14:solidFill>
                </w14:textFill>
              </w:rPr>
            </w:pPr>
            <w:r>
              <w:rPr>
                <w:color w:val="000000" w:themeColor="text1"/>
                <w14:textFill>
                  <w14:solidFill>
                    <w14:schemeClr w14:val="tx1"/>
                  </w14:solidFill>
                </w14:textFill>
              </w:rPr>
              <w:t>在回填区底部进行防渗层</w:t>
            </w:r>
            <w:r>
              <w:rPr>
                <w:rFonts w:hint="eastAsia"/>
                <w:color w:val="000000" w:themeColor="text1"/>
                <w14:textFill>
                  <w14:solidFill>
                    <w14:schemeClr w14:val="tx1"/>
                  </w14:solidFill>
                </w14:textFill>
              </w:rPr>
              <w:t>铺设</w:t>
            </w:r>
            <w:r>
              <w:rPr>
                <w:color w:val="000000" w:themeColor="text1"/>
                <w14:textFill>
                  <w14:solidFill>
                    <w14:schemeClr w14:val="tx1"/>
                  </w14:solidFill>
                </w14:textFill>
              </w:rPr>
              <w:t>之前，</w:t>
            </w:r>
            <w:r>
              <w:rPr>
                <w:rFonts w:hint="eastAsia"/>
                <w:color w:val="000000" w:themeColor="text1"/>
                <w14:textFill>
                  <w14:solidFill>
                    <w14:schemeClr w14:val="tx1"/>
                  </w14:solidFill>
                </w14:textFill>
              </w:rPr>
              <w:t>必须对场内底部</w:t>
            </w:r>
            <w:r>
              <w:rPr>
                <w:color w:val="000000" w:themeColor="text1"/>
                <w14:textFill>
                  <w14:solidFill>
                    <w14:schemeClr w14:val="tx1"/>
                  </w14:solidFill>
                </w14:textFill>
              </w:rPr>
              <w:t>进行清理、压实</w:t>
            </w:r>
            <w:r>
              <w:rPr>
                <w:rFonts w:hint="eastAsia"/>
                <w:color w:val="000000" w:themeColor="text1"/>
                <w14:textFill>
                  <w14:solidFill>
                    <w14:schemeClr w14:val="tx1"/>
                  </w14:solidFill>
                </w14:textFill>
              </w:rPr>
              <w:t>、整平</w:t>
            </w:r>
            <w:r>
              <w:rPr>
                <w:color w:val="000000" w:themeColor="text1"/>
                <w14:textFill>
                  <w14:solidFill>
                    <w14:schemeClr w14:val="tx1"/>
                  </w14:solidFill>
                </w14:textFill>
              </w:rPr>
              <w:t>。</w:t>
            </w:r>
            <w:r>
              <w:rPr>
                <w:rFonts w:hint="eastAsia"/>
                <w:color w:val="000000" w:themeColor="text1"/>
                <w:kern w:val="0"/>
                <w:lang w:bidi="ar"/>
                <w14:textFill>
                  <w14:solidFill>
                    <w14:schemeClr w14:val="tx1"/>
                  </w14:solidFill>
                </w14:textFill>
              </w:rPr>
              <w:t>开挖产生的土石方、危岩清理的碎石用于矿坑底部压实，不设置弃渣场。</w:t>
            </w:r>
          </w:p>
          <w:p w14:paraId="1DCB8D0F">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2）生活垃圾</w:t>
            </w:r>
          </w:p>
          <w:p w14:paraId="24EF49D3">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项目施工人员均为当地人，施工高峰期人员约30人，不在施工现场食宿，施工人员生活垃圾产生量以每人每天</w:t>
            </w:r>
            <w:r>
              <w:rPr>
                <w:color w:val="000000" w:themeColor="text1"/>
                <w:kern w:val="0"/>
                <w:lang w:bidi="ar"/>
                <w14:textFill>
                  <w14:solidFill>
                    <w14:schemeClr w14:val="tx1"/>
                  </w14:solidFill>
                </w14:textFill>
              </w:rPr>
              <w:t>0.5kg</w:t>
            </w:r>
            <w:r>
              <w:rPr>
                <w:rFonts w:hint="eastAsia"/>
                <w:color w:val="000000" w:themeColor="text1"/>
                <w:kern w:val="0"/>
                <w:lang w:bidi="ar"/>
                <w14:textFill>
                  <w14:solidFill>
                    <w14:schemeClr w14:val="tx1"/>
                  </w14:solidFill>
                </w14:textFill>
              </w:rPr>
              <w:t>计，施工人员产生的生活垃圾约15</w:t>
            </w:r>
            <w:r>
              <w:rPr>
                <w:color w:val="000000" w:themeColor="text1"/>
                <w:kern w:val="0"/>
                <w:lang w:bidi="ar"/>
                <w14:textFill>
                  <w14:solidFill>
                    <w14:schemeClr w14:val="tx1"/>
                  </w14:solidFill>
                </w14:textFill>
              </w:rPr>
              <w:t>kg/d</w:t>
            </w:r>
            <w:r>
              <w:rPr>
                <w:rFonts w:hint="eastAsia"/>
                <w:color w:val="000000" w:themeColor="text1"/>
                <w:kern w:val="0"/>
                <w:lang w:bidi="ar"/>
                <w14:textFill>
                  <w14:solidFill>
                    <w14:schemeClr w14:val="tx1"/>
                  </w14:solidFill>
                </w14:textFill>
              </w:rPr>
              <w:t>。施工期施工人员生活垃圾经集中收集后清运至最近村庄垃圾收集点处置，由环卫部门清运。</w:t>
            </w:r>
          </w:p>
          <w:p w14:paraId="0AEFE12C">
            <w:pPr>
              <w:widowControl/>
              <w:ind w:firstLine="480"/>
              <w:rPr>
                <w:rFonts w:hint="default" w:eastAsia="宋体"/>
                <w:color w:val="000000" w:themeColor="text1"/>
                <w:lang w:val="en-US" w:eastAsia="zh-CN"/>
                <w14:textFill>
                  <w14:solidFill>
                    <w14:schemeClr w14:val="tx1"/>
                  </w14:solidFill>
                </w14:textFill>
              </w:rPr>
            </w:pPr>
            <w:r>
              <w:rPr>
                <w:rFonts w:hint="eastAsia"/>
                <w:color w:val="000000" w:themeColor="text1"/>
                <w:kern w:val="0"/>
                <w:lang w:bidi="ar"/>
                <w14:textFill>
                  <w14:solidFill>
                    <w14:schemeClr w14:val="tx1"/>
                  </w14:solidFill>
                </w14:textFill>
              </w:rPr>
              <w:t>施工人员粪便产生量按</w:t>
            </w:r>
            <w:r>
              <w:rPr>
                <w:color w:val="000000" w:themeColor="text1"/>
                <w:kern w:val="0"/>
                <w:lang w:bidi="ar"/>
                <w14:textFill>
                  <w14:solidFill>
                    <w14:schemeClr w14:val="tx1"/>
                  </w14:solidFill>
                </w14:textFill>
              </w:rPr>
              <w:t>0.25kg/</w:t>
            </w:r>
            <w:r>
              <w:rPr>
                <w:rFonts w:hint="eastAsia"/>
                <w:color w:val="000000" w:themeColor="text1"/>
                <w:kern w:val="0"/>
                <w:lang w:bidi="ar"/>
                <w14:textFill>
                  <w14:solidFill>
                    <w14:schemeClr w14:val="tx1"/>
                  </w14:solidFill>
                </w14:textFill>
              </w:rPr>
              <w:t>人</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天计算，产生粪便量共计7.5</w:t>
            </w:r>
            <w:r>
              <w:rPr>
                <w:color w:val="000000" w:themeColor="text1"/>
                <w:kern w:val="0"/>
                <w:lang w:bidi="ar"/>
                <w14:textFill>
                  <w14:solidFill>
                    <w14:schemeClr w14:val="tx1"/>
                  </w14:solidFill>
                </w14:textFill>
              </w:rPr>
              <w:t>kg/d</w:t>
            </w: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依托采石场原有已建旱厕</w:t>
            </w:r>
            <w:r>
              <w:rPr>
                <w:rFonts w:hint="eastAsia"/>
                <w:color w:val="000000" w:themeColor="text1"/>
                <w:kern w:val="0"/>
                <w:lang w:bidi="ar"/>
                <w14:textFill>
                  <w14:solidFill>
                    <w14:schemeClr w14:val="tx1"/>
                  </w14:solidFill>
                </w14:textFill>
              </w:rPr>
              <w:t>，旱厕</w:t>
            </w:r>
            <w:r>
              <w:rPr>
                <w:rFonts w:hint="eastAsia"/>
                <w:color w:val="000000" w:themeColor="text1"/>
                <w:kern w:val="0"/>
                <w:lang w:val="en-US" w:eastAsia="zh-CN" w:bidi="ar"/>
                <w14:textFill>
                  <w14:solidFill>
                    <w14:schemeClr w14:val="tx1"/>
                  </w14:solidFill>
                </w14:textFill>
              </w:rPr>
              <w:t>定期清掏肥田。</w:t>
            </w:r>
          </w:p>
          <w:p w14:paraId="2F9E0D55">
            <w:pPr>
              <w:widowControl/>
              <w:ind w:firstLine="482"/>
              <w:rPr>
                <w:b/>
                <w:bCs/>
                <w:color w:val="000000" w:themeColor="text1"/>
                <w14:textFill>
                  <w14:solidFill>
                    <w14:schemeClr w14:val="tx1"/>
                  </w14:solidFill>
                </w14:textFill>
              </w:rPr>
            </w:pPr>
            <w:r>
              <w:rPr>
                <w:b/>
                <w:bCs/>
                <w:color w:val="000000" w:themeColor="text1"/>
                <w:kern w:val="0"/>
                <w:lang w:bidi="ar"/>
                <w14:textFill>
                  <w14:solidFill>
                    <w14:schemeClr w14:val="tx1"/>
                  </w14:solidFill>
                </w14:textFill>
              </w:rPr>
              <w:t>3</w:t>
            </w:r>
            <w:r>
              <w:rPr>
                <w:rFonts w:hint="eastAsia"/>
                <w:b/>
                <w:bCs/>
                <w:color w:val="000000" w:themeColor="text1"/>
                <w:kern w:val="0"/>
                <w:lang w:bidi="ar"/>
                <w14:textFill>
                  <w14:solidFill>
                    <w14:schemeClr w14:val="tx1"/>
                  </w14:solidFill>
                </w14:textFill>
              </w:rPr>
              <w:t>）临时沉淀池及渗滤液收集井沉渣</w:t>
            </w:r>
          </w:p>
          <w:p w14:paraId="5D72402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临时沉淀池及渗滤液收集井的沉渣，定期进行清理，清理出来的污泥约</w:t>
            </w:r>
            <w:r>
              <w:rPr>
                <w:color w:val="000000" w:themeColor="text1"/>
                <w:kern w:val="0"/>
                <w:lang w:bidi="ar"/>
                <w14:textFill>
                  <w14:solidFill>
                    <w14:schemeClr w14:val="tx1"/>
                  </w14:solidFill>
                </w14:textFill>
              </w:rPr>
              <w:t>3t/a</w:t>
            </w:r>
            <w:r>
              <w:rPr>
                <w:rFonts w:hint="eastAsia"/>
                <w:color w:val="000000" w:themeColor="text1"/>
                <w:kern w:val="0"/>
                <w:lang w:bidi="ar"/>
                <w14:textFill>
                  <w14:solidFill>
                    <w14:schemeClr w14:val="tx1"/>
                  </w14:solidFill>
                </w14:textFill>
              </w:rPr>
              <w:t>，装袋沥水晾干后用于回填区回填。</w:t>
            </w:r>
          </w:p>
          <w:p w14:paraId="1E576006">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6、土壤影响分析</w:t>
            </w:r>
          </w:p>
          <w:p w14:paraId="190B862C">
            <w:pPr>
              <w:widowControl/>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bidi="ar"/>
                <w14:textFill>
                  <w14:solidFill>
                    <w14:schemeClr w14:val="tx1"/>
                  </w14:solidFill>
                </w14:textFill>
              </w:rPr>
              <w:t>）影响途径</w:t>
            </w:r>
          </w:p>
          <w:p w14:paraId="6A26FE1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项目为矿山生态修复，对土壤主要影响表现为：</w:t>
            </w:r>
          </w:p>
          <w:p w14:paraId="74EF2D8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①项目施工期产生的粉尘沉降对周边土壤的影响。</w:t>
            </w:r>
          </w:p>
          <w:p w14:paraId="16B22DB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②施工期渗滤液发生泄漏，渗滤液中氟化物会造成土壤中氟化物升高，对土壤造成污染。</w:t>
            </w:r>
          </w:p>
          <w:p w14:paraId="4C91B78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③回填生态修复材料对区域土壤的影响。生态修复材料类别与区域的差异造成当地原有土壤理化特性的变化。</w:t>
            </w:r>
          </w:p>
          <w:p w14:paraId="0D3B7AC9">
            <w:pPr>
              <w:widowControl/>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2</w:t>
            </w:r>
            <w:r>
              <w:rPr>
                <w:rFonts w:hint="eastAsia"/>
                <w:b/>
                <w:bCs/>
                <w:color w:val="000000" w:themeColor="text1"/>
                <w:kern w:val="0"/>
                <w:lang w:bidi="ar"/>
                <w14:textFill>
                  <w14:solidFill>
                    <w14:schemeClr w14:val="tx1"/>
                  </w14:solidFill>
                </w14:textFill>
              </w:rPr>
              <w:t>）土壤影响分析</w:t>
            </w:r>
          </w:p>
          <w:p w14:paraId="3DE22D5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渗滤液收集井采用混凝土浇灌地埋形式，池底及四周均采用</w:t>
            </w:r>
            <w:r>
              <w:rPr>
                <w:color w:val="000000" w:themeColor="text1"/>
                <w:kern w:val="0"/>
                <w:lang w:bidi="ar"/>
                <w14:textFill>
                  <w14:solidFill>
                    <w14:schemeClr w14:val="tx1"/>
                  </w14:solidFill>
                </w14:textFill>
              </w:rPr>
              <w:t>15m</w:t>
            </w:r>
            <w:r>
              <w:rPr>
                <w:rFonts w:hint="eastAsia"/>
                <w:color w:val="000000" w:themeColor="text1"/>
                <w:kern w:val="0"/>
                <w:lang w:bidi="ar"/>
                <w14:textFill>
                  <w14:solidFill>
                    <w14:schemeClr w14:val="tx1"/>
                  </w14:solidFill>
                </w14:textFill>
              </w:rPr>
              <w:t>m厚的混合砂浆保护层、顶面为</w:t>
            </w:r>
            <w:r>
              <w:rPr>
                <w:color w:val="000000" w:themeColor="text1"/>
                <w:kern w:val="0"/>
                <w:lang w:bidi="ar"/>
                <w14:textFill>
                  <w14:solidFill>
                    <w14:schemeClr w14:val="tx1"/>
                  </w14:solidFill>
                </w14:textFill>
              </w:rPr>
              <w:t>120mm</w:t>
            </w:r>
            <w:r>
              <w:rPr>
                <w:rFonts w:hint="eastAsia"/>
                <w:color w:val="000000" w:themeColor="text1"/>
                <w:kern w:val="0"/>
                <w:lang w:bidi="ar"/>
                <w14:textFill>
                  <w14:solidFill>
                    <w14:schemeClr w14:val="tx1"/>
                  </w14:solidFill>
                </w14:textFill>
              </w:rPr>
              <w:t>厚钢筋混凝土盖，定期检查发现开裂及时修复，渗滤液及时抽排。正常情况下，回填区域渗滤液泄漏的概率很低。</w:t>
            </w:r>
          </w:p>
          <w:p w14:paraId="28F21E8D">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环评要求回填的改性磷石膏需达到《改性磷石膏用于矿山废弃地生态修复回填技术规范》（DB53/T1269-2024）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中标准要求后，才允许入场回填；在施工过程中严格按照回填方案进行施工，渗滤液收集于渗滤液收集井内。且项目区施工过程严格落实防渗措施，对回填区采取两布一膜防渗，确保防渗要求达到《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要求。</w:t>
            </w:r>
          </w:p>
          <w:p w14:paraId="6B8AC6A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在采取以上措施后，区域渗滤液泄漏的概率很低，引起土壤酸化的可能性不大，对土壤环境的影响较小。</w:t>
            </w:r>
          </w:p>
          <w:p w14:paraId="45F52202">
            <w:pPr>
              <w:ind w:firstLine="480"/>
              <w:rPr>
                <w:b/>
                <w:bCs/>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项目实施后，林草植被覆盖率的增加，能改善土壤物理、化学性状，提高土壤肥力，项目实施对该区域土壤结构改善有积极意义</w:t>
            </w:r>
            <w:r>
              <w:rPr>
                <w:rFonts w:hint="eastAsia"/>
                <w:color w:val="000000" w:themeColor="text1"/>
                <w14:textFill>
                  <w14:solidFill>
                    <w14:schemeClr w14:val="tx1"/>
                  </w14:solidFill>
                </w14:textFill>
              </w:rPr>
              <w:t>。</w:t>
            </w:r>
          </w:p>
          <w:p w14:paraId="68267912">
            <w:pPr>
              <w:numPr>
                <w:ilvl w:val="0"/>
                <w:numId w:val="9"/>
              </w:numPr>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土壤环境保护措施</w:t>
            </w:r>
          </w:p>
          <w:p w14:paraId="26FF9948">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①渗滤液收集</w:t>
            </w:r>
            <w:r>
              <w:rPr>
                <w:rFonts w:hint="eastAsia"/>
                <w:color w:val="000000" w:themeColor="text1"/>
                <w:kern w:val="0"/>
                <w:lang w:val="en-US" w:eastAsia="zh-CN" w:bidi="ar"/>
                <w14:textFill>
                  <w14:solidFill>
                    <w14:schemeClr w14:val="tx1"/>
                  </w14:solidFill>
                </w14:textFill>
              </w:rPr>
              <w:t>池</w:t>
            </w:r>
            <w:r>
              <w:rPr>
                <w:rFonts w:hint="eastAsia"/>
                <w:color w:val="000000" w:themeColor="text1"/>
                <w:kern w:val="0"/>
                <w:lang w:bidi="ar"/>
                <w14:textFill>
                  <w14:solidFill>
                    <w14:schemeClr w14:val="tx1"/>
                  </w14:solidFill>
                </w14:textFill>
              </w:rPr>
              <w:t>采用混凝土浇灌地埋形式，池底及四周均采用</w:t>
            </w:r>
            <w:r>
              <w:rPr>
                <w:color w:val="000000" w:themeColor="text1"/>
                <w:kern w:val="0"/>
                <w:lang w:bidi="ar"/>
                <w14:textFill>
                  <w14:solidFill>
                    <w14:schemeClr w14:val="tx1"/>
                  </w14:solidFill>
                </w14:textFill>
              </w:rPr>
              <w:t>15m</w:t>
            </w:r>
            <w:r>
              <w:rPr>
                <w:rFonts w:hint="eastAsia"/>
                <w:color w:val="000000" w:themeColor="text1"/>
                <w:kern w:val="0"/>
                <w:lang w:bidi="ar"/>
                <w14:textFill>
                  <w14:solidFill>
                    <w14:schemeClr w14:val="tx1"/>
                  </w14:solidFill>
                </w14:textFill>
              </w:rPr>
              <w:t>m厚的混合砂浆保护层、顶面为</w:t>
            </w:r>
            <w:r>
              <w:rPr>
                <w:color w:val="000000" w:themeColor="text1"/>
                <w:kern w:val="0"/>
                <w:lang w:bidi="ar"/>
                <w14:textFill>
                  <w14:solidFill>
                    <w14:schemeClr w14:val="tx1"/>
                  </w14:solidFill>
                </w14:textFill>
              </w:rPr>
              <w:t>120mm</w:t>
            </w:r>
            <w:r>
              <w:rPr>
                <w:rFonts w:hint="eastAsia"/>
                <w:color w:val="000000" w:themeColor="text1"/>
                <w:kern w:val="0"/>
                <w:lang w:bidi="ar"/>
                <w14:textFill>
                  <w14:solidFill>
                    <w14:schemeClr w14:val="tx1"/>
                  </w14:solidFill>
                </w14:textFill>
              </w:rPr>
              <w:t>厚钢筋混凝土盖，定期检查发现开裂及时修复，渗滤液及时抽排。</w:t>
            </w:r>
          </w:p>
          <w:p w14:paraId="36A82EA8">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②回填修复区采用按照设计规范进行防渗，避免渗滤液泄漏下渗对土壤环境产生影响。</w:t>
            </w:r>
          </w:p>
          <w:p w14:paraId="6D12B227">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③矿山修复材料应满足《改性磷石膏用于矿山废弃地生态修复回填技术规范》（DB53/T1269-2024）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中标准要求后，才允许入场回填。</w:t>
            </w:r>
          </w:p>
          <w:p w14:paraId="01497B2E">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④在施工过程中严格按照回填方案进行施工，渗滤液收集于渗滤液</w:t>
            </w:r>
            <w:r>
              <w:rPr>
                <w:rFonts w:hint="eastAsia"/>
                <w:color w:val="000000" w:themeColor="text1"/>
                <w:kern w:val="0"/>
                <w:lang w:val="en-US" w:eastAsia="zh-CN" w:bidi="ar"/>
                <w14:textFill>
                  <w14:solidFill>
                    <w14:schemeClr w14:val="tx1"/>
                  </w14:solidFill>
                </w14:textFill>
              </w:rPr>
              <w:t>收集池</w:t>
            </w:r>
            <w:r>
              <w:rPr>
                <w:rFonts w:hint="eastAsia"/>
                <w:color w:val="000000" w:themeColor="text1"/>
                <w:kern w:val="0"/>
                <w:lang w:bidi="ar"/>
                <w14:textFill>
                  <w14:solidFill>
                    <w14:schemeClr w14:val="tx1"/>
                  </w14:solidFill>
                </w14:textFill>
              </w:rPr>
              <w:t>内，用于回填区洒水降尘。</w:t>
            </w:r>
          </w:p>
          <w:p w14:paraId="7B0754AC">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⑤对每批次覆土成分进行监测，确保覆土满足《土壤环境质量农用地土壤污染风险管控标准（试行）》（</w:t>
            </w:r>
            <w:r>
              <w:rPr>
                <w:color w:val="000000" w:themeColor="text1"/>
                <w:kern w:val="0"/>
                <w:lang w:bidi="ar"/>
                <w14:textFill>
                  <w14:solidFill>
                    <w14:schemeClr w14:val="tx1"/>
                  </w14:solidFill>
                </w14:textFill>
              </w:rPr>
              <w:t>GB</w:t>
            </w:r>
            <w:r>
              <w:rPr>
                <w:rFonts w:hint="eastAsia"/>
                <w:color w:val="000000" w:themeColor="text1"/>
                <w:kern w:val="0"/>
                <w:lang w:bidi="ar"/>
                <w14:textFill>
                  <w14:solidFill>
                    <w14:schemeClr w14:val="tx1"/>
                  </w14:solidFill>
                </w14:textFill>
              </w:rPr>
              <w:t>15618</w:t>
            </w:r>
            <w:r>
              <w:rPr>
                <w:color w:val="000000" w:themeColor="text1"/>
                <w:kern w:val="0"/>
                <w:lang w:bidi="ar"/>
                <w14:textFill>
                  <w14:solidFill>
                    <w14:schemeClr w14:val="tx1"/>
                  </w14:solidFill>
                </w14:textFill>
              </w:rPr>
              <w:t>-2018</w:t>
            </w:r>
            <w:r>
              <w:rPr>
                <w:rFonts w:hint="eastAsia"/>
                <w:color w:val="000000" w:themeColor="text1"/>
                <w:kern w:val="0"/>
                <w:lang w:bidi="ar"/>
                <w14:textFill>
                  <w14:solidFill>
                    <w14:schemeClr w14:val="tx1"/>
                  </w14:solidFill>
                </w14:textFill>
              </w:rPr>
              <w:t>）的要求才可进行使用，土地复垦实施过程应满足《土地复垦质量控制标准》（TD/T 1036）规定的相关土地复垦质量控制要求。</w:t>
            </w:r>
          </w:p>
          <w:p w14:paraId="634836D4">
            <w:pPr>
              <w:adjustRightInd w:val="0"/>
              <w:snapToGrid w:val="0"/>
              <w:ind w:firstLine="480"/>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⑦项目区施工过程需严格落实防渗措施。</w:t>
            </w:r>
          </w:p>
          <w:p w14:paraId="521B479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库底防渗：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库底整平压实基础层&lt;地下水导排盲沟在其中&gt;+300mm厚粘土层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土工布+1.5mmHDPE单糙面防渗膜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土工布；（4）改性磷石膏填料回填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718DC2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内边坡防渗：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边坡清理整平层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1.5mm 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72051F7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顶部防渗：</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回填材料压实整平</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膜下排气管</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1.5mm HDPE双糙面防渗膜</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400mm厚阻隔支撑层填土&lt;碎石盲沟排水网格布设其中&gt;</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600mm厚土壤覆盖层；顶部防渗应与矿坑内边坡膜搭接。</w:t>
            </w:r>
          </w:p>
          <w:p w14:paraId="7C5CDE7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000000" w:themeColor="text1"/>
                <w:kern w:val="0"/>
                <w:sz w:val="24"/>
                <w:szCs w:val="24"/>
                <w:lang w:eastAsia="zh-CN"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拦挡坝体内坡防渗结构防渗：</w:t>
            </w:r>
            <w:r>
              <w:rPr>
                <w:rFonts w:hint="default" w:ascii="Times New Roman" w:hAnsi="Times New Roman" w:eastAsia="宋体" w:cs="Times New Roman"/>
                <w:color w:val="000000" w:themeColor="text1"/>
                <w:sz w:val="24"/>
                <w:szCs w:val="24"/>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1CF66D5">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7、环境风险分析</w:t>
            </w:r>
          </w:p>
          <w:p w14:paraId="5CA8A68F">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（1）环境风险源调查</w:t>
            </w:r>
          </w:p>
          <w:p w14:paraId="4D0AAA18">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1）项目修复材料回填施工期环境风险源调查</w:t>
            </w:r>
          </w:p>
          <w:p w14:paraId="2D2C3502">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①渗滤液进入地下水，造成地下水的污染风险；</w:t>
            </w:r>
          </w:p>
          <w:p w14:paraId="13FA62D9">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②回填体滑坡、垮塌对下游植被、耕地、土壤造成一定的环境风险；</w:t>
            </w:r>
          </w:p>
          <w:p w14:paraId="07AEDF80">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③磷石膏生态修复材料改性不达标，造成地下水的污染风险；</w:t>
            </w:r>
          </w:p>
          <w:p w14:paraId="5AC0DB9C">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④磷石膏车辆运输过程因包装密封不严出现抛洒而使废物散落，交通事故（车祸），对周边环境造成一定的环境风险。</w:t>
            </w:r>
          </w:p>
          <w:p w14:paraId="33B5CCA9">
            <w:pPr>
              <w:widowControl/>
              <w:adjustRightInd w:val="0"/>
              <w:ind w:firstLine="480"/>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2）项目绿化覆土施工过程环境风险源调查</w:t>
            </w:r>
          </w:p>
          <w:p w14:paraId="607932D4">
            <w:pPr>
              <w:spacing w:line="360" w:lineRule="auto"/>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项目改性磷石膏材料堆存结束后需在顶部进行防渗，防渗结束开始覆土工程，</w:t>
            </w:r>
            <w:r>
              <w:rPr>
                <w:rFonts w:hint="default" w:ascii="Times New Roman" w:hAnsi="Times New Roman" w:cs="Times New Roman"/>
                <w:color w:val="000000" w:themeColor="text1"/>
                <w:sz w:val="24"/>
                <w14:textFill>
                  <w14:solidFill>
                    <w14:schemeClr w14:val="tx1"/>
                  </w14:solidFill>
                </w14:textFill>
              </w:rPr>
              <w:t>回填区有防渗层的位置先覆0.4m厚支撑土层，再覆耕植土0.6m。其他无防渗层区域一般覆土厚度为自然沉实土壤≥0.5m。</w:t>
            </w:r>
            <w:r>
              <w:rPr>
                <w:rFonts w:hint="default" w:ascii="Times New Roman" w:hAnsi="Times New Roman" w:cs="Times New Roman"/>
                <w:color w:val="000000" w:themeColor="text1"/>
                <w14:textFill>
                  <w14:solidFill>
                    <w14:schemeClr w14:val="tx1"/>
                  </w14:solidFill>
                </w14:textFill>
              </w:rPr>
              <w:t>覆土过程可能会由于施工失误导致防渗层破损，进而导致渗滤液泄露至外环境。</w:t>
            </w:r>
          </w:p>
          <w:p w14:paraId="249FDB24">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（2）环境风险分析</w:t>
            </w:r>
          </w:p>
          <w:p w14:paraId="23A6ABAD">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1）项目修复材料回填施工期环境风险分析</w:t>
            </w:r>
          </w:p>
          <w:p w14:paraId="4C14DD25">
            <w:pPr>
              <w:widowControl/>
              <w:adjustRightInd w:val="0"/>
              <w:snapToGrid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①</w:t>
            </w:r>
            <w:r>
              <w:rPr>
                <w:rFonts w:hint="eastAsia"/>
                <w:color w:val="000000" w:themeColor="text1"/>
                <w:kern w:val="0"/>
                <w:lang w:bidi="ar"/>
                <w14:textFill>
                  <w14:solidFill>
                    <w14:schemeClr w14:val="tx1"/>
                  </w14:solidFill>
                </w14:textFill>
              </w:rPr>
              <w:t>土壤环境风险</w:t>
            </w:r>
          </w:p>
          <w:p w14:paraId="5774B15A">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w:t>
            </w:r>
            <w:r>
              <w:rPr>
                <w:rFonts w:hint="eastAsia"/>
                <w:color w:val="000000" w:themeColor="text1"/>
                <w:kern w:val="0"/>
                <w:lang w:eastAsia="zh-CN" w:bidi="ar"/>
                <w14:textFill>
                  <w14:solidFill>
                    <w14:schemeClr w14:val="tx1"/>
                  </w14:solidFill>
                </w14:textFill>
              </w:rPr>
              <w:t>寻甸县常青树磷石膏库综合治理项目（塘子镇钟灵村委会令友采石场生态修复工程）</w:t>
            </w:r>
            <w:r>
              <w:rPr>
                <w:rFonts w:hint="eastAsia"/>
                <w:color w:val="000000" w:themeColor="text1"/>
                <w:kern w:val="0"/>
                <w:lang w:bidi="ar"/>
                <w14:textFill>
                  <w14:solidFill>
                    <w14:schemeClr w14:val="tx1"/>
                  </w14:solidFill>
                </w14:textFill>
              </w:rPr>
              <w:t>》，本项目</w:t>
            </w:r>
            <w:r>
              <w:rPr>
                <w:rFonts w:hint="eastAsia"/>
                <w:color w:val="000000" w:themeColor="text1"/>
                <w14:textFill>
                  <w14:solidFill>
                    <w14:schemeClr w14:val="tx1"/>
                  </w14:solidFill>
                </w14:textFill>
              </w:rPr>
              <w:t>对土壤主要影响表现为：</w:t>
            </w:r>
          </w:p>
          <w:p w14:paraId="32C4AC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a.项目施工期产生的粉尘沉降、机械维修废机油对周边土壤的影响。</w:t>
            </w:r>
          </w:p>
          <w:p w14:paraId="3E1B80EC">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rFonts w:hint="eastAsia"/>
                <w:color w:val="000000" w:themeColor="text1"/>
                <w:kern w:val="0"/>
                <w:lang w:bidi="ar"/>
                <w14:textFill>
                  <w14:solidFill>
                    <w14:schemeClr w14:val="tx1"/>
                  </w14:solidFill>
                </w14:textFill>
              </w:rPr>
              <w:t>施工期如渗滤液发生泄漏，渗滤液中氟化物会造成土壤中氟化物升高，对土壤造成污染。</w:t>
            </w:r>
          </w:p>
          <w:p w14:paraId="402DBB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c.回填生态修复材料对区域土壤的影响。生态修复材料类别与区域的差异造成当地原有土壤理化特性的变化。</w:t>
            </w:r>
          </w:p>
          <w:p w14:paraId="35780D9C">
            <w:pPr>
              <w:widowControl/>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针对以上影响，项目防渗工程按照《改性磷石膏用于矿山废弃地生态修复回填技术规范》（DB53/T1269-2024）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14:textFill>
                  <w14:solidFill>
                    <w14:schemeClr w14:val="tx1"/>
                  </w14:solidFill>
                </w14:textFill>
              </w:rPr>
              <w:t>要求进行；</w:t>
            </w:r>
          </w:p>
          <w:p w14:paraId="6B10D5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根据项目设计参照磷石膏堆存防渗要求对矿坑场底及岸坡进行全防渗处置。</w:t>
            </w:r>
          </w:p>
          <w:p w14:paraId="34E34BB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库底防渗：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库底整平压实基础层&lt;地下水导排盲沟在其中&gt;+300mm厚粘土层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土工布+1.5mmHDPE单糙面防渗膜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土工布；（4）改性磷石膏填料回填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6F10FF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内边坡防渗：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边坡清理整平层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1.5mm 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35510F7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顶部防渗：</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回填材料压实整平</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膜下排气管</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1.5mm HDPE双糙面防渗膜</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400mm厚阻隔支撑层填土&lt;碎石盲沟排水网格布设其中&gt;</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600mm厚土壤覆盖层；顶部防渗应与矿坑内边坡防渗膜搭接。</w:t>
            </w:r>
          </w:p>
          <w:p w14:paraId="369767A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000000" w:themeColor="text1"/>
                <w:kern w:val="0"/>
                <w:sz w:val="24"/>
                <w:szCs w:val="24"/>
                <w:lang w:eastAsia="zh-CN"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拦挡坝体内坡防渗结构防渗：</w:t>
            </w:r>
            <w:r>
              <w:rPr>
                <w:rFonts w:hint="default" w:ascii="Times New Roman" w:hAnsi="Times New Roman" w:eastAsia="宋体" w:cs="Times New Roman"/>
                <w:color w:val="000000" w:themeColor="text1"/>
                <w:sz w:val="24"/>
                <w:szCs w:val="24"/>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9AEE4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通过设置人工防渗系统将场地基底及岸坡与磷石膏基新型材料产品完全隔离，以达到防渗要求。</w:t>
            </w:r>
            <w:r>
              <w:rPr>
                <w:rFonts w:hint="eastAsia"/>
                <w:color w:val="000000" w:themeColor="text1"/>
                <w14:textFill>
                  <w14:solidFill>
                    <w14:schemeClr w14:val="tx1"/>
                  </w14:solidFill>
                </w14:textFill>
              </w:rPr>
              <w:t>避免</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泄漏下渗对土壤环境产生影响。本项目在</w:t>
            </w:r>
            <w:r>
              <w:rPr>
                <w:rFonts w:hint="eastAsia"/>
                <w:color w:val="000000" w:themeColor="text1"/>
                <w:lang w:val="en-US" w:eastAsia="zh-CN"/>
                <w14:textFill>
                  <w14:solidFill>
                    <w14:schemeClr w14:val="tx1"/>
                  </w14:solidFill>
                </w14:textFill>
              </w:rPr>
              <w:t>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800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渗滤液收集池</w:t>
            </w:r>
            <w:r>
              <w:rPr>
                <w:rFonts w:hint="eastAsia"/>
                <w:color w:val="000000" w:themeColor="text1"/>
                <w14:textFill>
                  <w14:solidFill>
                    <w14:schemeClr w14:val="tx1"/>
                  </w14:solidFill>
                </w14:textFill>
              </w:rPr>
              <w:t>，采用C20混凝土浇筑，井底浇筑前先铺设C15素混凝土垫。定期检查及时修复，</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及时抽排。正常情况下，回填区域</w:t>
            </w:r>
            <w:r>
              <w:rPr>
                <w:rFonts w:hint="eastAsia"/>
                <w:color w:val="000000" w:themeColor="text1"/>
                <w:kern w:val="0"/>
                <w:lang w:bidi="ar"/>
                <w14:textFill>
                  <w14:solidFill>
                    <w14:schemeClr w14:val="tx1"/>
                  </w14:solidFill>
                </w14:textFill>
              </w:rPr>
              <w:t>渗滤液泄漏</w:t>
            </w:r>
            <w:r>
              <w:rPr>
                <w:rFonts w:hint="eastAsia"/>
                <w:color w:val="000000" w:themeColor="text1"/>
                <w14:textFill>
                  <w14:solidFill>
                    <w14:schemeClr w14:val="tx1"/>
                  </w14:solidFill>
                </w14:textFill>
              </w:rPr>
              <w:t>的概率很低。根据改性后磷石膏污染物含量分析</w:t>
            </w:r>
            <w:r>
              <w:rPr>
                <w:rFonts w:hint="eastAsia"/>
                <w:color w:val="000000" w:themeColor="text1"/>
                <w:kern w:val="0"/>
                <w:szCs w:val="21"/>
                <w14:textFill>
                  <w14:solidFill>
                    <w14:schemeClr w14:val="tx1"/>
                  </w14:solidFill>
                </w14:textFill>
              </w:rPr>
              <w:t>本项目使用的改性磷石膏渗滤液满足《污水综合排放标准》（</w:t>
            </w:r>
            <w:r>
              <w:rPr>
                <w:color w:val="000000" w:themeColor="text1"/>
                <w:kern w:val="0"/>
                <w:szCs w:val="21"/>
                <w14:textFill>
                  <w14:solidFill>
                    <w14:schemeClr w14:val="tx1"/>
                  </w14:solidFill>
                </w14:textFill>
              </w:rPr>
              <w:t>GB8978-1996</w:t>
            </w:r>
            <w:r>
              <w:rPr>
                <w:rFonts w:hint="eastAsia"/>
                <w:color w:val="000000" w:themeColor="text1"/>
                <w:kern w:val="0"/>
                <w:szCs w:val="21"/>
                <w14:textFill>
                  <w14:solidFill>
                    <w14:schemeClr w14:val="tx1"/>
                  </w14:solidFill>
                </w14:textFill>
              </w:rPr>
              <w:t>）一级标准，项目使用的改性磷石膏回填材料为符合相关规范要求。</w:t>
            </w:r>
            <w:r>
              <w:rPr>
                <w:rFonts w:hint="eastAsia"/>
                <w:color w:val="000000" w:themeColor="text1"/>
                <w14:textFill>
                  <w14:solidFill>
                    <w14:schemeClr w14:val="tx1"/>
                  </w14:solidFill>
                </w14:textFill>
              </w:rPr>
              <w:t>项目建设对修复区土壤环境影响不大。</w:t>
            </w:r>
          </w:p>
          <w:p w14:paraId="258D539D">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如施工机械发生损坏需检修时，要确保因检修产生的废机油得到合理收集处置，不可随意堆放、处置，堆放位置需防雨、防渗。对运输车辆采取覆盖措施，落实洒水抑尘等施工扬尘控制措施，减少回填无害化处理后的改性磷石膏泼洒，沉降进入土壤环境，减缓对土壤环境的影响。</w:t>
            </w:r>
          </w:p>
          <w:p w14:paraId="39CD6329">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项目回填区改性磷石膏生态修复材料按照HJ557规定方法制备改性磷石膏浸出液中任何一种特征污染物浓度均不应超过GB 8978最高允许排放浓度（第二类污染物最高允许排放浓度按照一级标准执行）。项目为废弃矿坑生态修复项目，修复区域恢复为林地、旱地，耕植土</w:t>
            </w:r>
            <w:r>
              <w:rPr>
                <w:rFonts w:hint="eastAsia"/>
                <w:color w:val="000000" w:themeColor="text1"/>
                <w:kern w:val="0"/>
                <w:lang w:val="en-US" w:eastAsia="zh-CN" w:bidi="ar"/>
                <w14:textFill>
                  <w14:solidFill>
                    <w14:schemeClr w14:val="tx1"/>
                  </w14:solidFill>
                </w14:textFill>
              </w:rPr>
              <w:t>均</w:t>
            </w:r>
            <w:r>
              <w:rPr>
                <w:rFonts w:hint="eastAsia"/>
                <w:color w:val="000000" w:themeColor="text1"/>
                <w:kern w:val="0"/>
                <w:lang w:bidi="ar"/>
                <w14:textFill>
                  <w14:solidFill>
                    <w14:schemeClr w14:val="tx1"/>
                  </w14:solidFill>
                </w14:textFill>
              </w:rPr>
              <w:t>外购，外购耕植土满足《土壤环境质量农用地土壤污染风险管控标准（试行）》（</w:t>
            </w:r>
            <w:r>
              <w:rPr>
                <w:color w:val="000000" w:themeColor="text1"/>
                <w:kern w:val="0"/>
                <w:lang w:bidi="ar"/>
                <w14:textFill>
                  <w14:solidFill>
                    <w14:schemeClr w14:val="tx1"/>
                  </w14:solidFill>
                </w14:textFill>
              </w:rPr>
              <w:t>GB15618-2018</w:t>
            </w:r>
            <w:r>
              <w:rPr>
                <w:rFonts w:hint="eastAsia"/>
                <w:color w:val="000000" w:themeColor="text1"/>
                <w:kern w:val="0"/>
                <w:lang w:bidi="ar"/>
                <w14:textFill>
                  <w14:solidFill>
                    <w14:schemeClr w14:val="tx1"/>
                  </w14:solidFill>
                </w14:textFill>
              </w:rPr>
              <w:t>），修复完成后开展土壤跟踪监测，每1年开展一次土壤环境质量跟踪监测。</w:t>
            </w:r>
          </w:p>
          <w:p w14:paraId="1761ED6B">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综上，在采取以上措施后，项目</w:t>
            </w:r>
            <w:r>
              <w:rPr>
                <w:rFonts w:hint="eastAsia"/>
                <w:color w:val="000000" w:themeColor="text1"/>
                <w14:textFill>
                  <w14:solidFill>
                    <w14:schemeClr w14:val="tx1"/>
                  </w14:solidFill>
                </w14:textFill>
              </w:rPr>
              <w:t>渗滤液泄漏</w:t>
            </w:r>
            <w:r>
              <w:rPr>
                <w:rFonts w:hint="eastAsia"/>
                <w:color w:val="000000" w:themeColor="text1"/>
                <w:kern w:val="0"/>
                <w:lang w:bidi="ar"/>
                <w14:textFill>
                  <w14:solidFill>
                    <w14:schemeClr w14:val="tx1"/>
                  </w14:solidFill>
                </w14:textFill>
              </w:rPr>
              <w:t>的概率很低，对引起土壤氟化物污染的可能性不大，对土壤的影响不大。项目实施后，林草植被覆盖率的增加，能改善土壤物理、化学性状，提高土壤肥力，项目实施对该区域土壤结构改善有积极意义。</w:t>
            </w:r>
          </w:p>
          <w:p w14:paraId="22DDED53">
            <w:pPr>
              <w:widowControl/>
              <w:adjustRightInd w:val="0"/>
              <w:snapToGrid w:val="0"/>
              <w:ind w:firstLine="480"/>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②地表水环境风险</w:t>
            </w:r>
          </w:p>
          <w:p w14:paraId="36E65F9F">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w:t>
            </w:r>
            <w:r>
              <w:rPr>
                <w:rFonts w:hint="eastAsia"/>
                <w:color w:val="000000" w:themeColor="text1"/>
                <w:kern w:val="0"/>
                <w:lang w:eastAsia="zh-CN" w:bidi="ar"/>
                <w14:textFill>
                  <w14:solidFill>
                    <w14:schemeClr w14:val="tx1"/>
                  </w14:solidFill>
                </w14:textFill>
              </w:rPr>
              <w:t>寻甸县常青树磷石膏库综合治理项目（塘子镇钟灵村委会令友采石场生态修复工程）</w:t>
            </w:r>
            <w:r>
              <w:rPr>
                <w:rFonts w:hint="eastAsia"/>
                <w:color w:val="000000" w:themeColor="text1"/>
                <w:kern w:val="0"/>
                <w:lang w:bidi="ar"/>
                <w14:textFill>
                  <w14:solidFill>
                    <w14:schemeClr w14:val="tx1"/>
                  </w14:solidFill>
                </w14:textFill>
              </w:rPr>
              <w:t>》，主要考虑项目渗滤液非正常情况下泄漏到</w:t>
            </w:r>
            <w:r>
              <w:rPr>
                <w:rFonts w:hint="eastAsia"/>
                <w:color w:val="000000" w:themeColor="text1"/>
                <w:kern w:val="0"/>
                <w:lang w:val="en-US" w:eastAsia="zh-CN" w:bidi="ar"/>
                <w14:textFill>
                  <w14:solidFill>
                    <w14:schemeClr w14:val="tx1"/>
                  </w14:solidFill>
                </w14:textFill>
              </w:rPr>
              <w:t>龙潭河</w:t>
            </w:r>
            <w:r>
              <w:rPr>
                <w:rFonts w:hint="eastAsia"/>
                <w:color w:val="000000" w:themeColor="text1"/>
                <w:kern w:val="0"/>
                <w:lang w:bidi="ar"/>
                <w14:textFill>
                  <w14:solidFill>
                    <w14:schemeClr w14:val="tx1"/>
                  </w14:solidFill>
                </w14:textFill>
              </w:rPr>
              <w:t>的影响。</w:t>
            </w:r>
          </w:p>
          <w:p w14:paraId="71F59F56">
            <w:pPr>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根据地表水预测结果，项目各污染因子浓度较小，项目在回填过程中为有效拦截和</w:t>
            </w:r>
            <w:r>
              <w:rPr>
                <w:rFonts w:hint="eastAsia"/>
                <w:color w:val="000000" w:themeColor="text1"/>
                <w14:textFill>
                  <w14:solidFill>
                    <w14:schemeClr w14:val="tx1"/>
                  </w14:solidFill>
                </w14:textFill>
              </w:rPr>
              <w:t>排泄边坡周边山坡的径流，减少地表水对坡体的冲刷，在填充区各级分台区内侧修建排水沟，场地中的排水沟相互连接为一个有效的整体，坡面汇水进入各级平台的排水沟中，再通过平台间梯步相互连通，进入坡底排水沟，最终向</w:t>
            </w:r>
            <w:r>
              <w:rPr>
                <w:rFonts w:hint="eastAsia"/>
                <w:color w:val="000000" w:themeColor="text1"/>
                <w:lang w:val="en-US" w:eastAsia="zh-CN"/>
                <w14:textFill>
                  <w14:solidFill>
                    <w14:schemeClr w14:val="tx1"/>
                  </w14:solidFill>
                </w14:textFill>
              </w:rPr>
              <w:t>南</w:t>
            </w:r>
            <w:r>
              <w:rPr>
                <w:rFonts w:hint="eastAsia"/>
                <w:color w:val="000000" w:themeColor="text1"/>
                <w:kern w:val="0"/>
                <w:lang w:bidi="ar"/>
                <w14:textFill>
                  <w14:solidFill>
                    <w14:schemeClr w14:val="tx1"/>
                  </w14:solidFill>
                </w14:textFill>
              </w:rPr>
              <w:t>自流。</w:t>
            </w:r>
          </w:p>
          <w:p w14:paraId="76EF2F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根据项目建设方案，矿坑回填完成时，回填料回填结束压实后，回填区顶部平台、堆积分台及坡面依次铺设</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00g/</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14:textFill>
                  <w14:solidFill>
                    <w14:schemeClr w14:val="tx1"/>
                  </w14:solidFill>
                </w14:textFill>
              </w:rPr>
              <w:t>土工布、1.5mm的HDPE防渗膜、</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00g/㎡土工布防渗层。经防渗收集后，</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对地表水环境影响不大。项目</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发生泄漏的风险可接受。</w:t>
            </w:r>
          </w:p>
          <w:p w14:paraId="50F38170">
            <w:pPr>
              <w:widowControl/>
              <w:adjustRightInd w:val="0"/>
              <w:snapToGrid w:val="0"/>
              <w:ind w:firstLine="480"/>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③地下水环境风险</w:t>
            </w:r>
          </w:p>
          <w:p w14:paraId="28B9768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由项目特征分析可知，项目生态修复作业过程中，降雨时，雨水冲刷回填区会产生一定量的</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经导排管最终进入收集井。如果收集井出现破损或破裂，</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发生泄漏，就会造成地下水污染，破坏地下水环境，</w:t>
            </w:r>
            <w:r>
              <w:rPr>
                <w:rFonts w:hint="eastAsia"/>
                <w:color w:val="000000" w:themeColor="text1"/>
                <w:kern w:val="0"/>
                <w:lang w:bidi="ar"/>
                <w14:textFill>
                  <w14:solidFill>
                    <w14:schemeClr w14:val="tx1"/>
                  </w14:solidFill>
                </w14:textFill>
              </w:rPr>
              <w:t>地下水环境如果遭到污染破坏，对其恢复困难较大，对区域地下水环境影响较大。</w:t>
            </w:r>
          </w:p>
          <w:p w14:paraId="6E053F3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地下水环境影响预测，当渗滤液发生泄漏，对地下水会产生一定的影响，但超标范围控制在修复区范围内。针对项目可能发生的地下水污染情况，按照“源头控制、分区防治、污染监控、应急响应”的防控原则。从污染物的产生、入渗、扩散、应急响应等全阶段进行控制。以主动防渗措施为主，被动防渗措施为辅；人工防渗措施和自然防渗条件保护相结合，防止地下水受到污染。</w:t>
            </w:r>
          </w:p>
          <w:p w14:paraId="5A57B5FD">
            <w:pPr>
              <w:widowControl/>
              <w:adjustRightInd w:val="0"/>
              <w:snapToGrid w:val="0"/>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回填区按照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要求进行防渗。采取改性磷石膏生态修复材料入场合格控制：项目回填区改性磷石膏按照HJ557规定方法制备改性磷石膏浸出液中任何一种特征污染物浓度均不应超过GB 8978最高允许排放浓度（第二类污染物最高允许排放浓度按照一级标准执行）才允许入场回填，设专人管理回填料合格性检测，经检验合格后方可运入回填区回填，并保留监测记录；要求施工过程中严格采取防渗措施，阻断雨水对回填体冲刷；严格按照堆填设计方案进行施工，对回填体进行反复压实；设置回填区地下水导排系统，对回填区形成的地下水及时进行导排，避免对回填体造成影响等措施后，渗滤液泄漏情况极小。同时，项目设置了监控井及时回填区地下水监控，在发生泄漏情况立即启动应急方案，阻断污染源向下游扩散，对泄漏渗滤液进行抽排处理及回用。通过采取以上措施，可有效防止渗滤液泄漏而污染地下水环境。</w:t>
            </w:r>
          </w:p>
          <w:p w14:paraId="3DD7361A">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2）项目绿化覆土施工过程环境风险分析</w:t>
            </w:r>
          </w:p>
          <w:p w14:paraId="04436A1A">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覆土过程可能会由于施工失误导致防渗层破损，进而导致渗滤液泄露至外环境。但项目</w:t>
            </w:r>
            <w:r>
              <w:rPr>
                <w:rFonts w:hint="eastAsia"/>
                <w:color w:val="000000" w:themeColor="text1"/>
                <w:kern w:val="0"/>
                <w:lang w:bidi="ar"/>
                <w14:textFill>
                  <w14:solidFill>
                    <w14:schemeClr w14:val="tx1"/>
                  </w14:solidFill>
                </w14:textFill>
              </w:rPr>
              <w:t>覆土作业要求专业人员施工，严格按要求进行施工，施工过程注意观察各防渗情况，且本项目按照《改性磷石膏用于矿山废弃地生态修复回填技术规范》（DB53/T1269-2024</w:t>
            </w:r>
            <w:r>
              <w:rPr>
                <w:rFonts w:hint="eastAsia"/>
                <w:color w:val="000000" w:themeColor="text1"/>
                <w:kern w:val="0"/>
                <w:sz w:val="24"/>
                <w:szCs w:val="24"/>
                <w:lang w:bidi="ar"/>
                <w14:textFill>
                  <w14:solidFill>
                    <w14:schemeClr w14:val="tx1"/>
                  </w14:solidFill>
                </w14:textFill>
              </w:rPr>
              <w:t>）</w:t>
            </w:r>
            <w:r>
              <w:rPr>
                <w:rFonts w:hint="eastAsia"/>
                <w:color w:val="000000" w:themeColor="text1"/>
                <w:kern w:val="0"/>
                <w:sz w:val="24"/>
                <w:szCs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要求</w:t>
            </w:r>
            <w:r>
              <w:rPr>
                <w:rFonts w:hint="eastAsia"/>
                <w:color w:val="000000" w:themeColor="text1"/>
                <w:kern w:val="0"/>
                <w:lang w:val="en-US" w:eastAsia="zh-CN" w:bidi="ar"/>
                <w14:textFill>
                  <w14:solidFill>
                    <w14:schemeClr w14:val="tx1"/>
                  </w14:solidFill>
                </w14:textFill>
              </w:rPr>
              <w:t>分别在南部、北侧采石场分别</w:t>
            </w:r>
            <w:r>
              <w:rPr>
                <w:rFonts w:hint="eastAsia"/>
                <w:color w:val="000000" w:themeColor="text1"/>
                <w:kern w:val="0"/>
                <w:lang w:bidi="ar"/>
                <w14:textFill>
                  <w14:solidFill>
                    <w14:schemeClr w14:val="tx1"/>
                  </w14:solidFill>
                </w14:textFill>
              </w:rPr>
              <w:t>设置了</w:t>
            </w:r>
            <w:r>
              <w:rPr>
                <w:rFonts w:hint="eastAsia"/>
                <w:color w:val="000000" w:themeColor="text1"/>
                <w:kern w:val="0"/>
                <w:lang w:val="en-US" w:eastAsia="zh-CN" w:bidi="ar"/>
                <w14:textFill>
                  <w14:solidFill>
                    <w14:schemeClr w14:val="tx1"/>
                  </w14:solidFill>
                </w14:textFill>
              </w:rPr>
              <w:t>1个</w:t>
            </w:r>
            <w:r>
              <w:rPr>
                <w:rFonts w:hint="eastAsia"/>
                <w:color w:val="000000" w:themeColor="text1"/>
                <w:kern w:val="0"/>
                <w:lang w:bidi="ar"/>
                <w14:textFill>
                  <w14:solidFill>
                    <w14:schemeClr w14:val="tx1"/>
                  </w14:solidFill>
                </w14:textFill>
              </w:rPr>
              <w:t>地下水</w:t>
            </w:r>
            <w:r>
              <w:rPr>
                <w:rFonts w:hint="eastAsia"/>
                <w:color w:val="000000" w:themeColor="text1"/>
                <w:kern w:val="0"/>
                <w:lang w:val="en-US" w:eastAsia="zh-CN" w:bidi="ar"/>
                <w14:textFill>
                  <w14:solidFill>
                    <w14:schemeClr w14:val="tx1"/>
                  </w14:solidFill>
                </w14:textFill>
              </w:rPr>
              <w:t>收集</w:t>
            </w:r>
            <w:r>
              <w:rPr>
                <w:rFonts w:hint="eastAsia"/>
                <w:color w:val="000000" w:themeColor="text1"/>
                <w:kern w:val="0"/>
                <w:lang w:bidi="ar"/>
                <w14:textFill>
                  <w14:solidFill>
                    <w14:schemeClr w14:val="tx1"/>
                  </w14:solidFill>
                </w14:textFill>
              </w:rPr>
              <w:t>井，在回填区设置了渗漏监控系统，可以有效监控防渗衬层的完整性，监控地下水水质。项目回填结束后仍需对覆盖层进行维护管理，防止覆盖层不均匀沉降、开裂。综上，在严格落实各类防渗措施，及时跟踪监测，注意施工方式情形下，覆土绿化过程防渗破损导致渗滤液泄漏至外环境的风险较小。</w:t>
            </w:r>
          </w:p>
          <w:p w14:paraId="294A151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（3）环境风险防范措施</w:t>
            </w:r>
          </w:p>
          <w:p w14:paraId="1A176B7F">
            <w:pPr>
              <w:widowControl/>
              <w:ind w:firstLine="482"/>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A、源头控制措施</w:t>
            </w:r>
          </w:p>
          <w:p w14:paraId="0F83A8B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①生态修复区回填料改性磷石膏按照HJ557规定方法制备改性磷石膏浸出液中任何一种特征污染物浓度均不应超过GB 8978最高允许排放浓度（第二类污染物最高允许排放浓度按照一级标准执行），才允许入场回填；</w:t>
            </w:r>
          </w:p>
          <w:p w14:paraId="48EBB26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建设单位设专人管理回填料合格性检测，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p w14:paraId="15279E9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③从源头起进行严格控制，加大监督力度，对混入回填修复区的生活垃圾应立即清理出场；</w:t>
            </w:r>
          </w:p>
          <w:p w14:paraId="2BFBCEC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④防止生活垃圾混入，在回填、推平过程中也要检查，一旦发现生活垃圾混入，应立即停止回填，确保生活垃圾不得进入回填修复区。</w:t>
            </w:r>
          </w:p>
          <w:p w14:paraId="7638DD3E">
            <w:pPr>
              <w:widowControl/>
              <w:adjustRightInd w:val="0"/>
              <w:snapToGrid w:val="0"/>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B、工程控制措施</w:t>
            </w:r>
          </w:p>
          <w:p w14:paraId="7E8C86C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①基底处理</w:t>
            </w:r>
          </w:p>
          <w:p w14:paraId="701ACEC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生态修复区底部清基后铺设粘土层，压实处理后粘土层厚度0.75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，压实后的粘土层进行渗透试验，渗透系数满足</w:t>
            </w:r>
            <w:r>
              <w:rPr>
                <w:color w:val="000000" w:themeColor="text1"/>
                <w:kern w:val="0"/>
                <w:lang w:bidi="ar"/>
                <w14:textFill>
                  <w14:solidFill>
                    <w14:schemeClr w14:val="tx1"/>
                  </w14:solidFill>
                </w14:textFill>
              </w:rPr>
              <w:t>1.0×10</w:t>
            </w:r>
            <w:r>
              <w:rPr>
                <w:rFonts w:hint="eastAsia"/>
                <w:color w:val="000000" w:themeColor="text1"/>
                <w:kern w:val="0"/>
                <w:vertAlign w:val="superscript"/>
                <w:lang w:bidi="ar"/>
                <w14:textFill>
                  <w14:solidFill>
                    <w14:schemeClr w14:val="tx1"/>
                  </w14:solidFill>
                </w14:textFill>
              </w:rPr>
              <w:t>-</w:t>
            </w:r>
            <w:r>
              <w:rPr>
                <w:color w:val="000000" w:themeColor="text1"/>
                <w:kern w:val="0"/>
                <w:vertAlign w:val="superscript"/>
                <w:lang w:bidi="ar"/>
                <w14:textFill>
                  <w14:solidFill>
                    <w14:schemeClr w14:val="tx1"/>
                  </w14:solidFill>
                </w14:textFill>
              </w:rPr>
              <w:t>5</w:t>
            </w:r>
            <w:r>
              <w:rPr>
                <w:color w:val="000000" w:themeColor="text1"/>
                <w:kern w:val="0"/>
                <w:lang w:bidi="ar"/>
                <w14:textFill>
                  <w14:solidFill>
                    <w14:schemeClr w14:val="tx1"/>
                  </w14:solidFill>
                </w14:textFill>
              </w:rPr>
              <w:t>cm/s</w:t>
            </w:r>
            <w:r>
              <w:rPr>
                <w:rFonts w:hint="eastAsia"/>
                <w:color w:val="000000" w:themeColor="text1"/>
                <w:kern w:val="0"/>
                <w:lang w:bidi="ar"/>
                <w14:textFill>
                  <w14:solidFill>
                    <w14:schemeClr w14:val="tx1"/>
                  </w14:solidFill>
                </w14:textFill>
              </w:rPr>
              <w:t>要求后再进行地下水导排管和人工防渗膜铺设。如工程场地发现岩溶裂隙等不稳定基层或其他影响工程安全稳定性的问题，应及时采用回填、加固等相关措施进行处理，达到相关要求后方可进一步施工。施工监理和环境监理相关单位也应履行好相关职责，确保措施到位，避免存在相关隐患，影响后期防渗工程。</w:t>
            </w:r>
          </w:p>
          <w:p w14:paraId="4F7B0CA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②填充场底部防渗措施</w:t>
            </w:r>
          </w:p>
          <w:p w14:paraId="3B2CEE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底部防渗结构由下至上构成如下：</w:t>
            </w:r>
          </w:p>
          <w:p w14:paraId="08FA20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库底整平压实基础层&lt;地下水导排盲沟在其中&gt;+300mm厚粘土层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土工布+1.5mmHDPE单糙面防渗膜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土工布；（4）改性磷石膏填料回填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6595AE48">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b</w:t>
            </w:r>
            <w:r>
              <w:rPr>
                <w:rFonts w:hint="eastAsia"/>
                <w:color w:val="000000" w:themeColor="text1"/>
                <w:kern w:val="0"/>
                <w:lang w:bidi="ar"/>
                <w14:textFill>
                  <w14:solidFill>
                    <w14:schemeClr w14:val="tx1"/>
                  </w14:solidFill>
                </w14:textFill>
              </w:rPr>
              <w:t>、防渗层保护</w:t>
            </w:r>
          </w:p>
          <w:p w14:paraId="3A4BF0E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底部防渗层铺设前须铺设0.75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压实粘土层；顶部防渗层铺设完成后，铺设</w:t>
            </w:r>
            <w:r>
              <w:rPr>
                <w:rFonts w:hint="eastAsia"/>
                <w:color w:val="000000" w:themeColor="text1"/>
                <w:kern w:val="0"/>
                <w:lang w:val="en-US" w:eastAsia="zh-CN" w:bidi="ar"/>
                <w14:textFill>
                  <w14:solidFill>
                    <w14:schemeClr w14:val="tx1"/>
                  </w14:solidFill>
                </w14:textFill>
              </w:rPr>
              <w:t>60</w:t>
            </w:r>
            <w:r>
              <w:rPr>
                <w:color w:val="000000" w:themeColor="text1"/>
                <w:kern w:val="0"/>
                <w:lang w:bidi="ar"/>
                <w14:textFill>
                  <w14:solidFill>
                    <w14:schemeClr w14:val="tx1"/>
                  </w14:solidFill>
                </w14:textFill>
              </w:rPr>
              <w:t>cm</w:t>
            </w:r>
            <w:r>
              <w:rPr>
                <w:rFonts w:hint="eastAsia"/>
                <w:color w:val="000000" w:themeColor="text1"/>
                <w:kern w:val="0"/>
                <w:lang w:bidi="ar"/>
                <w14:textFill>
                  <w14:solidFill>
                    <w14:schemeClr w14:val="tx1"/>
                  </w14:solidFill>
                </w14:textFill>
              </w:rPr>
              <w:t>耕植土层后进行植被种植。</w:t>
            </w:r>
          </w:p>
          <w:p w14:paraId="0E6675BD">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c</w:t>
            </w:r>
            <w:r>
              <w:rPr>
                <w:rFonts w:hint="eastAsia"/>
                <w:color w:val="000000" w:themeColor="text1"/>
                <w:kern w:val="0"/>
                <w:lang w:bidi="ar"/>
                <w14:textFill>
                  <w14:solidFill>
                    <w14:schemeClr w14:val="tx1"/>
                  </w14:solidFill>
                </w14:textFill>
              </w:rPr>
              <w:t>、施工质量管理</w:t>
            </w:r>
          </w:p>
          <w:p w14:paraId="0BBF8BA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施工方案包括施工质量保证和施工质量控制内容，明确环保条款和责任，施工完毕后保存施工报告、全套竣工图、所有材料的现场及实验室检测报告，提供人工防渗衬层完整性检测报告。</w:t>
            </w:r>
          </w:p>
          <w:p w14:paraId="4E5C93A0">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d</w:t>
            </w:r>
            <w:r>
              <w:rPr>
                <w:rFonts w:hint="eastAsia"/>
                <w:color w:val="000000" w:themeColor="text1"/>
                <w:kern w:val="0"/>
                <w:lang w:bidi="ar"/>
                <w14:textFill>
                  <w14:solidFill>
                    <w14:schemeClr w14:val="tx1"/>
                  </w14:solidFill>
                </w14:textFill>
              </w:rPr>
              <w:t>、防渗材料性能要求</w:t>
            </w:r>
          </w:p>
          <w:p w14:paraId="50984FC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双糙面防渗土工膜性能要求：土工膜幅宽应≥7m，极限厚度偏差应控制在±10%之内；土工膜产品颜色要求为黑色，外观质量应符合CJ/T234-2006的规定；其他性能指标应符合CJ/T234-2006的规定。</w:t>
            </w:r>
          </w:p>
          <w:p w14:paraId="7E3A037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土工布性能要求：土工布原材料采用抗氧化性和紫外线强的长丝无纺土工布；土工布外观质量需逐卷进行检验和评定，每卷土工布不得出现孔洞和破损；外观疵点不得出现下表中的重缺陷，轻缺陷每200m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不超过5个。</w:t>
            </w:r>
          </w:p>
          <w:p w14:paraId="12A3316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③回填物料压实处置</w:t>
            </w:r>
          </w:p>
          <w:p w14:paraId="19AB72D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要求改性磷石膏基生态修复材料堆排时进行压实，回填体施工必须严格按照《云南省寻甸县</w:t>
            </w:r>
            <w:r>
              <w:rPr>
                <w:rFonts w:hint="eastAsia"/>
                <w:color w:val="000000" w:themeColor="text1"/>
                <w:kern w:val="0"/>
                <w:lang w:eastAsia="zh-CN" w:bidi="ar"/>
                <w14:textFill>
                  <w14:solidFill>
                    <w14:schemeClr w14:val="tx1"/>
                  </w14:solidFill>
                </w14:textFill>
              </w:rPr>
              <w:t>塘子镇钟灵村委会令友采石场废弃矿坑</w:t>
            </w:r>
            <w:r>
              <w:rPr>
                <w:rFonts w:hint="eastAsia"/>
                <w:color w:val="000000" w:themeColor="text1"/>
                <w:kern w:val="0"/>
                <w:lang w:bidi="ar"/>
                <w14:textFill>
                  <w14:solidFill>
                    <w14:schemeClr w14:val="tx1"/>
                  </w14:solidFill>
                </w14:textFill>
              </w:rPr>
              <w:t>生态修复实施方案》进行施工，落实好施工监理，确保回填堆体稳定、安全，规范施工。</w:t>
            </w:r>
          </w:p>
          <w:p w14:paraId="616293C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④渗滤液导排</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地下水导排</w:t>
            </w:r>
          </w:p>
          <w:p w14:paraId="469C527F">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采石</w:t>
            </w:r>
            <w:r>
              <w:rPr>
                <w:rFonts w:hint="default" w:ascii="Times New Roman" w:hAnsi="Times New Roman" w:eastAsia="宋体" w:cs="Times New Roman"/>
                <w:color w:val="000000" w:themeColor="text1"/>
                <w:sz w:val="24"/>
                <w:szCs w:val="24"/>
                <w:highlight w:val="none"/>
                <w14:textFill>
                  <w14:solidFill>
                    <w14:schemeClr w14:val="tx1"/>
                  </w14:solidFill>
                </w14:textFill>
              </w:rPr>
              <w:t>场地下水导排盲沟在回填区底部整平后，开挖顶宽1500mm，高度500mm，底宽500mm的沟槽，采用土工布包裹碎石充填，碎石内埋设DN200塑料盲沟管。</w:t>
            </w:r>
            <w:r>
              <w:rPr>
                <w:rFonts w:hint="eastAsia" w:cs="Times New Roman"/>
                <w:color w:val="000000" w:themeColor="text1"/>
                <w:sz w:val="24"/>
                <w:szCs w:val="24"/>
                <w:highlight w:val="none"/>
                <w:lang w:val="en-US" w:eastAsia="zh-CN"/>
                <w14:textFill>
                  <w14:solidFill>
                    <w14:schemeClr w14:val="tx1"/>
                  </w14:solidFill>
                </w14:textFill>
              </w:rPr>
              <w:t>采石</w:t>
            </w:r>
            <w:r>
              <w:rPr>
                <w:rFonts w:hint="default" w:ascii="Times New Roman" w:hAnsi="Times New Roman" w:eastAsia="宋体" w:cs="Times New Roman"/>
                <w:color w:val="000000" w:themeColor="text1"/>
                <w:sz w:val="24"/>
                <w:szCs w:val="24"/>
                <w:highlight w:val="none"/>
                <w14:textFill>
                  <w14:solidFill>
                    <w14:schemeClr w14:val="tx1"/>
                  </w14:solidFill>
                </w14:textFill>
              </w:rPr>
              <w:t>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塑料盲沟</w:t>
            </w:r>
            <w:r>
              <w:rPr>
                <w:rFonts w:hint="default" w:ascii="Times New Roman" w:hAnsi="Times New Roman" w:eastAsia="宋体" w:cs="Times New Roman"/>
                <w:color w:val="000000" w:themeColor="text1"/>
                <w:sz w:val="24"/>
                <w:szCs w:val="24"/>
                <w:highlight w:val="none"/>
                <w14:textFill>
                  <w14:solidFill>
                    <w14:schemeClr w14:val="tx1"/>
                  </w14:solidFill>
                </w14:textFill>
              </w:rPr>
              <w:t>管接至拦挡坝坝前地下水收集井，地下水收集井为底部钢筋混凝土结构，采用潜水泵回抽至地下水收集池，</w:t>
            </w:r>
          </w:p>
          <w:p w14:paraId="42F4C6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为了将填料可能产生的渗滤液进行收集处理，采石场底部防渗完成后，在防渗层上设置渗滤液收集导排盲沟，沟内铺设厚400mm的卵石，卵石采用200g/m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土工布包裹。导排盲沟内置dn200塑料盲沟管排渗，塑料盲沟管穿孔管外侧采用200g/m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土工布包裹，沿线排水控制坡度2%，导排管接至渗滤液收集池，渗滤液收集</w:t>
            </w:r>
            <w:r>
              <w:rPr>
                <w:rFonts w:hint="eastAsia" w:cs="Times New Roman"/>
                <w:color w:val="000000" w:themeColor="text1"/>
                <w:sz w:val="24"/>
                <w:szCs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4"/>
                <w:szCs w:val="24"/>
                <w:highlight w:val="none"/>
                <w14:textFill>
                  <w14:solidFill>
                    <w14:schemeClr w14:val="tx1"/>
                  </w14:solidFill>
                </w14:textFill>
              </w:rPr>
              <w:t>回用</w:t>
            </w:r>
            <w:r>
              <w:rPr>
                <w:rFonts w:hint="eastAsia" w:cs="Times New Roman"/>
                <w:color w:val="000000" w:themeColor="text1"/>
                <w:sz w:val="24"/>
                <w:szCs w:val="24"/>
                <w:highlight w:val="none"/>
                <w:lang w:val="en-US" w:eastAsia="zh-CN"/>
                <w14:textFill>
                  <w14:solidFill>
                    <w14:schemeClr w14:val="tx1"/>
                  </w14:solidFill>
                </w14:textFill>
              </w:rPr>
              <w:t>与修复区洒水降尘</w:t>
            </w:r>
            <w:r>
              <w:rPr>
                <w:rFonts w:hint="default" w:ascii="Times New Roman" w:hAnsi="Times New Roman" w:eastAsia="宋体" w:cs="Times New Roman"/>
                <w:color w:val="000000" w:themeColor="text1"/>
                <w:sz w:val="24"/>
                <w:szCs w:val="24"/>
                <w:highlight w:val="none"/>
                <w14:textFill>
                  <w14:solidFill>
                    <w14:schemeClr w14:val="tx1"/>
                  </w14:solidFill>
                </w14:textFill>
              </w:rPr>
              <w:t>。在场地拦挡坝下游坡脚设渗滤液收集池，收集回填料渗滤液。</w:t>
            </w:r>
          </w:p>
          <w:p w14:paraId="5B8643C6">
            <w:pPr>
              <w:widowControl/>
              <w:ind w:firstLine="480"/>
              <w:rPr>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⑤</w:t>
            </w:r>
            <w:r>
              <w:rPr>
                <w:rFonts w:hint="eastAsia"/>
                <w:color w:val="000000" w:themeColor="text1"/>
                <w:kern w:val="0"/>
                <w:lang w:bidi="ar"/>
                <w14:textFill>
                  <w14:solidFill>
                    <w14:schemeClr w14:val="tx1"/>
                  </w14:solidFill>
                </w14:textFill>
              </w:rPr>
              <w:t>工程质量</w:t>
            </w:r>
          </w:p>
          <w:p w14:paraId="48E2F20C">
            <w:pPr>
              <w:widowControl/>
              <w:ind w:firstLine="48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严格按照国家有关规范、规程组织施工，采用合格施工材料进行施工，定期对机械设备和安全工具进行检查。在施工过程中，通过各种形式，加强对参建职工的教育，不断增强工作责任心的质量意识，对质量问题坚决执行“三不放过”和一票否决制度，精心组织、精心施工，确保工程质量验收合格。建立以项目主任工程师为首的质量管理体系，全面控制施工项目的工程质量，为了充分发挥质量管理体系的作用，保证工程验收合格，成立项目负责领导、有关人员参加的本工程施工质量控制小组。</w:t>
            </w:r>
          </w:p>
          <w:p w14:paraId="74B93D55">
            <w:pPr>
              <w:snapToGrid w:val="0"/>
              <w:spacing w:line="360" w:lineRule="auto"/>
              <w:ind w:right="-1"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根据区内项目分布及生态修复实施情况，确定项目重点监测堆填体边坡稳定情况监测。根据矿山主要工程设施、存在的主要地质环境问题及治理工程的分布情况，共设</w:t>
            </w:r>
            <w:r>
              <w:rPr>
                <w:rFonts w:hint="default" w:ascii="Times New Roman" w:hAnsi="Times New Roman" w:cs="Times New Roman"/>
                <w:color w:val="000000" w:themeColor="text1"/>
                <w:kern w:val="0"/>
                <w:sz w:val="24"/>
                <w14:textFill>
                  <w14:solidFill>
                    <w14:schemeClr w14:val="tx1"/>
                  </w14:solidFill>
                </w14:textFill>
              </w:rPr>
              <w:t>置</w:t>
            </w:r>
            <w:r>
              <w:rPr>
                <w:rFonts w:hint="default" w:ascii="Times New Roman" w:hAnsi="Times New Roman" w:cs="Times New Roman"/>
                <w:color w:val="000000" w:themeColor="text1"/>
                <w:kern w:val="0"/>
                <w:sz w:val="24"/>
                <w:lang w:val="en-US" w:eastAsia="zh-CN"/>
                <w14:textFill>
                  <w14:solidFill>
                    <w14:schemeClr w14:val="tx1"/>
                  </w14:solidFill>
                </w14:textFill>
              </w:rPr>
              <w:t>8</w:t>
            </w:r>
            <w:r>
              <w:rPr>
                <w:rFonts w:hint="default" w:ascii="Times New Roman" w:hAnsi="Times New Roman" w:cs="Times New Roman"/>
                <w:color w:val="000000" w:themeColor="text1"/>
                <w:kern w:val="0"/>
                <w:sz w:val="24"/>
                <w14:textFill>
                  <w14:solidFill>
                    <w14:schemeClr w14:val="tx1"/>
                  </w14:solidFill>
                </w14:textFill>
              </w:rPr>
              <w:t>个堆填体边坡变形监测点，</w:t>
            </w:r>
            <w:r>
              <w:rPr>
                <w:rFonts w:hint="default" w:ascii="Times New Roman" w:hAnsi="Times New Roman" w:cs="Times New Roman"/>
                <w:color w:val="000000" w:themeColor="text1"/>
                <w:kern w:val="0"/>
                <w:sz w:val="24"/>
                <w:lang w:val="en-US" w:eastAsia="zh-CN"/>
                <w14:textFill>
                  <w14:solidFill>
                    <w14:schemeClr w14:val="tx1"/>
                  </w14:solidFill>
                </w14:textFill>
              </w:rPr>
              <w:t>14</w:t>
            </w:r>
            <w:r>
              <w:rPr>
                <w:rFonts w:hint="default" w:ascii="Times New Roman" w:hAnsi="Times New Roman" w:cs="Times New Roman"/>
                <w:color w:val="000000" w:themeColor="text1"/>
                <w:kern w:val="0"/>
                <w:sz w:val="24"/>
                <w14:textFill>
                  <w14:solidFill>
                    <w14:schemeClr w14:val="tx1"/>
                  </w14:solidFill>
                </w14:textFill>
              </w:rPr>
              <w:t>个位移监测基准点。</w:t>
            </w:r>
          </w:p>
          <w:p w14:paraId="2A74D47A">
            <w:pPr>
              <w:snapToGrid w:val="0"/>
              <w:ind w:right="-1" w:firstLine="480"/>
              <w:rPr>
                <w:rFonts w:hint="default" w:ascii="Times New Roman" w:hAnsi="Times New Roman" w:cs="Times New Roman"/>
                <w:kern w:val="0"/>
              </w:rPr>
            </w:pPr>
            <w:r>
              <w:rPr>
                <w:rFonts w:hint="default" w:ascii="Times New Roman" w:hAnsi="Times New Roman" w:cs="Times New Roman"/>
                <w:color w:val="000000" w:themeColor="text1"/>
                <w:kern w:val="0"/>
                <w:sz w:val="24"/>
                <w14:textFill>
                  <w14:solidFill>
                    <w14:schemeClr w14:val="tx1"/>
                  </w14:solidFill>
                </w14:textFill>
              </w:rPr>
              <w:t>边坡稳定性监测点：</w:t>
            </w:r>
            <w:r>
              <w:rPr>
                <w:rFonts w:hint="default" w:ascii="Times New Roman" w:hAnsi="Times New Roman" w:cs="Times New Roman"/>
                <w:kern w:val="0"/>
              </w:rPr>
              <w:t>寻甸县塘子镇令友采石场布置于堆填体边坡标高2081m和坝顶标高2072m共8个，监测堆填体边坡稳定性情况。位移监测基准点布置于场地周边稳固处，作为位移变形监测的基准点。</w:t>
            </w:r>
          </w:p>
          <w:p w14:paraId="456C9E82">
            <w:pPr>
              <w:snapToGrid w:val="0"/>
              <w:spacing w:line="360" w:lineRule="auto"/>
              <w:ind w:right="-1"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位移监测基准点布置于场地周边稳固处，作为位移变形监测的基准点。</w:t>
            </w:r>
            <w:r>
              <w:rPr>
                <w:rFonts w:hint="default" w:ascii="Times New Roman" w:hAnsi="Times New Roman" w:cs="Times New Roman"/>
                <w:color w:val="000000" w:themeColor="text1"/>
                <w:lang w:bidi="ar"/>
                <w14:textFill>
                  <w14:solidFill>
                    <w14:schemeClr w14:val="tx1"/>
                  </w14:solidFill>
                </w14:textFill>
              </w:rPr>
              <w:t>可有效观察工程位移情况，</w:t>
            </w:r>
            <w:r>
              <w:rPr>
                <w:rFonts w:hint="default" w:ascii="Times New Roman" w:hAnsi="Times New Roman" w:cs="Times New Roman"/>
                <w:color w:val="000000" w:themeColor="text1"/>
                <w:spacing w:val="10"/>
                <w14:textFill>
                  <w14:solidFill>
                    <w14:schemeClr w14:val="tx1"/>
                  </w14:solidFill>
                </w14:textFill>
              </w:rPr>
              <w:t>掌握各采坑设施的工作状态及其变化规律，为正确管理、维修和处理事故等提供依据；及时发现不正常迹象，以便分析原因，采取及时有效的措施，防止事故的发生。</w:t>
            </w:r>
          </w:p>
          <w:p w14:paraId="7309CD7F">
            <w:pPr>
              <w:widowControl/>
              <w:ind w:firstLine="480"/>
              <w:rPr>
                <w:color w:val="000000" w:themeColor="text1"/>
                <w:kern w:val="0"/>
                <w:lang w:bidi="ar"/>
                <w14:textFill>
                  <w14:solidFill>
                    <w14:schemeClr w14:val="tx1"/>
                  </w14:solidFill>
                </w14:textFill>
              </w:rPr>
            </w:pPr>
            <w:r>
              <w:rPr>
                <w:rFonts w:hint="eastAsia" w:ascii="宋体" w:hAnsi="宋体" w:cs="宋体"/>
                <w:color w:val="000000" w:themeColor="text1"/>
                <w:kern w:val="0"/>
                <w:lang w:val="en-US" w:eastAsia="zh-CN" w:bidi="ar"/>
                <w14:textFill>
                  <w14:solidFill>
                    <w14:schemeClr w14:val="tx1"/>
                  </w14:solidFill>
                </w14:textFill>
              </w:rPr>
              <w:t>⑥</w:t>
            </w:r>
            <w:r>
              <w:rPr>
                <w:rFonts w:hint="eastAsia"/>
                <w:color w:val="000000" w:themeColor="text1"/>
                <w:kern w:val="0"/>
                <w:lang w:bidi="ar"/>
                <w14:textFill>
                  <w14:solidFill>
                    <w14:schemeClr w14:val="tx1"/>
                  </w14:solidFill>
                </w14:textFill>
              </w:rPr>
              <w:t>植被选择</w:t>
            </w:r>
          </w:p>
          <w:p w14:paraId="5D81CB83">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绿化手段拟采用种植灌木和撒播草籽进行绿化还绿，项目区裸露山体进行挂网种植爬藤植物。</w:t>
            </w:r>
          </w:p>
          <w:p w14:paraId="4BB589DC">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工程涉及的苗木及种子必须按植物种类及相关标准规范种子苗木标准。种子应采用Ⅰ级种子，苗木应尽量采用Ⅰ级中苗，并有“四证一签”（林木种子生产/经营许可证、苗木质量检验证、植物检疫证、苗木标签，使用良种造林的还应具备良种销售凭证，简称“四证一签”），避免长距离调运绿化种苗。</w:t>
            </w:r>
          </w:p>
          <w:p w14:paraId="56B8D359">
            <w:pPr>
              <w:widowControl/>
              <w:ind w:firstLine="482"/>
              <w:rPr>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C、末端监管</w:t>
            </w:r>
          </w:p>
          <w:p w14:paraId="0B90EAB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①末端监管主要采取设置地下水监控井，建立回填修复区地下水环境监控体系，包括建立地下水污染监控制度和环境管理体系，制定监测计划。</w:t>
            </w:r>
          </w:p>
          <w:p w14:paraId="5189C2E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，并结合项目实际水文地质</w:t>
            </w:r>
            <w:r>
              <w:rPr>
                <w:rFonts w:hint="eastAsia" w:ascii="Times New Roman" w:hAnsi="Times New Roman" w:eastAsia="宋体" w:cs="Times New Roman"/>
                <w:color w:val="000000" w:themeColor="text1"/>
                <w:kern w:val="0"/>
                <w:lang w:bidi="ar"/>
                <w14:textFill>
                  <w14:solidFill>
                    <w14:schemeClr w14:val="tx1"/>
                  </w14:solidFill>
                </w14:textFill>
              </w:rPr>
              <w:t>调查情况，项目区</w:t>
            </w:r>
            <w:r>
              <w:rPr>
                <w:rFonts w:hint="eastAsia" w:ascii="Times New Roman" w:hAnsi="Times New Roman" w:eastAsia="宋体" w:cs="Times New Roman"/>
                <w:color w:val="000000" w:themeColor="text1"/>
                <w:kern w:val="0"/>
                <w:lang w:val="en-US" w:eastAsia="zh-CN" w:bidi="ar"/>
                <w14:textFill>
                  <w14:solidFill>
                    <w14:schemeClr w14:val="tx1"/>
                  </w14:solidFill>
                </w14:textFill>
              </w:rPr>
              <w:t>共设置</w:t>
            </w:r>
            <w:r>
              <w:rPr>
                <w:rFonts w:hint="eastAsia" w:ascii="Times New Roman" w:hAnsi="Times New Roman" w:eastAsia="宋体" w:cs="Times New Roman"/>
                <w:color w:val="000000" w:themeColor="text1"/>
                <w:kern w:val="0"/>
                <w:lang w:bidi="ar"/>
                <w14:textFill>
                  <w14:solidFill>
                    <w14:schemeClr w14:val="tx1"/>
                  </w14:solidFill>
                </w14:textFill>
              </w:rPr>
              <w:t>7口</w:t>
            </w:r>
            <w:r>
              <w:rPr>
                <w:rFonts w:hint="eastAsia" w:cs="Times New Roman"/>
                <w:color w:val="000000" w:themeColor="text1"/>
                <w:kern w:val="0"/>
                <w:sz w:val="24"/>
                <w:szCs w:val="24"/>
                <w:lang w:val="en-US" w:eastAsia="zh-CN"/>
                <w14:textFill>
                  <w14:solidFill>
                    <w14:schemeClr w14:val="tx1"/>
                  </w14:solidFill>
                </w14:textFill>
              </w:rPr>
              <w:t>地下水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跟踪监控井</w:t>
            </w:r>
            <w:r>
              <w:rPr>
                <w:rFonts w:hint="eastAsia" w:ascii="Times New Roman" w:hAnsi="Times New Roman" w:eastAsia="宋体" w:cs="Times New Roman"/>
                <w:color w:val="000000" w:themeColor="text1"/>
                <w:kern w:val="0"/>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lang w:bidi="ar"/>
                <w14:textFill>
                  <w14:solidFill>
                    <w14:schemeClr w14:val="tx1"/>
                  </w14:solidFill>
                </w14:textFill>
              </w:rPr>
              <w:t>对下游监控井水质持续跟踪监测</w:t>
            </w:r>
            <w:r>
              <w:rPr>
                <w:rFonts w:hint="eastAsia" w:ascii="Times New Roman" w:hAnsi="Times New Roman" w:eastAsia="宋体" w:cs="Times New Roman"/>
                <w:color w:val="000000" w:themeColor="text1"/>
                <w:kern w:val="0"/>
                <w:lang w:eastAsia="zh-CN" w:bidi="ar"/>
                <w14:textFill>
                  <w14:solidFill>
                    <w14:schemeClr w14:val="tx1"/>
                  </w14:solidFill>
                </w14:textFill>
              </w:rPr>
              <w:t>；</w:t>
            </w:r>
            <w:r>
              <w:rPr>
                <w:rFonts w:hint="eastAsia" w:ascii="Times New Roman" w:hAnsi="Times New Roman" w:eastAsia="宋体" w:cs="Times New Roman"/>
                <w:color w:val="000000" w:themeColor="text1"/>
                <w:kern w:val="0"/>
                <w:lang w:val="en-US" w:eastAsia="zh-CN" w:bidi="ar"/>
                <w14:textFill>
                  <w14:solidFill>
                    <w14:schemeClr w14:val="tx1"/>
                  </w14:solidFill>
                </w14:textFill>
              </w:rPr>
              <w:t>分别在南部、北部采石场设置1口地下水</w:t>
            </w:r>
            <w:r>
              <w:rPr>
                <w:rFonts w:hint="eastAsia" w:cs="Times New Roman"/>
                <w:color w:val="000000" w:themeColor="text1"/>
                <w:kern w:val="0"/>
                <w:lang w:val="en-US" w:eastAsia="zh-CN" w:bidi="ar"/>
                <w14:textFill>
                  <w14:solidFill>
                    <w14:schemeClr w14:val="tx1"/>
                  </w14:solidFill>
                </w14:textFill>
              </w:rPr>
              <w:t>收集</w:t>
            </w:r>
            <w:r>
              <w:rPr>
                <w:rFonts w:hint="eastAsia" w:ascii="Times New Roman" w:hAnsi="Times New Roman" w:eastAsia="宋体" w:cs="Times New Roman"/>
                <w:color w:val="000000" w:themeColor="text1"/>
                <w:kern w:val="0"/>
                <w:lang w:val="en-US" w:eastAsia="zh-CN" w:bidi="ar"/>
                <w14:textFill>
                  <w14:solidFill>
                    <w14:schemeClr w14:val="tx1"/>
                  </w14:solidFill>
                </w14:textFill>
              </w:rPr>
              <w:t>井，通过检测结果判断是否发生</w:t>
            </w:r>
            <w:r>
              <w:rPr>
                <w:rFonts w:hint="eastAsia" w:ascii="Times New Roman" w:hAnsi="Times New Roman" w:eastAsia="宋体" w:cs="Times New Roman"/>
                <w:color w:val="000000" w:themeColor="text1"/>
                <w:kern w:val="0"/>
                <w:lang w:bidi="ar"/>
                <w14:textFill>
                  <w14:solidFill>
                    <w14:schemeClr w14:val="tx1"/>
                  </w14:solidFill>
                </w14:textFill>
              </w:rPr>
              <w:t>因防渗衬层破损</w:t>
            </w:r>
            <w:r>
              <w:rPr>
                <w:rFonts w:hint="eastAsia" w:ascii="Times New Roman" w:hAnsi="Times New Roman" w:eastAsia="宋体" w:cs="Times New Roman"/>
                <w:color w:val="000000" w:themeColor="text1"/>
                <w:kern w:val="0"/>
                <w:lang w:val="en-US" w:eastAsia="zh-CN" w:bidi="ar"/>
                <w14:textFill>
                  <w14:solidFill>
                    <w14:schemeClr w14:val="tx1"/>
                  </w14:solidFill>
                </w14:textFill>
              </w:rPr>
              <w:t>而</w:t>
            </w:r>
            <w:r>
              <w:rPr>
                <w:rFonts w:hint="eastAsia" w:ascii="Times New Roman" w:hAnsi="Times New Roman" w:eastAsia="宋体" w:cs="Times New Roman"/>
                <w:color w:val="000000" w:themeColor="text1"/>
                <w:kern w:val="0"/>
                <w:lang w:bidi="ar"/>
                <w14:textFill>
                  <w14:solidFill>
                    <w14:schemeClr w14:val="tx1"/>
                  </w14:solidFill>
                </w14:textFill>
              </w:rPr>
              <w:t>导致渗漏问题</w:t>
            </w:r>
            <w:r>
              <w:rPr>
                <w:rFonts w:hint="eastAsia" w:ascii="Times New Roman" w:hAnsi="Times New Roman" w:eastAsia="宋体" w:cs="Times New Roman"/>
                <w:color w:val="000000" w:themeColor="text1"/>
                <w:kern w:val="0"/>
                <w:lang w:val="en-US" w:eastAsia="zh-CN" w:bidi="ar"/>
                <w14:textFill>
                  <w14:solidFill>
                    <w14:schemeClr w14:val="tx1"/>
                  </w14:solidFill>
                </w14:textFill>
              </w:rPr>
              <w:t>发生的情况</w:t>
            </w:r>
            <w:r>
              <w:rPr>
                <w:rFonts w:hint="eastAsia" w:ascii="Times New Roman" w:hAnsi="Times New Roman" w:eastAsia="宋体" w:cs="Times New Roman"/>
                <w:color w:val="000000" w:themeColor="text1"/>
                <w:kern w:val="0"/>
                <w:lang w:bidi="ar"/>
                <w14:textFill>
                  <w14:solidFill>
                    <w14:schemeClr w14:val="tx1"/>
                  </w14:solidFill>
                </w14:textFill>
              </w:rPr>
              <w:t>。</w:t>
            </w:r>
          </w:p>
          <w:p w14:paraId="2D06EFE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②排洪构筑物安全监测</w:t>
            </w:r>
          </w:p>
          <w:p w14:paraId="7E2D946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排洪构筑物在汛期前应进行一次安全大检查，检查构筑物有无变形、位移、损毁、淤堵等情况，汛期应每天观察排水能力，发现异常，立即排除。</w:t>
            </w:r>
          </w:p>
          <w:p w14:paraId="35A240E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③回填平台安全监测</w:t>
            </w:r>
          </w:p>
          <w:p w14:paraId="2CA1AF5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回填安全监测内容包括：拦挡设施坝体轮廓尺寸、变形、裂缝、滑坡和渗漏、坝面保护监测等。平台位移监测可采用视准线法和前方交汇法。</w:t>
            </w:r>
          </w:p>
          <w:p w14:paraId="51CFB3DB">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D、应急措施</w:t>
            </w:r>
          </w:p>
          <w:p w14:paraId="2833B4F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在监控井水质异常情况下，须立即采取应急措施，对下游监控井进行抽水，阻断污染源进一步向下游扩散，启动应急方案，对泄漏渗滤液水质进行监测，将渗滤液抽排至渗滤液收集井暂存。</w:t>
            </w:r>
          </w:p>
          <w:p w14:paraId="62B18054">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E、编制突发环境事件应急预案</w:t>
            </w:r>
          </w:p>
          <w:p w14:paraId="4E94FD3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严格按照相关要求编制突发环境事件应急预案并到生态环境主管部门进行备案，定期开展演练，加强生态修复过程管理，预防突发环境事故发生。</w:t>
            </w:r>
          </w:p>
          <w:p w14:paraId="44C40E7D">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环评提出，禁止使用不符合回填要求的磷石膏基生态修复材料回填矿坑；回填修复区和回用水池采取防渗措施，设置施工质量管理措施，工程施工时严格按照设计要求进行，开展施工期环境监理；汛期前对排洪构筑物进行安全监测；对回填平台及拦挡设施进行安全监测；严禁车辆带故障运行、严禁无证驾驶、超载、超高、超速行驶，运输车辆车厢关闭、篷布遮盖；编制应急预案并定期演练。</w:t>
            </w:r>
          </w:p>
          <w:p w14:paraId="306C9885">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4）分析结论</w:t>
            </w:r>
          </w:p>
          <w:p w14:paraId="5123E841">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该项目发生风险事故的概率较小，建设单位应该认真按照设计方案进行施工建设，并认真委托专业单位开展施工监理工作，生态修复回填作业过程中定期对回填完毕台阶和截排水沟进行巡检，根据应急预案做好各项风险防范措施，完善管理制度，项目环境风险可接受。</w:t>
            </w:r>
          </w:p>
          <w:p w14:paraId="6991D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表4-</w:t>
            </w:r>
            <w:r>
              <w:rPr>
                <w:rFonts w:hint="eastAsia" w:cs="Times New Roman"/>
                <w:b/>
                <w:color w:val="000000" w:themeColor="text1"/>
                <w:sz w:val="24"/>
                <w:highlight w:val="none"/>
                <w:lang w:val="en-US" w:eastAsia="zh-CN"/>
                <w14:textFill>
                  <w14:solidFill>
                    <w14:schemeClr w14:val="tx1"/>
                  </w14:solidFill>
                </w14:textFill>
              </w:rPr>
              <w:t>18</w:t>
            </w:r>
            <w:r>
              <w:rPr>
                <w:rFonts w:hint="eastAsia" w:ascii="Times New Roman" w:hAnsi="Times New Roman" w:eastAsia="宋体" w:cs="Times New Roman"/>
                <w:b/>
                <w:color w:val="000000" w:themeColor="text1"/>
                <w:sz w:val="24"/>
                <w:highlight w:val="none"/>
                <w14:textFill>
                  <w14:solidFill>
                    <w14:schemeClr w14:val="tx1"/>
                  </w14:solidFill>
                </w14:textFill>
              </w:rPr>
              <w:t xml:space="preserve">  建设项目环境风险简单分析内容表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898"/>
              <w:gridCol w:w="2232"/>
              <w:gridCol w:w="876"/>
              <w:gridCol w:w="2397"/>
            </w:tblGrid>
            <w:tr w14:paraId="715C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1B50412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建设项目名称</w:t>
                  </w:r>
                </w:p>
              </w:tc>
              <w:tc>
                <w:tcPr>
                  <w:tcW w:w="4092" w:type="pct"/>
                  <w:gridSpan w:val="4"/>
                  <w:vAlign w:val="center"/>
                </w:tcPr>
                <w:p w14:paraId="70E08BB2">
                  <w:pPr>
                    <w:widowControl/>
                    <w:tabs>
                      <w:tab w:val="left" w:pos="2209"/>
                    </w:tabs>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寻甸县常青树磷石膏库综合治理项目</w:t>
                  </w:r>
                </w:p>
              </w:tc>
            </w:tr>
            <w:tr w14:paraId="116A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77901AE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建设地点</w:t>
                  </w:r>
                </w:p>
              </w:tc>
              <w:tc>
                <w:tcPr>
                  <w:tcW w:w="4092" w:type="pct"/>
                  <w:gridSpan w:val="4"/>
                  <w:vAlign w:val="center"/>
                </w:tcPr>
                <w:p w14:paraId="6E641AF4">
                  <w:pPr>
                    <w:widowControl/>
                    <w:adjustRightInd w:val="0"/>
                    <w:snapToGrid w:val="0"/>
                    <w:spacing w:line="240" w:lineRule="auto"/>
                    <w:ind w:firstLine="0" w:firstLineChars="0"/>
                    <w:jc w:val="center"/>
                    <w:rPr>
                      <w:rFonts w:hint="eastAsia" w:eastAsia="宋体"/>
                      <w:color w:val="000000" w:themeColor="text1"/>
                      <w:kern w:val="0"/>
                      <w:sz w:val="21"/>
                      <w:szCs w:val="21"/>
                      <w:lang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寻甸县</w:t>
                  </w:r>
                  <w:r>
                    <w:rPr>
                      <w:rFonts w:hint="eastAsia"/>
                      <w:color w:val="000000" w:themeColor="text1"/>
                      <w:kern w:val="0"/>
                      <w:sz w:val="21"/>
                      <w:szCs w:val="21"/>
                      <w:lang w:eastAsia="zh-CN" w:bidi="ar"/>
                      <w14:textFill>
                        <w14:solidFill>
                          <w14:schemeClr w14:val="tx1"/>
                        </w14:solidFill>
                      </w14:textFill>
                    </w:rPr>
                    <w:t>塘子镇钟灵村委会令友采石场</w:t>
                  </w:r>
                </w:p>
              </w:tc>
            </w:tr>
            <w:tr w14:paraId="701B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4E3F8DE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地理坐标</w:t>
                  </w:r>
                </w:p>
              </w:tc>
              <w:tc>
                <w:tcPr>
                  <w:tcW w:w="574" w:type="pct"/>
                  <w:vAlign w:val="center"/>
                </w:tcPr>
                <w:p w14:paraId="7733F68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经度</w:t>
                  </w:r>
                </w:p>
              </w:tc>
              <w:tc>
                <w:tcPr>
                  <w:tcW w:w="1427" w:type="pct"/>
                  <w:vAlign w:val="center"/>
                </w:tcPr>
                <w:p w14:paraId="1F84FBC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103°17′39.40934″</w:t>
                  </w:r>
                </w:p>
              </w:tc>
              <w:tc>
                <w:tcPr>
                  <w:tcW w:w="560" w:type="pct"/>
                  <w:vAlign w:val="center"/>
                </w:tcPr>
                <w:p w14:paraId="4BBAA77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纬度</w:t>
                  </w:r>
                </w:p>
              </w:tc>
              <w:tc>
                <w:tcPr>
                  <w:tcW w:w="1530" w:type="pct"/>
                  <w:vAlign w:val="center"/>
                </w:tcPr>
                <w:p w14:paraId="52B7CC0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5°23′58.21863″</w:t>
                  </w:r>
                </w:p>
              </w:tc>
            </w:tr>
            <w:tr w14:paraId="4A27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6312B2B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主要危险物质及分布</w:t>
                  </w:r>
                </w:p>
              </w:tc>
              <w:tc>
                <w:tcPr>
                  <w:tcW w:w="4092" w:type="pct"/>
                  <w:gridSpan w:val="4"/>
                  <w:vAlign w:val="center"/>
                </w:tcPr>
                <w:p w14:paraId="5F5E9282">
                  <w:pPr>
                    <w:widowControl/>
                    <w:adjustRightInd w:val="0"/>
                    <w:snapToGrid w:val="0"/>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该项目环境风险为回填区的渗滤液发生渗漏，可能会对地下水和土壤造成污染。</w:t>
                  </w:r>
                </w:p>
              </w:tc>
            </w:tr>
            <w:tr w14:paraId="282A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659BE82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环境影响途径及危害后果</w:t>
                  </w:r>
                </w:p>
              </w:tc>
              <w:tc>
                <w:tcPr>
                  <w:tcW w:w="4092" w:type="pct"/>
                  <w:gridSpan w:val="4"/>
                  <w:vAlign w:val="center"/>
                </w:tcPr>
                <w:p w14:paraId="2925BF57">
                  <w:pPr>
                    <w:widowControl/>
                    <w:adjustRightInd w:val="0"/>
                    <w:snapToGrid w:val="0"/>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项目施工期可能由于工程质量问题或回填过程中操作不当造成回填修复区底层防渗层破损事故，对周边的地下水环境产生污染风险。</w:t>
                  </w:r>
                </w:p>
              </w:tc>
            </w:tr>
            <w:tr w14:paraId="1002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7659720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风险防范措施</w:t>
                  </w:r>
                </w:p>
              </w:tc>
              <w:tc>
                <w:tcPr>
                  <w:tcW w:w="4092" w:type="pct"/>
                  <w:gridSpan w:val="4"/>
                  <w:vAlign w:val="center"/>
                </w:tcPr>
                <w:p w14:paraId="60795EDF">
                  <w:pPr>
                    <w:widowControl/>
                    <w:spacing w:line="240" w:lineRule="auto"/>
                    <w:ind w:firstLine="0" w:firstLineChars="0"/>
                    <w:jc w:val="left"/>
                    <w:rPr>
                      <w:b/>
                      <w:bCs/>
                      <w:color w:val="000000" w:themeColor="text1"/>
                      <w:sz w:val="21"/>
                      <w:szCs w:val="21"/>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A、源头控制措施</w:t>
                  </w:r>
                </w:p>
                <w:p w14:paraId="2B397E7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①生态修复区回填料改性磷石膏按照HJ557规定方法制备改性磷石膏浸出液中任何一种特征污染物浓度均不应超过GB 8978最高允许排放浓度（第二类污染物最高允许排放浓度按照一级标准执行），才允许入场回填；</w:t>
                  </w:r>
                </w:p>
                <w:p w14:paraId="57B61CF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②建设单位设专</w:t>
                  </w:r>
                  <w:r>
                    <w:rPr>
                      <w:rFonts w:hint="eastAsia" w:ascii="Times New Roman" w:hAnsi="Times New Roman" w:eastAsia="宋体" w:cstheme="minorBidi"/>
                      <w:bCs/>
                      <w:color w:val="000000" w:themeColor="text1"/>
                      <w:kern w:val="2"/>
                      <w:sz w:val="21"/>
                      <w:szCs w:val="21"/>
                      <w:highlight w:val="none"/>
                      <w:lang w:val="en-US" w:eastAsia="zh-CN" w:bidi="ar-SA"/>
                      <w14:textFill>
                        <w14:solidFill>
                          <w14:schemeClr w14:val="tx1"/>
                        </w14:solidFill>
                      </w14:textFill>
                    </w:rPr>
                    <w:t>人管理回填料合格性检测，本项目改性磷石膏回填量约为</w:t>
                  </w:r>
                  <w:r>
                    <w:rPr>
                      <w:rFonts w:hint="eastAsia" w:cstheme="minorBidi"/>
                      <w:bCs/>
                      <w:color w:val="000000" w:themeColor="text1"/>
                      <w:kern w:val="2"/>
                      <w:sz w:val="21"/>
                      <w:szCs w:val="21"/>
                      <w:highlight w:val="none"/>
                      <w:lang w:val="en-US" w:eastAsia="zh-CN" w:bidi="ar-SA"/>
                      <w14:textFill>
                        <w14:solidFill>
                          <w14:schemeClr w14:val="tx1"/>
                        </w14:solidFill>
                      </w14:textFill>
                    </w:rPr>
                    <w:t>1500000</w:t>
                  </w:r>
                  <w:r>
                    <w:rPr>
                      <w:rFonts w:hint="eastAsia" w:ascii="Times New Roman" w:hAnsi="Times New Roman" w:eastAsia="宋体" w:cstheme="minorBidi"/>
                      <w:bCs/>
                      <w:color w:val="000000" w:themeColor="text1"/>
                      <w:kern w:val="2"/>
                      <w:sz w:val="21"/>
                      <w:szCs w:val="21"/>
                      <w:highlight w:val="none"/>
                      <w:lang w:val="en-US" w:eastAsia="zh-CN" w:bidi="ar-SA"/>
                      <w14:textFill>
                        <w14:solidFill>
                          <w14:schemeClr w14:val="tx1"/>
                        </w14:solidFill>
                      </w14:textFill>
                    </w:rPr>
                    <w:t>万吨，</w:t>
                  </w:r>
                  <w:r>
                    <w:rPr>
                      <w:rFonts w:hint="eastAsia" w:cstheme="minorBidi"/>
                      <w:bCs/>
                      <w:color w:val="000000" w:themeColor="text1"/>
                      <w:kern w:val="2"/>
                      <w:sz w:val="21"/>
                      <w:szCs w:val="21"/>
                      <w:highlight w:val="none"/>
                      <w:lang w:val="en-US" w:eastAsia="zh-CN" w:bidi="ar-SA"/>
                      <w14:textFill>
                        <w14:solidFill>
                          <w14:schemeClr w14:val="tx1"/>
                        </w14:solidFill>
                      </w14:textFill>
                    </w:rPr>
                    <w:t>1500000</w:t>
                  </w:r>
                  <w:r>
                    <w:rPr>
                      <w:rFonts w:hint="eastAsia" w:ascii="Times New Roman" w:hAnsi="Times New Roman" w:eastAsia="宋体" w:cstheme="minorBidi"/>
                      <w:bCs/>
                      <w:color w:val="000000" w:themeColor="text1"/>
                      <w:kern w:val="2"/>
                      <w:sz w:val="21"/>
                      <w:szCs w:val="21"/>
                      <w:highlight w:val="none"/>
                      <w:lang w:val="en-US" w:eastAsia="zh-CN" w:bidi="ar-SA"/>
                      <w14:textFill>
                        <w14:solidFill>
                          <w14:schemeClr w14:val="tx1"/>
                        </w14:solidFill>
                      </w14:textFill>
                    </w:rPr>
                    <w:t>T&gt;1000000T，以30000T改性磷石膏为一批次，</w:t>
                  </w:r>
                  <w:r>
                    <w:rPr>
                      <w:rFonts w:hint="eastAsia"/>
                      <w:color w:val="000000" w:themeColor="text1"/>
                      <w:kern w:val="0"/>
                      <w:sz w:val="21"/>
                      <w:szCs w:val="21"/>
                      <w:lang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p w14:paraId="0082C36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③从源头起进行严格控制，加大监督力度，对混入回填修复区的生活垃圾应立即清理出场；</w:t>
                  </w:r>
                </w:p>
                <w:p w14:paraId="338EB6F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④防止生活垃圾</w:t>
                  </w:r>
                  <w:r>
                    <w:rPr>
                      <w:rFonts w:hint="eastAsia"/>
                      <w:color w:val="000000" w:themeColor="text1"/>
                      <w:kern w:val="0"/>
                      <w:sz w:val="21"/>
                      <w:szCs w:val="21"/>
                      <w:lang w:eastAsia="zh-CN" w:bidi="ar"/>
                      <w14:textFill>
                        <w14:solidFill>
                          <w14:schemeClr w14:val="tx1"/>
                        </w14:solidFill>
                      </w14:textFill>
                    </w:rPr>
                    <w:t>、</w:t>
                  </w:r>
                  <w:r>
                    <w:rPr>
                      <w:rFonts w:hint="eastAsia"/>
                      <w:color w:val="000000" w:themeColor="text1"/>
                      <w:kern w:val="0"/>
                      <w:sz w:val="21"/>
                      <w:szCs w:val="21"/>
                      <w:lang w:val="en-US" w:eastAsia="zh-CN" w:bidi="ar"/>
                      <w14:textFill>
                        <w14:solidFill>
                          <w14:schemeClr w14:val="tx1"/>
                        </w14:solidFill>
                      </w14:textFill>
                    </w:rPr>
                    <w:t>废石、废土</w:t>
                  </w:r>
                  <w:r>
                    <w:rPr>
                      <w:rFonts w:hint="eastAsia"/>
                      <w:color w:val="000000" w:themeColor="text1"/>
                      <w:kern w:val="0"/>
                      <w:sz w:val="21"/>
                      <w:szCs w:val="21"/>
                      <w:lang w:bidi="ar"/>
                      <w14:textFill>
                        <w14:solidFill>
                          <w14:schemeClr w14:val="tx1"/>
                        </w14:solidFill>
                      </w14:textFill>
                    </w:rPr>
                    <w:t>混入，在回填、推平过程中也要检查，一旦发现生活垃圾</w:t>
                  </w:r>
                  <w:r>
                    <w:rPr>
                      <w:rFonts w:hint="eastAsia"/>
                      <w:color w:val="000000" w:themeColor="text1"/>
                      <w:kern w:val="0"/>
                      <w:sz w:val="21"/>
                      <w:szCs w:val="21"/>
                      <w:lang w:eastAsia="zh-CN" w:bidi="ar"/>
                      <w14:textFill>
                        <w14:solidFill>
                          <w14:schemeClr w14:val="tx1"/>
                        </w14:solidFill>
                      </w14:textFill>
                    </w:rPr>
                    <w:t>、</w:t>
                  </w:r>
                  <w:r>
                    <w:rPr>
                      <w:rFonts w:hint="eastAsia"/>
                      <w:color w:val="000000" w:themeColor="text1"/>
                      <w:kern w:val="0"/>
                      <w:sz w:val="21"/>
                      <w:szCs w:val="21"/>
                      <w:lang w:val="en-US" w:eastAsia="zh-CN" w:bidi="ar"/>
                      <w14:textFill>
                        <w14:solidFill>
                          <w14:schemeClr w14:val="tx1"/>
                        </w14:solidFill>
                      </w14:textFill>
                    </w:rPr>
                    <w:t>废石、废土</w:t>
                  </w:r>
                  <w:r>
                    <w:rPr>
                      <w:rFonts w:hint="eastAsia"/>
                      <w:color w:val="000000" w:themeColor="text1"/>
                      <w:kern w:val="0"/>
                      <w:sz w:val="21"/>
                      <w:szCs w:val="21"/>
                      <w:lang w:bidi="ar"/>
                      <w14:textFill>
                        <w14:solidFill>
                          <w14:schemeClr w14:val="tx1"/>
                        </w14:solidFill>
                      </w14:textFill>
                    </w:rPr>
                    <w:t>混入，应立即停止回填，确保生活垃圾</w:t>
                  </w:r>
                  <w:r>
                    <w:rPr>
                      <w:rFonts w:hint="eastAsia"/>
                      <w:color w:val="000000" w:themeColor="text1"/>
                      <w:kern w:val="0"/>
                      <w:sz w:val="21"/>
                      <w:szCs w:val="21"/>
                      <w:lang w:eastAsia="zh-CN" w:bidi="ar"/>
                      <w14:textFill>
                        <w14:solidFill>
                          <w14:schemeClr w14:val="tx1"/>
                        </w14:solidFill>
                      </w14:textFill>
                    </w:rPr>
                    <w:t>、</w:t>
                  </w:r>
                  <w:r>
                    <w:rPr>
                      <w:rFonts w:hint="eastAsia"/>
                      <w:color w:val="000000" w:themeColor="text1"/>
                      <w:kern w:val="0"/>
                      <w:sz w:val="21"/>
                      <w:szCs w:val="21"/>
                      <w:lang w:val="en-US" w:eastAsia="zh-CN" w:bidi="ar"/>
                      <w14:textFill>
                        <w14:solidFill>
                          <w14:schemeClr w14:val="tx1"/>
                        </w14:solidFill>
                      </w14:textFill>
                    </w:rPr>
                    <w:t>废石、废土</w:t>
                  </w:r>
                  <w:r>
                    <w:rPr>
                      <w:rFonts w:hint="eastAsia"/>
                      <w:color w:val="000000" w:themeColor="text1"/>
                      <w:kern w:val="0"/>
                      <w:sz w:val="21"/>
                      <w:szCs w:val="21"/>
                      <w:lang w:bidi="ar"/>
                      <w14:textFill>
                        <w14:solidFill>
                          <w14:schemeClr w14:val="tx1"/>
                        </w14:solidFill>
                      </w14:textFill>
                    </w:rPr>
                    <w:t>不得进入回填修复区。</w:t>
                  </w:r>
                </w:p>
                <w:p w14:paraId="050EAB5B">
                  <w:pPr>
                    <w:widowControl/>
                    <w:adjustRightInd w:val="0"/>
                    <w:snapToGrid w:val="0"/>
                    <w:spacing w:line="240" w:lineRule="auto"/>
                    <w:ind w:firstLine="0" w:firstLineChars="0"/>
                    <w:jc w:val="left"/>
                    <w:rPr>
                      <w:b/>
                      <w:bCs/>
                      <w:color w:val="000000" w:themeColor="text1"/>
                      <w:sz w:val="21"/>
                      <w:szCs w:val="21"/>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B、工程控制措施</w:t>
                  </w:r>
                </w:p>
                <w:p w14:paraId="1ED07DD1">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①基底处理</w:t>
                  </w:r>
                </w:p>
                <w:p w14:paraId="3F777C27">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生态修复区底部清基后铺设粘土层，压实处理后粘土层厚度0.75</w:t>
                  </w:r>
                  <w:r>
                    <w:rPr>
                      <w:color w:val="000000" w:themeColor="text1"/>
                      <w:kern w:val="0"/>
                      <w:sz w:val="21"/>
                      <w:szCs w:val="21"/>
                      <w:lang w:bidi="ar"/>
                      <w14:textFill>
                        <w14:solidFill>
                          <w14:schemeClr w14:val="tx1"/>
                        </w14:solidFill>
                      </w14:textFill>
                    </w:rPr>
                    <w:t>m</w:t>
                  </w:r>
                  <w:r>
                    <w:rPr>
                      <w:rFonts w:hint="eastAsia"/>
                      <w:color w:val="000000" w:themeColor="text1"/>
                      <w:kern w:val="0"/>
                      <w:sz w:val="21"/>
                      <w:szCs w:val="21"/>
                      <w:lang w:bidi="ar"/>
                      <w14:textFill>
                        <w14:solidFill>
                          <w14:schemeClr w14:val="tx1"/>
                        </w14:solidFill>
                      </w14:textFill>
                    </w:rPr>
                    <w:t>，压实后的粘土层进行渗透试验，渗透系数满足</w:t>
                  </w:r>
                  <w:r>
                    <w:rPr>
                      <w:color w:val="000000" w:themeColor="text1"/>
                      <w:kern w:val="0"/>
                      <w:sz w:val="21"/>
                      <w:szCs w:val="21"/>
                      <w:lang w:bidi="ar"/>
                      <w14:textFill>
                        <w14:solidFill>
                          <w14:schemeClr w14:val="tx1"/>
                        </w14:solidFill>
                      </w14:textFill>
                    </w:rPr>
                    <w:t>1.0×10</w:t>
                  </w:r>
                  <w:r>
                    <w:rPr>
                      <w:rFonts w:hint="eastAsia"/>
                      <w:color w:val="000000" w:themeColor="text1"/>
                      <w:kern w:val="0"/>
                      <w:vertAlign w:val="superscript"/>
                      <w:lang w:bidi="ar"/>
                      <w14:textFill>
                        <w14:solidFill>
                          <w14:schemeClr w14:val="tx1"/>
                        </w14:solidFill>
                      </w14:textFill>
                    </w:rPr>
                    <w:t>-</w:t>
                  </w:r>
                  <w:r>
                    <w:rPr>
                      <w:color w:val="000000" w:themeColor="text1"/>
                      <w:kern w:val="0"/>
                      <w:sz w:val="21"/>
                      <w:szCs w:val="21"/>
                      <w:vertAlign w:val="superscript"/>
                      <w:lang w:bidi="ar"/>
                      <w14:textFill>
                        <w14:solidFill>
                          <w14:schemeClr w14:val="tx1"/>
                        </w14:solidFill>
                      </w14:textFill>
                    </w:rPr>
                    <w:t>5</w:t>
                  </w:r>
                  <w:r>
                    <w:rPr>
                      <w:color w:val="000000" w:themeColor="text1"/>
                      <w:kern w:val="0"/>
                      <w:sz w:val="21"/>
                      <w:szCs w:val="21"/>
                      <w:lang w:bidi="ar"/>
                      <w14:textFill>
                        <w14:solidFill>
                          <w14:schemeClr w14:val="tx1"/>
                        </w14:solidFill>
                      </w14:textFill>
                    </w:rPr>
                    <w:t>cm/s</w:t>
                  </w:r>
                  <w:r>
                    <w:rPr>
                      <w:rFonts w:hint="eastAsia"/>
                      <w:color w:val="000000" w:themeColor="text1"/>
                      <w:kern w:val="0"/>
                      <w:sz w:val="21"/>
                      <w:szCs w:val="21"/>
                      <w:lang w:bidi="ar"/>
                      <w14:textFill>
                        <w14:solidFill>
                          <w14:schemeClr w14:val="tx1"/>
                        </w14:solidFill>
                      </w14:textFill>
                    </w:rPr>
                    <w:t>要求后再进行地下水导排管和人工防渗膜铺设。</w:t>
                  </w:r>
                </w:p>
                <w:p w14:paraId="65E2AF5B">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②填充场底部防渗措施</w:t>
                  </w:r>
                </w:p>
                <w:p w14:paraId="16E784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库底整平压实基础层&lt;地下水导排盲沟在其中&gt;+300mm厚粘土层</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土工布+1.5mmHDPE单糙面防渗膜</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土工布；（4）改性磷石膏填料回填</w:t>
                  </w:r>
                  <w:r>
                    <w:rPr>
                      <w:rFonts w:hint="eastAsia" w:cs="Times New Roman"/>
                      <w:color w:val="000000" w:themeColor="text1"/>
                      <w:sz w:val="21"/>
                      <w:szCs w:val="21"/>
                      <w:highlight w:val="none"/>
                      <w:lang w:eastAsia="zh-CN"/>
                      <w14:textFill>
                        <w14:solidFill>
                          <w14:schemeClr w14:val="tx1"/>
                        </w14:solidFill>
                      </w14:textFill>
                    </w:rPr>
                    <w:t>。</w:t>
                  </w:r>
                </w:p>
                <w:p w14:paraId="05D756C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b</w:t>
                  </w:r>
                  <w:r>
                    <w:rPr>
                      <w:rFonts w:hint="eastAsia"/>
                      <w:color w:val="000000" w:themeColor="text1"/>
                      <w:kern w:val="0"/>
                      <w:sz w:val="21"/>
                      <w:szCs w:val="21"/>
                      <w:lang w:bidi="ar"/>
                      <w14:textFill>
                        <w14:solidFill>
                          <w14:schemeClr w14:val="tx1"/>
                        </w14:solidFill>
                      </w14:textFill>
                    </w:rPr>
                    <w:t>、防渗层保护</w:t>
                  </w:r>
                </w:p>
                <w:p w14:paraId="31297307">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底部防渗层铺设前须铺设0.75</w:t>
                  </w:r>
                  <w:r>
                    <w:rPr>
                      <w:color w:val="000000" w:themeColor="text1"/>
                      <w:kern w:val="0"/>
                      <w:sz w:val="21"/>
                      <w:szCs w:val="21"/>
                      <w:lang w:bidi="ar"/>
                      <w14:textFill>
                        <w14:solidFill>
                          <w14:schemeClr w14:val="tx1"/>
                        </w14:solidFill>
                      </w14:textFill>
                    </w:rPr>
                    <w:t>m</w:t>
                  </w:r>
                  <w:r>
                    <w:rPr>
                      <w:rFonts w:hint="eastAsia"/>
                      <w:color w:val="000000" w:themeColor="text1"/>
                      <w:kern w:val="0"/>
                      <w:sz w:val="21"/>
                      <w:szCs w:val="21"/>
                      <w:lang w:bidi="ar"/>
                      <w14:textFill>
                        <w14:solidFill>
                          <w14:schemeClr w14:val="tx1"/>
                        </w14:solidFill>
                      </w14:textFill>
                    </w:rPr>
                    <w:t>压实粘土层；顶部防渗层铺设完成后，铺设5</w:t>
                  </w:r>
                  <w:r>
                    <w:rPr>
                      <w:color w:val="000000" w:themeColor="text1"/>
                      <w:kern w:val="0"/>
                      <w:sz w:val="21"/>
                      <w:szCs w:val="21"/>
                      <w:lang w:bidi="ar"/>
                      <w14:textFill>
                        <w14:solidFill>
                          <w14:schemeClr w14:val="tx1"/>
                        </w14:solidFill>
                      </w14:textFill>
                    </w:rPr>
                    <w:t>0cm</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100cm</w:t>
                  </w:r>
                  <w:r>
                    <w:rPr>
                      <w:rFonts w:hint="eastAsia"/>
                      <w:color w:val="000000" w:themeColor="text1"/>
                      <w:kern w:val="0"/>
                      <w:sz w:val="21"/>
                      <w:szCs w:val="21"/>
                      <w:lang w:bidi="ar"/>
                      <w14:textFill>
                        <w14:solidFill>
                          <w14:schemeClr w14:val="tx1"/>
                        </w14:solidFill>
                      </w14:textFill>
                    </w:rPr>
                    <w:t>耕植土层后进行植被种植。</w:t>
                  </w:r>
                </w:p>
                <w:p w14:paraId="1E2E9FB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c</w:t>
                  </w:r>
                  <w:r>
                    <w:rPr>
                      <w:rFonts w:hint="eastAsia"/>
                      <w:color w:val="000000" w:themeColor="text1"/>
                      <w:kern w:val="0"/>
                      <w:sz w:val="21"/>
                      <w:szCs w:val="21"/>
                      <w:lang w:bidi="ar"/>
                      <w14:textFill>
                        <w14:solidFill>
                          <w14:schemeClr w14:val="tx1"/>
                        </w14:solidFill>
                      </w14:textFill>
                    </w:rPr>
                    <w:t>、施工质量管理</w:t>
                  </w:r>
                </w:p>
                <w:p w14:paraId="7DB331C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施工方案包括施工质量保证和施工质量控制内容，明确环保条款和责任，施工完毕后保存施工报告、全套竣工图、所有材料的现场及实验室检测报告，提供人工防渗衬层完整性检测报告。</w:t>
                  </w:r>
                </w:p>
                <w:p w14:paraId="5E8AC0B8">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d</w:t>
                  </w:r>
                  <w:r>
                    <w:rPr>
                      <w:rFonts w:hint="eastAsia"/>
                      <w:color w:val="000000" w:themeColor="text1"/>
                      <w:kern w:val="0"/>
                      <w:sz w:val="21"/>
                      <w:szCs w:val="21"/>
                      <w:lang w:bidi="ar"/>
                      <w14:textFill>
                        <w14:solidFill>
                          <w14:schemeClr w14:val="tx1"/>
                        </w14:solidFill>
                      </w14:textFill>
                    </w:rPr>
                    <w:t>、防渗材料性能要求</w:t>
                  </w:r>
                </w:p>
                <w:p w14:paraId="0C1029B0">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双糙面防渗土工膜性能要求：土工膜幅宽应≥7m，极限厚度偏差应控制在±10%之内；土工膜产品颜色要求为黑色，外观质量应符合CJ/T234-2006的规定；其他性能指标应符合CJ/T234-2006的规定。</w:t>
                  </w:r>
                </w:p>
                <w:p w14:paraId="631C0C6B">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土工布性能要求：土工布原材料采用抗氧化性和紫外线强的长丝无纺土工布；土工布外观质量需逐卷进行检验和评定，每卷土工布不得出现孔洞和破损；外观疵点不得出现下表中的重缺陷，轻缺陷每200㎡不超过5个。</w:t>
                  </w:r>
                </w:p>
                <w:p w14:paraId="461549A6">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③回填物料压实处置</w:t>
                  </w:r>
                </w:p>
                <w:p w14:paraId="39B74AE8">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根据查阅《某磷石膏尾矿库堆积坝渗透稳定性分析》（工程地质学报，</w:t>
                  </w:r>
                  <w:r>
                    <w:rPr>
                      <w:color w:val="000000" w:themeColor="text1"/>
                      <w:kern w:val="0"/>
                      <w:sz w:val="21"/>
                      <w:szCs w:val="21"/>
                      <w:lang w:bidi="ar"/>
                      <w14:textFill>
                        <w14:solidFill>
                          <w14:schemeClr w14:val="tx1"/>
                        </w14:solidFill>
                      </w14:textFill>
                    </w:rPr>
                    <w:t>1004-9665/2016/24</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4</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-0661-07</w:t>
                  </w:r>
                  <w:r>
                    <w:rPr>
                      <w:rFonts w:hint="eastAsia"/>
                      <w:color w:val="000000" w:themeColor="text1"/>
                      <w:kern w:val="0"/>
                      <w:sz w:val="21"/>
                      <w:szCs w:val="21"/>
                      <w:lang w:bidi="ar"/>
                      <w14:textFill>
                        <w14:solidFill>
                          <w14:schemeClr w14:val="tx1"/>
                        </w14:solidFill>
                      </w14:textFill>
                    </w:rPr>
                    <w:t>，褚学伟，许模，王中美），磷石膏随着堆积深度加深，渗透系数减小。要求磷石膏基生态修复材料堆排时进行压实，回填体施工必须严格按照《云南省寻甸县</w:t>
                  </w:r>
                  <w:r>
                    <w:rPr>
                      <w:rFonts w:hint="eastAsia"/>
                      <w:color w:val="000000" w:themeColor="text1"/>
                      <w:kern w:val="0"/>
                      <w:sz w:val="21"/>
                      <w:szCs w:val="21"/>
                      <w:lang w:eastAsia="zh-CN" w:bidi="ar"/>
                      <w14:textFill>
                        <w14:solidFill>
                          <w14:schemeClr w14:val="tx1"/>
                        </w14:solidFill>
                      </w14:textFill>
                    </w:rPr>
                    <w:t>塘子镇钟灵村委会令友采石场废弃矿坑</w:t>
                  </w:r>
                  <w:r>
                    <w:rPr>
                      <w:rFonts w:hint="eastAsia"/>
                      <w:color w:val="000000" w:themeColor="text1"/>
                      <w:kern w:val="0"/>
                      <w:sz w:val="21"/>
                      <w:szCs w:val="21"/>
                      <w:lang w:bidi="ar"/>
                      <w14:textFill>
                        <w14:solidFill>
                          <w14:schemeClr w14:val="tx1"/>
                        </w14:solidFill>
                      </w14:textFill>
                    </w:rPr>
                    <w:t>生态修复实施方案》进行施工，落实好施工监理，确保回填堆体稳定、安全，规范施工。</w:t>
                  </w:r>
                </w:p>
                <w:p w14:paraId="47C18BC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④渗滤液导排</w:t>
                  </w:r>
                </w:p>
                <w:p w14:paraId="7F1CD4D1">
                  <w:pPr>
                    <w:widowControl/>
                    <w:spacing w:line="240" w:lineRule="auto"/>
                    <w:ind w:firstLine="0" w:firstLineChars="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采石场底部防渗完成后，在防渗层上设置渗滤液收集导排盲沟，沟内铺设厚400mm的卵石，卵石采用200g/m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土工布包裹。导排盲沟内置dn200塑料盲沟管排渗，塑料盲沟管穿孔管外侧采用200g/m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土工布包裹，沿线排水控制坡度2%，导排管接至渗滤液收集池</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153D9E93">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⑤地下水导排</w:t>
                  </w:r>
                </w:p>
                <w:p w14:paraId="23EB54BD">
                  <w:pPr>
                    <w:widowControl/>
                    <w:spacing w:line="240" w:lineRule="auto"/>
                    <w:ind w:firstLine="0" w:firstLineChars="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采石</w:t>
                  </w:r>
                  <w:r>
                    <w:rPr>
                      <w:rFonts w:hint="default" w:ascii="Times New Roman" w:hAnsi="Times New Roman" w:eastAsia="宋体" w:cs="Times New Roman"/>
                      <w:color w:val="000000" w:themeColor="text1"/>
                      <w:sz w:val="21"/>
                      <w:szCs w:val="21"/>
                      <w:highlight w:val="none"/>
                      <w14:textFill>
                        <w14:solidFill>
                          <w14:schemeClr w14:val="tx1"/>
                        </w14:solidFill>
                      </w14:textFill>
                    </w:rPr>
                    <w:t>场地下水导排盲沟在回填区底部整平后，开挖顶宽1500mm，高度500mm，底宽500mm的沟槽，采用土工布包裹碎石充填，碎石内埋设DN200塑料盲沟管。</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塑料盲沟</w:t>
                  </w:r>
                  <w:r>
                    <w:rPr>
                      <w:rFonts w:hint="default" w:ascii="Times New Roman" w:hAnsi="Times New Roman" w:eastAsia="宋体" w:cs="Times New Roman"/>
                      <w:color w:val="000000" w:themeColor="text1"/>
                      <w:sz w:val="21"/>
                      <w:szCs w:val="21"/>
                      <w:highlight w:val="none"/>
                      <w14:textFill>
                        <w14:solidFill>
                          <w14:schemeClr w14:val="tx1"/>
                        </w14:solidFill>
                      </w14:textFill>
                    </w:rPr>
                    <w:t>管接至拦挡坝下游地下水收集池</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A94B33E">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⑥植被选择</w:t>
                  </w:r>
                </w:p>
                <w:p w14:paraId="534A5577">
                  <w:pPr>
                    <w:widowControl/>
                    <w:spacing w:line="240" w:lineRule="auto"/>
                    <w:ind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本次生态修复，乔木选用圆柏、旱冬瓜，灌木选用车桑子、火棘，草种选用狗牙根、白三叶、黑麦草混播。</w:t>
                  </w:r>
                </w:p>
                <w:p w14:paraId="654F64E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C、末端监管</w:t>
                  </w:r>
                </w:p>
                <w:p w14:paraId="31DE9117">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①末端监管主要采取设置地下水监控井，建立回填修复区地下水环境监控体系，包括建立地下水污染监控制度和环境管理体系，制定监测计划。</w:t>
                  </w:r>
                </w:p>
                <w:p w14:paraId="4270E869">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根据《改性磷石膏用于矿山废弃地生态修复回填技术规范》（DB53/T1269-2024）</w:t>
                  </w:r>
                  <w:r>
                    <w:rPr>
                      <w:rFonts w:hint="eastAsia"/>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《磷石膏利用和无害化贮存污染控制技术规范》（HJ1415—2025）</w:t>
                  </w:r>
                  <w:r>
                    <w:rPr>
                      <w:rFonts w:hint="eastAsia"/>
                      <w:color w:val="000000" w:themeColor="text1"/>
                      <w:kern w:val="0"/>
                      <w:sz w:val="21"/>
                      <w:szCs w:val="21"/>
                      <w:lang w:bidi="ar"/>
                      <w14:textFill>
                        <w14:solidFill>
                          <w14:schemeClr w14:val="tx1"/>
                        </w14:solidFill>
                      </w14:textFill>
                    </w:rPr>
                    <w:t>，并结合项目实际水文地质调查情况，项目区项目区</w:t>
                  </w:r>
                  <w:r>
                    <w:rPr>
                      <w:rFonts w:hint="eastAsia"/>
                      <w:color w:val="000000" w:themeColor="text1"/>
                      <w:kern w:val="0"/>
                      <w:sz w:val="21"/>
                      <w:szCs w:val="21"/>
                      <w:lang w:val="en-US" w:eastAsia="zh-CN" w:bidi="ar"/>
                      <w14:textFill>
                        <w14:solidFill>
                          <w14:schemeClr w14:val="tx1"/>
                        </w14:solidFill>
                      </w14:textFill>
                    </w:rPr>
                    <w:t>共设置</w:t>
                  </w:r>
                  <w:r>
                    <w:rPr>
                      <w:rFonts w:hint="default" w:ascii="Times New Roman" w:hAnsi="Times New Roman" w:cs="Times New Roman"/>
                      <w:color w:val="000000" w:themeColor="text1"/>
                      <w:kern w:val="0"/>
                      <w:sz w:val="21"/>
                      <w:szCs w:val="21"/>
                      <w14:textFill>
                        <w14:solidFill>
                          <w14:schemeClr w14:val="tx1"/>
                        </w14:solidFill>
                      </w14:textFill>
                    </w:rPr>
                    <w:t>7口</w:t>
                  </w:r>
                  <w:r>
                    <w:rPr>
                      <w:rFonts w:hint="default" w:ascii="Times New Roman" w:hAnsi="Times New Roman" w:cs="Times New Roman"/>
                      <w:color w:val="000000" w:themeColor="text1"/>
                      <w:kern w:val="0"/>
                      <w:sz w:val="21"/>
                      <w:szCs w:val="21"/>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跟踪监控井</w:t>
                  </w:r>
                  <w:r>
                    <w:rPr>
                      <w:rFonts w:hint="default" w:ascii="Times New Roman" w:hAnsi="Times New Roman" w:cs="Times New Roman"/>
                      <w:color w:val="000000" w:themeColor="text1"/>
                      <w:kern w:val="0"/>
                      <w:sz w:val="21"/>
                      <w:szCs w:val="21"/>
                      <w:lang w:bidi="ar"/>
                      <w14:textFill>
                        <w14:solidFill>
                          <w14:schemeClr w14:val="tx1"/>
                        </w14:solidFill>
                      </w14:textFill>
                    </w:rPr>
                    <w:t>。</w:t>
                  </w:r>
                  <w:r>
                    <w:rPr>
                      <w:rFonts w:hint="eastAsia"/>
                      <w:color w:val="000000" w:themeColor="text1"/>
                      <w:kern w:val="0"/>
                      <w:sz w:val="21"/>
                      <w:szCs w:val="21"/>
                      <w:lang w:bidi="ar"/>
                      <w14:textFill>
                        <w14:solidFill>
                          <w14:schemeClr w14:val="tx1"/>
                        </w14:solidFill>
                      </w14:textFill>
                    </w:rPr>
                    <w:t>对项目监控井水质持续跟踪监测。</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根据《改性磷石膏用于矿山废弃地生态修复回填技术规范》（DB53/T1269-2024）</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《磷石膏利用和无害化贮存污染控制技术规范》（HJ1415—2025）</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在采石场设置1口地下水</w:t>
                  </w:r>
                  <w:r>
                    <w:rPr>
                      <w:rFonts w:hint="eastAsia" w:cs="Times New Roman"/>
                      <w:color w:val="000000" w:themeColor="text1"/>
                      <w:kern w:val="0"/>
                      <w:sz w:val="21"/>
                      <w:szCs w:val="21"/>
                      <w:lang w:val="en-US" w:eastAsia="zh-CN" w:bidi="ar"/>
                      <w14:textFill>
                        <w14:solidFill>
                          <w14:schemeClr w14:val="tx1"/>
                        </w14:solidFill>
                      </w14:textFill>
                    </w:rPr>
                    <w:t>收集井</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，通过检测结果判断是否发生</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因防渗衬层破损</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而</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导致渗漏问题</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发生的情况</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w:t>
                  </w:r>
                </w:p>
                <w:p w14:paraId="0090E1C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②排洪构筑物安全监测</w:t>
                  </w:r>
                </w:p>
                <w:p w14:paraId="5133779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排洪构筑物在汛期前应进行一次安全大检查，检查构筑物有无变形、位移、损毁、淤堵等情况，汛期应每天观察排水能力，发现异常，立即排除。</w:t>
                  </w:r>
                </w:p>
                <w:p w14:paraId="3E80FC29">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③回填平台安全监测</w:t>
                  </w:r>
                </w:p>
                <w:p w14:paraId="75567753">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回填安全监测内容包括：拦挡设施坝体轮廓尺寸、变形、裂缝、滑坡和渗漏、坝面保护监测等。平台位移监测可采用视准线法和前方交汇法。</w:t>
                  </w:r>
                </w:p>
                <w:p w14:paraId="112CA178">
                  <w:pPr>
                    <w:widowControl/>
                    <w:spacing w:line="240" w:lineRule="auto"/>
                    <w:ind w:firstLine="0" w:firstLineChars="0"/>
                    <w:jc w:val="left"/>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D、应急措施</w:t>
                  </w:r>
                </w:p>
                <w:p w14:paraId="783B24E0">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在监控井水质异常情况下，须立即采取应急措施，对下游监控井进行抽水，阻断污染源进一步向下游扩散，启动应急方案，对泄漏渗滤液水质进行监测，将渗滤液抽排至回用水池暂存。</w:t>
                  </w:r>
                </w:p>
              </w:tc>
            </w:tr>
            <w:tr w14:paraId="5800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4CD9BBA7">
                  <w:pPr>
                    <w:widowControl/>
                    <w:adjustRightInd w:val="0"/>
                    <w:snapToGrid w:val="0"/>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调表说明（列出项目相关信息及评价说明）</w:t>
                  </w:r>
                </w:p>
              </w:tc>
            </w:tr>
          </w:tbl>
          <w:p w14:paraId="32DA97C1">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（4）生态环境</w:t>
            </w:r>
          </w:p>
          <w:p w14:paraId="06FC830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现场勘查，矿坑经前期多年矿山开采，矿界范围内土地遭到大面积破坏、区内植被遭受破坏程度严重、现矿坑周边仅少量地表植被覆盖、水土流失严重、生态环境差；矿坑内挖方边坡、填方边坡随处可见，形成了较多的不稳定斜坡等地质灾害体，影响周边山体的稳定。</w:t>
            </w:r>
          </w:p>
          <w:p w14:paraId="203C95EA">
            <w:pPr>
              <w:widowControl/>
              <w:ind w:firstLine="480"/>
              <w:jc w:val="left"/>
              <w:rPr>
                <w:rFonts w:hint="eastAsia" w:ascii="Times New Roman" w:hAnsi="Times New Roman" w:eastAsia="宋体" w:cs="Times New Roman"/>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水土流失：项目边坡治理过程中可能会加重区域的水土流失情况，引起地质环境灾害。在施工过程中严格按照项目生态修复方案进行施工及边坡稳定处理，并在施工过程中采取水土保持措施，以减缓施工过程中的生态影响</w:t>
            </w:r>
            <w:r>
              <w:rPr>
                <w:rFonts w:hint="eastAsia" w:ascii="Times New Roman" w:hAnsi="Times New Roman" w:eastAsia="宋体" w:cs="Times New Roman"/>
                <w:color w:val="000000" w:themeColor="text1"/>
                <w:kern w:val="0"/>
                <w:lang w:bidi="ar"/>
                <w14:textFill>
                  <w14:solidFill>
                    <w14:schemeClr w14:val="tx1"/>
                  </w14:solidFill>
                </w14:textFill>
              </w:rPr>
              <w:t>。</w:t>
            </w:r>
          </w:p>
          <w:p w14:paraId="4F500614">
            <w:pPr>
              <w:widowControl/>
              <w:ind w:firstLine="48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kern w:val="0"/>
                <w:lang w:bidi="ar"/>
                <w14:textFill>
                  <w14:solidFill>
                    <w14:schemeClr w14:val="tx1"/>
                  </w14:solidFill>
                </w14:textFill>
              </w:rPr>
              <w:t>②植被：项目区内已基本无原生植被，因此项目建设对建设区内的植被破坏不大；项目建设的最终目的是对矿坑进行生态修复，对回填区坡面、平台全面覆土耕植土，覆土厚度</w:t>
            </w:r>
            <w:r>
              <w:rPr>
                <w:rFonts w:hint="eastAsia" w:ascii="Times New Roman" w:hAnsi="Times New Roman" w:eastAsia="宋体" w:cs="Times New Roman"/>
                <w:color w:val="000000" w:themeColor="text1"/>
                <w:kern w:val="0"/>
                <w:lang w:val="en-US" w:eastAsia="zh-CN" w:bidi="ar"/>
                <w14:textFill>
                  <w14:solidFill>
                    <w14:schemeClr w14:val="tx1"/>
                  </w14:solidFill>
                </w14:textFill>
              </w:rPr>
              <w:t>0.6</w:t>
            </w:r>
            <w:r>
              <w:rPr>
                <w:rFonts w:hint="eastAsia" w:ascii="Times New Roman" w:hAnsi="Times New Roman" w:eastAsia="宋体" w:cs="Times New Roman"/>
                <w:color w:val="000000" w:themeColor="text1"/>
                <w:kern w:val="0"/>
                <w:lang w:bidi="ar"/>
                <w14:textFill>
                  <w14:solidFill>
                    <w14:schemeClr w14:val="tx1"/>
                  </w14:solidFill>
                </w14:textFill>
              </w:rPr>
              <w:t>m，外购耕植土；</w:t>
            </w:r>
            <w:r>
              <w:rPr>
                <w:rFonts w:hint="default" w:ascii="Times New Roman" w:hAnsi="Times New Roman" w:eastAsia="宋体" w:cs="Times New Roman"/>
                <w:color w:val="000000" w:themeColor="text1"/>
                <w:kern w:val="0"/>
                <w:lang w:bidi="ar"/>
                <w14:textFill>
                  <w14:solidFill>
                    <w14:schemeClr w14:val="tx1"/>
                  </w14:solidFill>
                </w14:textFill>
              </w:rPr>
              <w:t>种植点采用穴状整地，覆土用人工整平、压实。人工造林乔木（圆柏、旱冬瓜）种植坑穴为50×50×50cm，灌木（火棘、车桑子）种植坑穴为30×30×30cm，草籽为直接撒播，整地时间一般应在造林前一个月。①种植穴规格：乔木树穴规格均为长×宽×深（50×50×50cm）；灌木树穴规格均为长×宽×深（30×30×30cm）；②栽植时间：在各区土方工程完成后进行。③造林密度：乔木：167株/亩，株间距2m×2m。灌木：333株/亩，株间距2m×1m。草种：65kg/hm</w:t>
            </w:r>
            <w:r>
              <w:rPr>
                <w:rFonts w:hint="default" w:ascii="Times New Roman" w:hAnsi="Times New Roman" w:eastAsia="宋体" w:cs="Times New Roman"/>
                <w:color w:val="000000" w:themeColor="text1"/>
                <w:kern w:val="0"/>
                <w:vertAlign w:val="superscript"/>
                <w:lang w:bidi="ar"/>
                <w14:textFill>
                  <w14:solidFill>
                    <w14:schemeClr w14:val="tx1"/>
                  </w14:solidFill>
                </w14:textFill>
              </w:rPr>
              <w:t>2</w:t>
            </w:r>
            <w:r>
              <w:rPr>
                <w:rFonts w:hint="default" w:ascii="Times New Roman" w:hAnsi="Times New Roman" w:eastAsia="宋体" w:cs="Times New Roman"/>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届时因矿区开发建设而造成的植被破坏将得到恢复，在较短的时间尺度上来看，因该项目建设而造成的少量植被的破坏是暂时的和可逆的。</w:t>
            </w:r>
          </w:p>
          <w:p w14:paraId="4C05FF7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③项目区内原生生态系统已完全破坏，野生动物生境完全恶化，不再适宜野生动物生存，项目区内野生动物不得不迁徙另辟生境，现状区内未发现大中型野生动物存在，待生态恢复后，届时因矿区开发建设而造成植被破坏将得到恢复，动物逐渐回迁。施工期间要求文明施工，严禁非法猎捕鸟类、兽类等野生动物。</w:t>
            </w:r>
          </w:p>
          <w:p w14:paraId="1D2635AD">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④景观：现在项目区内主要为裸露的岩石地表，基本没有植被覆盖，呈现一块灰白色的块状，与周边的绿色林地形成鲜明对比，严重影响了这一片区的景观。项目生态修复完成后，</w:t>
            </w:r>
            <w:r>
              <w:rPr>
                <w:rFonts w:hint="eastAsia"/>
                <w:color w:val="000000" w:themeColor="text1"/>
                <w14:textFill>
                  <w14:solidFill>
                    <w14:schemeClr w14:val="tx1"/>
                  </w14:solidFill>
                </w14:textFill>
              </w:rPr>
              <w:t>恢复旱地</w:t>
            </w:r>
            <w:r>
              <w:rPr>
                <w:rFonts w:hint="eastAsia"/>
                <w:color w:val="000000" w:themeColor="text1"/>
                <w:lang w:val="en-US" w:eastAsia="zh-CN"/>
                <w14:textFill>
                  <w14:solidFill>
                    <w14:schemeClr w14:val="tx1"/>
                  </w14:solidFill>
                </w14:textFill>
              </w:rPr>
              <w:t>3.5084</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，乔木林地</w:t>
            </w:r>
            <w:r>
              <w:rPr>
                <w:rFonts w:hint="eastAsia"/>
                <w:color w:val="000000" w:themeColor="text1"/>
                <w:lang w:val="en-US" w:eastAsia="zh-CN"/>
                <w14:textFill>
                  <w14:solidFill>
                    <w14:schemeClr w14:val="tx1"/>
                  </w14:solidFill>
                </w14:textFill>
              </w:rPr>
              <w:t>0.3696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，灌木林地</w:t>
            </w:r>
            <w:r>
              <w:rPr>
                <w:rFonts w:hint="eastAsia"/>
                <w:color w:val="000000" w:themeColor="text1"/>
                <w:lang w:val="en-US" w:eastAsia="zh-CN"/>
                <w14:textFill>
                  <w14:solidFill>
                    <w14:schemeClr w14:val="tx1"/>
                  </w14:solidFill>
                </w14:textFill>
              </w:rPr>
              <w:t>2.3506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其他草地0.0846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lang w:eastAsia="zh-CN"/>
                <w14:textFill>
                  <w14:solidFill>
                    <w14:schemeClr w14:val="tx1"/>
                  </w14:solidFill>
                </w14:textFill>
              </w:rPr>
              <w:t>。</w:t>
            </w:r>
          </w:p>
          <w:p w14:paraId="5D799356">
            <w:pPr>
              <w:widowControl/>
              <w:ind w:firstLine="480"/>
              <w:jc w:val="left"/>
              <w:rPr>
                <w:rFonts w:hint="eastAsia"/>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⑤</w:t>
            </w:r>
            <w:r>
              <w:rPr>
                <w:color w:val="000000" w:themeColor="text1"/>
                <w:kern w:val="0"/>
                <w:lang w:bidi="ar"/>
                <w14:textFill>
                  <w14:solidFill>
                    <w14:schemeClr w14:val="tx1"/>
                  </w14:solidFill>
                </w14:textFill>
              </w:rPr>
              <w:t>本项目为废弃矿坑生态修复项目，项目占地面积</w:t>
            </w:r>
            <w:r>
              <w:rPr>
                <w:rFonts w:hint="eastAsia"/>
                <w:color w:val="000000" w:themeColor="text1"/>
                <w:kern w:val="0"/>
                <w:lang w:eastAsia="zh-CN" w:bidi="ar"/>
                <w14:textFill>
                  <w14:solidFill>
                    <w14:schemeClr w14:val="tx1"/>
                  </w14:solidFill>
                </w14:textFill>
              </w:rPr>
              <w:t>63132</w:t>
            </w:r>
            <w:r>
              <w:rPr>
                <w:color w:val="000000" w:themeColor="text1"/>
                <w:kern w:val="0"/>
                <w:lang w:bidi="ar"/>
                <w14:textFill>
                  <w14:solidFill>
                    <w14:schemeClr w14:val="tx1"/>
                  </w14:solidFill>
                </w14:textFill>
              </w:rPr>
              <w:t>m</w:t>
            </w:r>
            <w:r>
              <w:rPr>
                <w:color w:val="000000" w:themeColor="text1"/>
                <w:kern w:val="0"/>
                <w:vertAlign w:val="superscript"/>
                <w:lang w:bidi="ar"/>
                <w14:textFill>
                  <w14:solidFill>
                    <w14:schemeClr w14:val="tx1"/>
                  </w14:solidFill>
                </w14:textFill>
              </w:rPr>
              <w:t>2</w:t>
            </w:r>
            <w:r>
              <w:rPr>
                <w:color w:val="000000" w:themeColor="text1"/>
                <w:kern w:val="0"/>
                <w:lang w:bidi="ar"/>
                <w14:textFill>
                  <w14:solidFill>
                    <w14:schemeClr w14:val="tx1"/>
                  </w14:solidFill>
                </w14:textFill>
              </w:rPr>
              <w:t>。</w:t>
            </w:r>
            <w:r>
              <w:rPr>
                <w:rFonts w:hint="eastAsia"/>
                <w:color w:val="000000" w:themeColor="text1"/>
                <w:highlight w:val="none"/>
                <w14:textFill>
                  <w14:solidFill>
                    <w14:schemeClr w14:val="tx1"/>
                  </w14:solidFill>
                </w14:textFill>
              </w:rPr>
              <w:t>项目修复范围</w:t>
            </w:r>
            <w:r>
              <w:rPr>
                <w:rFonts w:hint="eastAsia"/>
                <w:color w:val="000000" w:themeColor="text1"/>
                <w:highlight w:val="none"/>
                <w:lang w:val="en-US" w:eastAsia="zh-CN"/>
                <w14:textFill>
                  <w14:solidFill>
                    <w14:schemeClr w14:val="tx1"/>
                  </w14:solidFill>
                </w14:textFill>
              </w:rPr>
              <w:t>内为</w:t>
            </w:r>
            <w:r>
              <w:rPr>
                <w:rFonts w:hint="eastAsia"/>
                <w:color w:val="000000" w:themeColor="text1"/>
                <w:highlight w:val="none"/>
                <w14:textFill>
                  <w14:solidFill>
                    <w14:schemeClr w14:val="tx1"/>
                  </w14:solidFill>
                </w14:textFill>
              </w:rPr>
              <w:t>采矿用地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项目修复范围均在矿山开采遗留用地内进行修复，未新增占地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项目修复区</w:t>
            </w:r>
            <w:r>
              <w:rPr>
                <w:rFonts w:hint="eastAsia"/>
                <w:color w:val="000000" w:themeColor="text1"/>
                <w:highlight w:val="none"/>
                <w14:textFill>
                  <w14:solidFill>
                    <w14:schemeClr w14:val="tx1"/>
                  </w14:solidFill>
                </w14:textFill>
              </w:rPr>
              <w:t>复垦方向初步是林地</w:t>
            </w:r>
            <w:r>
              <w:rPr>
                <w:rFonts w:hint="eastAsia"/>
                <w:color w:val="000000" w:themeColor="text1"/>
                <w:highlight w:val="none"/>
                <w:lang w:val="en-US" w:eastAsia="zh-CN"/>
                <w14:textFill>
                  <w14:solidFill>
                    <w14:schemeClr w14:val="tx1"/>
                  </w14:solidFill>
                </w14:textFill>
              </w:rPr>
              <w:t>和旱地</w:t>
            </w:r>
            <w:r>
              <w:rPr>
                <w:rFonts w:hint="eastAsia"/>
                <w:color w:val="000000" w:themeColor="text1"/>
                <w:highlight w:val="none"/>
                <w14:textFill>
                  <w14:solidFill>
                    <w14:schemeClr w14:val="tx1"/>
                  </w14:solidFill>
                </w14:textFill>
              </w:rPr>
              <w:t>，具体复垦方向后期按评审过的生态修复方案为主。</w:t>
            </w:r>
          </w:p>
          <w:p w14:paraId="5DE5DF39">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项目生态修复恢复为林地、旱地</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符合全域整治规划，项目旱地及林地景观与周边土地利用类型相近，与周边生态系统协调性较好。</w:t>
            </w:r>
          </w:p>
          <w:p w14:paraId="56B18272">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综上，施工期间在采取一定的水土保持措施，施工管理措施后，施工期对生态环境影响不大。</w:t>
            </w:r>
          </w:p>
        </w:tc>
      </w:tr>
      <w:tr w14:paraId="5877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Align w:val="center"/>
          </w:tcPr>
          <w:p w14:paraId="02C3B48C">
            <w:pPr>
              <w:spacing w:line="240" w:lineRule="auto"/>
              <w:ind w:firstLine="0" w:firstLineChars="0"/>
              <w:jc w:val="center"/>
              <w:rPr>
                <w:bCs/>
                <w:color w:val="000000" w:themeColor="text1"/>
                <w:spacing w:val="10"/>
                <w14:textFill>
                  <w14:solidFill>
                    <w14:schemeClr w14:val="tx1"/>
                  </w14:solidFill>
                </w14:textFill>
              </w:rPr>
            </w:pPr>
            <w:r>
              <w:rPr>
                <w:rFonts w:hint="eastAsia"/>
                <w:bCs/>
                <w:color w:val="000000" w:themeColor="text1"/>
                <w:spacing w:val="10"/>
                <w14:textFill>
                  <w14:solidFill>
                    <w14:schemeClr w14:val="tx1"/>
                  </w14:solidFill>
                </w14:textFill>
              </w:rPr>
              <w:t>运营期生态环境影响分析</w:t>
            </w:r>
          </w:p>
        </w:tc>
        <w:tc>
          <w:tcPr>
            <w:tcW w:w="8048" w:type="dxa"/>
          </w:tcPr>
          <w:p w14:paraId="28F21A21">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项目运营期主要工作内容为后期绿化的养护和补植等内容。通过采取相应的生态修复措施，矿山生态修复总面积</w:t>
            </w:r>
            <w:r>
              <w:rPr>
                <w:rFonts w:hint="eastAsia"/>
                <w:color w:val="000000" w:themeColor="text1"/>
                <w:kern w:val="0"/>
                <w:lang w:eastAsia="zh-CN" w:bidi="ar"/>
                <w14:textFill>
                  <w14:solidFill>
                    <w14:schemeClr w14:val="tx1"/>
                  </w14:solidFill>
                </w14:textFill>
              </w:rPr>
              <w:t>63132</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6AE1317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项目为矿坑生态修复，运营期无废气、噪声、固废产生；回填区底部、边坡、顶部均进行防渗，回填完成后覆土进行土地复垦，运营期回填体渗滤液产生量逐渐减少。</w:t>
            </w:r>
          </w:p>
          <w:p w14:paraId="5C338C07">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1、运营期生态环境影响分析</w:t>
            </w:r>
          </w:p>
          <w:p w14:paraId="408FD4AA">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（1）生态环境影响及生物多样性分析</w:t>
            </w:r>
          </w:p>
          <w:p w14:paraId="68DE5BB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实施后，通过矿坑清理、矿坑回填、土地整治、植被恢复等各项措施的实施，①使矿坑林草植被覆盖、恢复，能改善土壤物理、化学性状，提高土壤肥力、减少水土流失；②消除矿坑地质灾害、安全、环保等各类隐患，改善生态环境；③削弱矿坑扬尘对周边空气的影响、矿坑积水对周边地表水及地下水环境的影响；④增加项目区内动植物种类，并且随着项目区植被的大面积恢复，使得项目区的生态功能得到提高，动植物的生存环境得到改善，生物多样性得到丰富；⑤改善项目区周边小气候，调节周边温度、湿度和风力，还能净化空气，有效地改善因前期采矿活动对生态环境带来的负面影响，改变项目区景观。</w:t>
            </w:r>
          </w:p>
          <w:p w14:paraId="35717324">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综上，项目实施对区域生态环境提升有积极意义。</w:t>
            </w:r>
          </w:p>
          <w:p w14:paraId="5C5B08FD">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（2）生态环境效益分析</w:t>
            </w:r>
          </w:p>
          <w:p w14:paraId="2B74B4BE">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项目实施后，生态修复面积</w:t>
            </w:r>
            <w:r>
              <w:rPr>
                <w:rFonts w:hint="eastAsia"/>
                <w:color w:val="000000" w:themeColor="text1"/>
                <w:szCs w:val="22"/>
                <w:lang w:eastAsia="zh-CN"/>
                <w14:textFill>
                  <w14:solidFill>
                    <w14:schemeClr w14:val="tx1"/>
                  </w14:solidFill>
                </w14:textFill>
              </w:rPr>
              <w:t>63132</w:t>
            </w:r>
            <w:r>
              <w:rPr>
                <w:rFonts w:hint="eastAsia"/>
                <w:color w:val="000000" w:themeColor="text1"/>
                <w:szCs w:val="22"/>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3746A6E7">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通过本方案的实施，能有效改变原有露天采场的地形地貌景观，原有地质灾害得到全部治理，新增林地面积和旱地面积，增加了林草植被覆盖率，有效地改善了原来采矿活动对生态环境带来的负面影响。</w:t>
            </w:r>
          </w:p>
          <w:p w14:paraId="2C7DC981">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据相关资料表明，林木每生长</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立方米蓄积量，大约可以吸收</w:t>
            </w:r>
            <w:r>
              <w:rPr>
                <w:color w:val="000000" w:themeColor="text1"/>
                <w:kern w:val="0"/>
                <w:lang w:bidi="ar"/>
                <w14:textFill>
                  <w14:solidFill>
                    <w14:schemeClr w14:val="tx1"/>
                  </w14:solidFill>
                </w14:textFill>
              </w:rPr>
              <w:t>1.83</w:t>
            </w:r>
            <w:r>
              <w:rPr>
                <w:rFonts w:hint="eastAsia"/>
                <w:color w:val="000000" w:themeColor="text1"/>
                <w:kern w:val="0"/>
                <w:lang w:bidi="ar"/>
                <w14:textFill>
                  <w14:solidFill>
                    <w14:schemeClr w14:val="tx1"/>
                  </w14:solidFill>
                </w14:textFill>
              </w:rPr>
              <w:t>吨二氧化碳，释放</w:t>
            </w:r>
            <w:r>
              <w:rPr>
                <w:color w:val="000000" w:themeColor="text1"/>
                <w:kern w:val="0"/>
                <w:lang w:bidi="ar"/>
                <w14:textFill>
                  <w14:solidFill>
                    <w14:schemeClr w14:val="tx1"/>
                  </w14:solidFill>
                </w14:textFill>
              </w:rPr>
              <w:t>1.62</w:t>
            </w:r>
            <w:r>
              <w:rPr>
                <w:rFonts w:hint="eastAsia"/>
                <w:color w:val="000000" w:themeColor="text1"/>
                <w:kern w:val="0"/>
                <w:lang w:bidi="ar"/>
                <w14:textFill>
                  <w14:solidFill>
                    <w14:schemeClr w14:val="tx1"/>
                  </w14:solidFill>
                </w14:textFill>
              </w:rPr>
              <w:t>吨氧气。旱冬瓜</w:t>
            </w:r>
            <w:r>
              <w:rPr>
                <w:color w:val="000000" w:themeColor="text1"/>
                <w:kern w:val="0"/>
                <w:lang w:bidi="ar"/>
                <w14:textFill>
                  <w14:solidFill>
                    <w14:schemeClr w14:val="tx1"/>
                  </w14:solidFill>
                </w14:textFill>
              </w:rPr>
              <w:t>10</w:t>
            </w:r>
            <w:r>
              <w:rPr>
                <w:rFonts w:hint="eastAsia"/>
                <w:color w:val="000000" w:themeColor="text1"/>
                <w:kern w:val="0"/>
                <w:lang w:bidi="ar"/>
                <w14:textFill>
                  <w14:solidFill>
                    <w14:schemeClr w14:val="tx1"/>
                  </w14:solidFill>
                </w14:textFill>
              </w:rPr>
              <w:t>年生人工林，每公顷蓄积量</w:t>
            </w:r>
            <w:r>
              <w:rPr>
                <w:color w:val="000000" w:themeColor="text1"/>
                <w:kern w:val="0"/>
                <w:lang w:bidi="ar"/>
                <w14:textFill>
                  <w14:solidFill>
                    <w14:schemeClr w14:val="tx1"/>
                  </w14:solidFill>
                </w14:textFill>
              </w:rPr>
              <w:t>149</w:t>
            </w:r>
            <w:r>
              <w:rPr>
                <w:rFonts w:hint="eastAsia"/>
                <w:color w:val="000000" w:themeColor="text1"/>
                <w:kern w:val="0"/>
                <w:lang w:bidi="ar"/>
                <w14:textFill>
                  <w14:solidFill>
                    <w14:schemeClr w14:val="tx1"/>
                  </w14:solidFill>
                </w14:textFill>
              </w:rPr>
              <w:t>m³</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hm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，20年生时，蓄积量为</w:t>
            </w:r>
            <w:r>
              <w:rPr>
                <w:color w:val="000000" w:themeColor="text1"/>
                <w:kern w:val="0"/>
                <w:lang w:bidi="ar"/>
                <w14:textFill>
                  <w14:solidFill>
                    <w14:schemeClr w14:val="tx1"/>
                  </w14:solidFill>
                </w14:textFill>
              </w:rPr>
              <w:t>250</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300</w:t>
            </w:r>
            <w:r>
              <w:rPr>
                <w:rFonts w:hint="eastAsia"/>
                <w:color w:val="000000" w:themeColor="text1"/>
                <w:kern w:val="0"/>
                <w:lang w:bidi="ar"/>
                <w14:textFill>
                  <w14:solidFill>
                    <w14:schemeClr w14:val="tx1"/>
                  </w14:solidFill>
                </w14:textFill>
              </w:rPr>
              <w:t>m³</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hm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。根据《全国青少年绿化知道普及教育</w:t>
            </w:r>
            <w:r>
              <w:rPr>
                <w:color w:val="000000" w:themeColor="text1"/>
                <w:kern w:val="0"/>
                <w:lang w:bidi="ar"/>
                <w14:textFill>
                  <w14:solidFill>
                    <w14:schemeClr w14:val="tx1"/>
                  </w14:solidFill>
                </w14:textFill>
              </w:rPr>
              <w:t>300</w:t>
            </w:r>
            <w:r>
              <w:rPr>
                <w:rFonts w:hint="eastAsia"/>
                <w:color w:val="000000" w:themeColor="text1"/>
                <w:kern w:val="0"/>
                <w:lang w:bidi="ar"/>
                <w14:textFill>
                  <w14:solidFill>
                    <w14:schemeClr w14:val="tx1"/>
                  </w14:solidFill>
                </w14:textFill>
              </w:rPr>
              <w:t>问》，每公顷草坪每天吸收</w:t>
            </w:r>
            <w:r>
              <w:rPr>
                <w:color w:val="000000" w:themeColor="text1"/>
                <w:kern w:val="0"/>
                <w:lang w:bidi="ar"/>
                <w14:textFill>
                  <w14:solidFill>
                    <w14:schemeClr w14:val="tx1"/>
                  </w14:solidFill>
                </w14:textFill>
              </w:rPr>
              <w:t>CO</w:t>
            </w:r>
            <w:r>
              <w:rPr>
                <w:color w:val="000000" w:themeColor="text1"/>
                <w:kern w:val="0"/>
                <w:sz w:val="15"/>
                <w:szCs w:val="15"/>
                <w:lang w:bidi="ar"/>
                <w14:textFill>
                  <w14:solidFill>
                    <w14:schemeClr w14:val="tx1"/>
                  </w14:solidFill>
                </w14:textFill>
              </w:rPr>
              <w:t>2</w:t>
            </w:r>
            <w:r>
              <w:rPr>
                <w:rFonts w:hint="eastAsia"/>
                <w:color w:val="000000" w:themeColor="text1"/>
                <w:kern w:val="0"/>
                <w:lang w:bidi="ar"/>
                <w14:textFill>
                  <w14:solidFill>
                    <w14:schemeClr w14:val="tx1"/>
                  </w14:solidFill>
                </w14:textFill>
              </w:rPr>
              <w:t>量约为</w:t>
            </w:r>
            <w:r>
              <w:rPr>
                <w:color w:val="000000" w:themeColor="text1"/>
                <w:kern w:val="0"/>
                <w:lang w:bidi="ar"/>
                <w14:textFill>
                  <w14:solidFill>
                    <w14:schemeClr w14:val="tx1"/>
                  </w14:solidFill>
                </w14:textFill>
              </w:rPr>
              <w:t>900kg</w:t>
            </w:r>
            <w:r>
              <w:rPr>
                <w:rFonts w:hint="eastAsia"/>
                <w:color w:val="000000" w:themeColor="text1"/>
                <w:kern w:val="0"/>
                <w:lang w:bidi="ar"/>
                <w14:textFill>
                  <w14:solidFill>
                    <w14:schemeClr w14:val="tx1"/>
                  </w14:solidFill>
                </w14:textFill>
              </w:rPr>
              <w:t>，释放</w:t>
            </w:r>
            <w:r>
              <w:rPr>
                <w:color w:val="000000" w:themeColor="text1"/>
                <w:kern w:val="0"/>
                <w:lang w:bidi="ar"/>
                <w14:textFill>
                  <w14:solidFill>
                    <w14:schemeClr w14:val="tx1"/>
                  </w14:solidFill>
                </w14:textFill>
              </w:rPr>
              <w:t>O</w:t>
            </w:r>
            <w:r>
              <w:rPr>
                <w:color w:val="000000" w:themeColor="text1"/>
                <w:kern w:val="0"/>
                <w:sz w:val="15"/>
                <w:szCs w:val="15"/>
                <w:lang w:bidi="ar"/>
                <w14:textFill>
                  <w14:solidFill>
                    <w14:schemeClr w14:val="tx1"/>
                  </w14:solidFill>
                </w14:textFill>
              </w:rPr>
              <w:t>2</w:t>
            </w:r>
            <w:r>
              <w:rPr>
                <w:rFonts w:hint="eastAsia"/>
                <w:color w:val="000000" w:themeColor="text1"/>
                <w:kern w:val="0"/>
                <w:lang w:bidi="ar"/>
                <w14:textFill>
                  <w14:solidFill>
                    <w14:schemeClr w14:val="tx1"/>
                  </w14:solidFill>
                </w14:textFill>
              </w:rPr>
              <w:t>约</w:t>
            </w:r>
            <w:r>
              <w:rPr>
                <w:color w:val="000000" w:themeColor="text1"/>
                <w:kern w:val="0"/>
                <w:lang w:bidi="ar"/>
                <w14:textFill>
                  <w14:solidFill>
                    <w14:schemeClr w14:val="tx1"/>
                  </w14:solidFill>
                </w14:textFill>
              </w:rPr>
              <w:t>650kg</w:t>
            </w:r>
            <w:r>
              <w:rPr>
                <w:rFonts w:hint="eastAsia"/>
                <w:color w:val="000000" w:themeColor="text1"/>
                <w:kern w:val="0"/>
                <w:lang w:bidi="ar"/>
                <w14:textFill>
                  <w14:solidFill>
                    <w14:schemeClr w14:val="tx1"/>
                  </w14:solidFill>
                </w14:textFill>
              </w:rPr>
              <w:t>。</w:t>
            </w:r>
          </w:p>
          <w:p w14:paraId="70A82EAE">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回填修复区恢复为林地面积</w:t>
            </w:r>
            <w:r>
              <w:rPr>
                <w:rFonts w:hint="eastAsia"/>
                <w:color w:val="000000" w:themeColor="text1"/>
                <w:kern w:val="0"/>
                <w:lang w:eastAsia="zh-CN" w:bidi="ar"/>
                <w14:textFill>
                  <w14:solidFill>
                    <w14:schemeClr w14:val="tx1"/>
                  </w14:solidFill>
                </w14:textFill>
              </w:rPr>
              <w:t>63132</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，则工程实施后随着林木增长，项目区碳汇也逐年增长，</w:t>
            </w:r>
            <w:r>
              <w:rPr>
                <w:color w:val="000000" w:themeColor="text1"/>
                <w:kern w:val="0"/>
                <w:lang w:bidi="ar"/>
                <w14:textFill>
                  <w14:solidFill>
                    <w14:schemeClr w14:val="tx1"/>
                  </w14:solidFill>
                </w14:textFill>
              </w:rPr>
              <w:t>10</w:t>
            </w:r>
            <w:r>
              <w:rPr>
                <w:rFonts w:hint="eastAsia"/>
                <w:color w:val="000000" w:themeColor="text1"/>
                <w:kern w:val="0"/>
                <w:lang w:bidi="ar"/>
                <w14:textFill>
                  <w14:solidFill>
                    <w14:schemeClr w14:val="tx1"/>
                  </w14:solidFill>
                </w14:textFill>
              </w:rPr>
              <w:t>年后，可吸收二氧化碳约</w:t>
            </w:r>
            <w:r>
              <w:rPr>
                <w:rFonts w:hint="eastAsia"/>
                <w:color w:val="000000" w:themeColor="text1"/>
                <w:kern w:val="0"/>
                <w:lang w:val="en-US" w:eastAsia="zh-CN" w:bidi="ar"/>
                <w14:textFill>
                  <w14:solidFill>
                    <w14:schemeClr w14:val="tx1"/>
                  </w14:solidFill>
                </w14:textFill>
              </w:rPr>
              <w:t>41.75万</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，释放氧气</w:t>
            </w:r>
            <w:r>
              <w:rPr>
                <w:rFonts w:hint="eastAsia"/>
                <w:color w:val="000000" w:themeColor="text1"/>
                <w:kern w:val="0"/>
                <w:lang w:val="en-US" w:eastAsia="zh-CN" w:bidi="ar"/>
                <w14:textFill>
                  <w14:solidFill>
                    <w14:schemeClr w14:val="tx1"/>
                  </w14:solidFill>
                </w14:textFill>
              </w:rPr>
              <w:t>30.15万</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w:t>
            </w:r>
          </w:p>
          <w:p w14:paraId="7F13BAB9">
            <w:pPr>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综上，该项目具有生态正效益。</w:t>
            </w:r>
          </w:p>
          <w:p w14:paraId="32EF529B">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（3）生态修复区后期养护、管理措施</w:t>
            </w:r>
          </w:p>
          <w:p w14:paraId="2240C07A">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①后期应制定保护保养管理制度。包括平时浇水，排水、预防人畜危害、风害、病虫害防治、修剪中耕除草等工作内容及计划。</w:t>
            </w:r>
          </w:p>
          <w:p w14:paraId="2924DCB1">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②定期查验：树木每月、灌木每旬查验一次，并应做查验记录。</w:t>
            </w:r>
          </w:p>
          <w:p w14:paraId="06333A0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③完工检验时发现不符</w:t>
            </w:r>
            <w:r>
              <w:rPr>
                <w:rFonts w:hint="eastAsia"/>
                <w:color w:val="000000" w:themeColor="text1"/>
                <w:kern w:val="0"/>
                <w:lang w:eastAsia="zh-CN" w:bidi="ar"/>
                <w14:textFill>
                  <w14:solidFill>
                    <w14:schemeClr w14:val="tx1"/>
                  </w14:solidFill>
                </w14:textFill>
              </w:rPr>
              <w:t>合</w:t>
            </w:r>
            <w:r>
              <w:rPr>
                <w:rFonts w:hint="eastAsia"/>
                <w:color w:val="000000" w:themeColor="text1"/>
                <w:kern w:val="0"/>
                <w:lang w:bidi="ar"/>
                <w14:textFill>
                  <w14:solidFill>
                    <w14:schemeClr w14:val="tx1"/>
                  </w14:solidFill>
                </w14:textFill>
              </w:rPr>
              <w:t>规定者，应立即换植。查验时发现稍端枯萎，有严重病虫害、折害等无复原希望者应立即补植，发现枯死、半枯无养活希望者，应换植。</w:t>
            </w:r>
          </w:p>
          <w:p w14:paraId="7645320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④绿化工程养护灌溉措施</w:t>
            </w:r>
          </w:p>
          <w:p w14:paraId="579DCF99">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对恢复区内进行灌溉。根据一年植物生长规律及气候特点制定绿化管养全年养护计划。</w:t>
            </w:r>
          </w:p>
          <w:p w14:paraId="5C32074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⑤为方便灌木的养护，将按昆明的气候特点，把一年划分为旱季、雨季、秋冬季等三个季节；在不同季节对不同植物采取不同的管护措施。</w:t>
            </w:r>
          </w:p>
          <w:p w14:paraId="064F3CAA">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⑥重视化学防治的同时应综合应用物理、机械、生物等多种方法进行防治，如：利用害虫趋光、趋波特性生产杀虫灯；利用害虫趋味特性制成糖醋液诱杀等等。</w:t>
            </w:r>
          </w:p>
          <w:p w14:paraId="28D70CDE">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2、运营期地下水及环境风险环境影响分析</w:t>
            </w:r>
          </w:p>
          <w:p w14:paraId="5D156295">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（1）污染影响分析</w:t>
            </w:r>
          </w:p>
          <w:p w14:paraId="1873E857">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项目运营期主要工作内容为后期绿化的养护和补植等内容，虽进行了防渗，但仍有可能发生防渗层破损情况，污染地下水，项目风险源为渗滤液收集井、回用水池等渗滤液收集区域以及项目回填区防渗层。</w:t>
            </w:r>
          </w:p>
          <w:p w14:paraId="31A50EE6">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根据施工期地下水影响预测可知，在项目渗滤液收集井发生泄漏后，污染物氟化物在泄漏后第</w:t>
            </w:r>
            <w:r>
              <w:rPr>
                <w:rFonts w:hint="eastAsia"/>
                <w:color w:val="000000" w:themeColor="text1"/>
                <w:kern w:val="0"/>
                <w:lang w:val="en-US" w:eastAsia="zh-CN" w:bidi="ar"/>
                <w14:textFill>
                  <w14:solidFill>
                    <w14:schemeClr w14:val="tx1"/>
                  </w14:solidFill>
                </w14:textFill>
              </w:rPr>
              <w:t>131</w:t>
            </w:r>
            <w:r>
              <w:rPr>
                <w:rFonts w:hint="eastAsia"/>
                <w:color w:val="000000" w:themeColor="text1"/>
                <w:kern w:val="0"/>
                <w:lang w:bidi="ar"/>
                <w14:textFill>
                  <w14:solidFill>
                    <w14:schemeClr w14:val="tx1"/>
                  </w14:solidFill>
                </w14:textFill>
              </w:rPr>
              <w:t>d浓度有了明显变化，预测中的氟化物浓度随着泄漏时间的推移逐渐升高，泄漏到</w:t>
            </w:r>
            <w:r>
              <w:rPr>
                <w:rFonts w:hint="eastAsia"/>
                <w:color w:val="000000" w:themeColor="text1"/>
                <w:kern w:val="0"/>
                <w:lang w:val="en-US" w:eastAsia="zh-CN" w:bidi="ar"/>
                <w14:textFill>
                  <w14:solidFill>
                    <w14:schemeClr w14:val="tx1"/>
                  </w14:solidFill>
                </w14:textFill>
              </w:rPr>
              <w:t>926</w:t>
            </w:r>
            <w:r>
              <w:rPr>
                <w:rFonts w:hint="eastAsia"/>
                <w:color w:val="000000" w:themeColor="text1"/>
                <w:kern w:val="0"/>
                <w:lang w:bidi="ar"/>
                <w14:textFill>
                  <w14:solidFill>
                    <w14:schemeClr w14:val="tx1"/>
                  </w14:solidFill>
                </w14:textFill>
              </w:rPr>
              <w:t>d时，监控井中的氟化物出现超标情况。</w:t>
            </w:r>
          </w:p>
          <w:p w14:paraId="2439575C">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w:t>
            </w:r>
            <w:r>
              <w:rPr>
                <w:color w:val="000000" w:themeColor="text1"/>
                <w:kern w:val="0"/>
                <w:lang w:bidi="ar"/>
                <w14:textFill>
                  <w14:solidFill>
                    <w14:schemeClr w14:val="tx1"/>
                  </w14:solidFill>
                </w14:textFill>
              </w:rPr>
              <w:t>《云南省寻甸县</w:t>
            </w:r>
            <w:r>
              <w:rPr>
                <w:rFonts w:hint="eastAsia"/>
                <w:color w:val="000000" w:themeColor="text1"/>
                <w:kern w:val="0"/>
                <w:lang w:eastAsia="zh-CN" w:bidi="ar"/>
                <w14:textFill>
                  <w14:solidFill>
                    <w14:schemeClr w14:val="tx1"/>
                  </w14:solidFill>
                </w14:textFill>
              </w:rPr>
              <w:t>塘子镇钟灵村委会令友采石场废弃矿坑</w:t>
            </w:r>
            <w:r>
              <w:rPr>
                <w:color w:val="000000" w:themeColor="text1"/>
                <w:kern w:val="0"/>
                <w:lang w:bidi="ar"/>
                <w14:textFill>
                  <w14:solidFill>
                    <w14:schemeClr w14:val="tx1"/>
                  </w14:solidFill>
                </w14:textFill>
              </w:rPr>
              <w:t>生态修复水文地质勘察报告》</w:t>
            </w:r>
            <w:r>
              <w:rPr>
                <w:rFonts w:hint="eastAsia"/>
                <w:color w:val="000000" w:themeColor="text1"/>
                <w:kern w:val="0"/>
                <w:lang w:bidi="ar"/>
                <w14:textFill>
                  <w14:solidFill>
                    <w14:schemeClr w14:val="tx1"/>
                  </w14:solidFill>
                </w14:textFill>
              </w:rPr>
              <w:t>可知，项目区地下水主要储存在灰岩溶蚀裂隙、构造裂隙中，储存空间大，联通性好，有利于</w:t>
            </w:r>
            <w:r>
              <w:rPr>
                <w:rFonts w:hint="eastAsia"/>
                <w:color w:val="000000" w:themeColor="text1"/>
                <w:kern w:val="0"/>
                <w:lang w:eastAsia="zh-CN" w:bidi="ar"/>
                <w14:textFill>
                  <w14:solidFill>
                    <w14:schemeClr w14:val="tx1"/>
                  </w14:solidFill>
                </w14:textFill>
              </w:rPr>
              <w:t>地</w:t>
            </w:r>
            <w:r>
              <w:rPr>
                <w:rFonts w:hint="eastAsia"/>
                <w:color w:val="000000" w:themeColor="text1"/>
                <w:kern w:val="0"/>
                <w:lang w:bidi="ar"/>
                <w14:textFill>
                  <w14:solidFill>
                    <w14:schemeClr w14:val="tx1"/>
                  </w14:solidFill>
                </w14:textFill>
              </w:rPr>
              <w:t>下水的径流。地下水接受大气降水垂向入渗补给，其径流与排泄条件主要受岩性、地形坡度、储存条件控制。建设项目在建设及运营过程中，要严格按照相关规范及要求进行防渗，降低地下水污染风险。</w:t>
            </w:r>
          </w:p>
          <w:p w14:paraId="46D93B0A">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项目对回填区、回用水池采取了相应防渗，且本项目设置了位移监测设施与地下水监控井，能够及时监控项目渗滤液情况，在做好防渗情况下</w:t>
            </w:r>
            <w:r>
              <w:rPr>
                <w:color w:val="000000" w:themeColor="text1"/>
                <w:kern w:val="0"/>
                <w:lang w:bidi="ar"/>
                <w14:textFill>
                  <w14:solidFill>
                    <w14:schemeClr w14:val="tx1"/>
                  </w14:solidFill>
                </w14:textFill>
              </w:rPr>
              <w:t>项目</w:t>
            </w:r>
            <w:r>
              <w:rPr>
                <w:rFonts w:hint="eastAsia"/>
                <w:color w:val="000000" w:themeColor="text1"/>
                <w:kern w:val="0"/>
                <w:lang w:bidi="ar"/>
                <w14:textFill>
                  <w14:solidFill>
                    <w14:schemeClr w14:val="tx1"/>
                  </w14:solidFill>
                </w14:textFill>
              </w:rPr>
              <w:t>渗滤液收集井</w:t>
            </w:r>
            <w:r>
              <w:rPr>
                <w:color w:val="000000" w:themeColor="text1"/>
                <w:kern w:val="0"/>
                <w:lang w:bidi="ar"/>
                <w14:textFill>
                  <w14:solidFill>
                    <w14:schemeClr w14:val="tx1"/>
                  </w14:solidFill>
                </w14:textFill>
              </w:rPr>
              <w:t>发生泄漏</w:t>
            </w:r>
            <w:r>
              <w:rPr>
                <w:rFonts w:hint="eastAsia"/>
                <w:color w:val="000000" w:themeColor="text1"/>
                <w:kern w:val="0"/>
                <w:lang w:bidi="ar"/>
                <w14:textFill>
                  <w14:solidFill>
                    <w14:schemeClr w14:val="tx1"/>
                  </w14:solidFill>
                </w14:textFill>
              </w:rPr>
              <w:t>后污染物随地下水流到项目范围外的可能较小，项目建立地下水环境监控体系，包括建立地下水污染监控制度和环境管理体系，制定监测计划、配备先进的检测仪器和设备，以便及时发现问题，及时采取预防措施。在严格落实以上措施建设后，项目运营期地下水受污染的风险较小。</w:t>
            </w:r>
          </w:p>
          <w:p w14:paraId="16BAC793">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（2）污染控制措施</w:t>
            </w:r>
          </w:p>
          <w:p w14:paraId="16871D2F">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本项目按照《改性磷石膏用于矿山废弃地生态修复回填技术规范》（DB53/T1269-2024）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14:textFill>
                  <w14:solidFill>
                    <w14:schemeClr w14:val="tx1"/>
                  </w14:solidFill>
                </w14:textFill>
              </w:rPr>
              <w:t>设置了地下水监控井，在回填区设置了渗漏监控系统，可以有效监控防渗衬层的完整性，监控地下水水质。运营期严格按照监测计划做好跟踪监测，直到相关指标连续3年内，年均检测指标持续稳定，特征指标不呈上升趋势。当发现年均监测指标呈上升趋势，应当采取相应的应对措施。项目回填结束后仍需对覆盖层进行维护管理，防止覆盖层不均匀沉降、开裂。</w:t>
            </w:r>
          </w:p>
          <w:p w14:paraId="7AC0116C">
            <w:pPr>
              <w:widowControl/>
              <w:spacing w:line="336" w:lineRule="auto"/>
              <w:ind w:firstLine="480"/>
              <w:jc w:val="left"/>
              <w:rPr>
                <w:rFonts w:hint="default"/>
                <w:color w:val="000000" w:themeColor="text1"/>
                <w:kern w:val="0"/>
                <w:lang w:val="en-US" w:eastAsia="zh-CN" w:bidi="ar"/>
                <w14:textFill>
                  <w14:solidFill>
                    <w14:schemeClr w14:val="tx1"/>
                  </w14:solidFill>
                </w14:textFill>
              </w:rPr>
            </w:pPr>
            <w:r>
              <w:rPr>
                <w:rFonts w:hint="default"/>
                <w:color w:val="000000" w:themeColor="text1"/>
                <w:kern w:val="0"/>
                <w:lang w:eastAsia="zh-CN" w:bidi="ar"/>
                <w14:textFill>
                  <w14:solidFill>
                    <w14:schemeClr w14:val="tx1"/>
                  </w14:solidFill>
                </w14:textFill>
              </w:rPr>
              <w:t>（</w:t>
            </w:r>
            <w:r>
              <w:rPr>
                <w:rFonts w:hint="default"/>
                <w:color w:val="000000" w:themeColor="text1"/>
                <w:kern w:val="0"/>
                <w:lang w:val="en-US" w:eastAsia="zh-CN" w:bidi="ar"/>
                <w14:textFill>
                  <w14:solidFill>
                    <w14:schemeClr w14:val="tx1"/>
                  </w14:solidFill>
                </w14:textFill>
              </w:rPr>
              <w:t>3</w:t>
            </w:r>
            <w:r>
              <w:rPr>
                <w:rFonts w:hint="default"/>
                <w:color w:val="000000" w:themeColor="text1"/>
                <w:kern w:val="0"/>
                <w:lang w:eastAsia="zh-CN" w:bidi="ar"/>
                <w14:textFill>
                  <w14:solidFill>
                    <w14:schemeClr w14:val="tx1"/>
                  </w14:solidFill>
                </w14:textFill>
              </w:rPr>
              <w:t>）</w:t>
            </w:r>
            <w:r>
              <w:rPr>
                <w:rFonts w:hint="default"/>
                <w:color w:val="000000" w:themeColor="text1"/>
                <w:kern w:val="0"/>
                <w:lang w:val="en-US" w:eastAsia="zh-CN" w:bidi="ar"/>
                <w14:textFill>
                  <w14:solidFill>
                    <w14:schemeClr w14:val="tx1"/>
                  </w14:solidFill>
                </w14:textFill>
              </w:rPr>
              <w:t>周边民用水井保护措施</w:t>
            </w:r>
          </w:p>
          <w:p w14:paraId="50213352">
            <w:pPr>
              <w:ind w:firstLine="480"/>
              <w:textAlignment w:val="baseline"/>
              <w:rPr>
                <w:rFonts w:hint="eastAsia" w:eastAsia="宋体"/>
                <w:color w:val="000000" w:themeColor="text1"/>
                <w:lang w:eastAsia="zh-CN"/>
                <w14:textFill>
                  <w14:solidFill>
                    <w14:schemeClr w14:val="tx1"/>
                  </w14:solidFill>
                </w14:textFill>
              </w:rPr>
            </w:pPr>
            <w:r>
              <w:rPr>
                <w:rFonts w:hint="eastAsia"/>
                <w:color w:val="000000" w:themeColor="text1"/>
                <w:kern w:val="0"/>
                <w:lang w:val="en-US" w:eastAsia="zh-CN" w:bidi="ar"/>
                <w14:textFill>
                  <w14:solidFill>
                    <w14:schemeClr w14:val="tx1"/>
                  </w14:solidFill>
                </w14:textFill>
              </w:rPr>
              <w:t>本着项目实施前应优先解决项目周边涉及村庄的饮水安全问题，并做好地下水保护措施，防止地下水污染，合理规划保护周边村组用水和水源点</w:t>
            </w:r>
            <w:r>
              <w:rPr>
                <w:rFonts w:hint="eastAsia"/>
                <w:color w:val="000000" w:themeColor="text1"/>
                <w:kern w:val="0"/>
                <w:lang w:bidi="ar"/>
                <w14:textFill>
                  <w14:solidFill>
                    <w14:schemeClr w14:val="tx1"/>
                  </w14:solidFill>
                </w14:textFill>
              </w:rPr>
              <w:t>的</w:t>
            </w:r>
            <w:r>
              <w:rPr>
                <w:rFonts w:hint="eastAsia"/>
                <w:color w:val="000000" w:themeColor="text1"/>
                <w:kern w:val="0"/>
                <w:lang w:val="en-US" w:eastAsia="zh-CN" w:bidi="ar"/>
                <w14:textFill>
                  <w14:solidFill>
                    <w14:schemeClr w14:val="tx1"/>
                  </w14:solidFill>
                </w14:textFill>
              </w:rPr>
              <w:t>原则</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本项目在生态修复区底部防渗层施工质量确保完整有效的基础上，</w:t>
            </w:r>
            <w:r>
              <w:rPr>
                <w:rFonts w:hint="eastAsia"/>
                <w:color w:val="000000" w:themeColor="text1"/>
                <w:kern w:val="0"/>
                <w:lang w:val="en-US" w:eastAsia="zh-CN" w:bidi="ar"/>
                <w14:textFill>
                  <w14:solidFill>
                    <w14:schemeClr w14:val="tx1"/>
                  </w14:solidFill>
                </w14:textFill>
              </w:rPr>
              <w:t>结合跟踪监测结果，</w:t>
            </w:r>
            <w:r>
              <w:rPr>
                <w:rFonts w:hint="eastAsia"/>
                <w:color w:val="000000" w:themeColor="text1"/>
                <w:kern w:val="0"/>
                <w:lang w:bidi="ar"/>
                <w14:textFill>
                  <w14:solidFill>
                    <w14:schemeClr w14:val="tx1"/>
                  </w14:solidFill>
                </w14:textFill>
              </w:rPr>
              <w:t>若监测</w:t>
            </w:r>
            <w:r>
              <w:rPr>
                <w:rFonts w:hint="eastAsia"/>
                <w:color w:val="000000" w:themeColor="text1"/>
                <w:kern w:val="0"/>
                <w:lang w:val="en-US" w:eastAsia="zh-CN" w:bidi="ar"/>
                <w14:textFill>
                  <w14:solidFill>
                    <w14:schemeClr w14:val="tx1"/>
                  </w14:solidFill>
                </w14:textFill>
              </w:rPr>
              <w:t>发现监控井</w:t>
            </w:r>
            <w:r>
              <w:rPr>
                <w:rFonts w:hint="eastAsia"/>
                <w:color w:val="000000" w:themeColor="text1"/>
                <w:kern w:val="0"/>
                <w:lang w:bidi="ar"/>
                <w14:textFill>
                  <w14:solidFill>
                    <w14:schemeClr w14:val="tx1"/>
                  </w14:solidFill>
                </w14:textFill>
              </w:rPr>
              <w:t>水质超标，</w:t>
            </w:r>
            <w:r>
              <w:rPr>
                <w:rFonts w:hint="eastAsia"/>
                <w:color w:val="000000" w:themeColor="text1"/>
                <w:kern w:val="0"/>
                <w:lang w:val="en-US" w:eastAsia="zh-CN" w:bidi="ar"/>
                <w14:textFill>
                  <w14:solidFill>
                    <w14:schemeClr w14:val="tx1"/>
                  </w14:solidFill>
                </w14:textFill>
              </w:rPr>
              <w:t>立即由</w:t>
            </w:r>
            <w:r>
              <w:rPr>
                <w:color w:val="000000" w:themeColor="text1"/>
                <w:highlight w:val="none"/>
                <w14:textFill>
                  <w14:solidFill>
                    <w14:schemeClr w14:val="tx1"/>
                  </w14:solidFill>
                </w14:textFill>
              </w:rPr>
              <w:t>寻甸县科技和工业信息</w:t>
            </w:r>
            <w:r>
              <w:rPr>
                <w:rFonts w:hint="eastAsia"/>
                <w:color w:val="000000" w:themeColor="text1"/>
                <w:highlight w:val="none"/>
                <w:lang w:val="en-US" w:eastAsia="zh-CN"/>
                <w14:textFill>
                  <w14:solidFill>
                    <w14:schemeClr w14:val="tx1"/>
                  </w14:solidFill>
                </w14:textFill>
              </w:rPr>
              <w:t>局和寻甸县政府一起组织实施</w:t>
            </w:r>
            <w:r>
              <w:rPr>
                <w:rFonts w:hint="eastAsia"/>
                <w:color w:val="000000" w:themeColor="text1"/>
                <w:kern w:val="0"/>
                <w:lang w:bidi="ar"/>
                <w14:textFill>
                  <w14:solidFill>
                    <w14:schemeClr w14:val="tx1"/>
                  </w14:solidFill>
                </w14:textFill>
              </w:rPr>
              <w:t>备用水源设施</w:t>
            </w:r>
            <w:r>
              <w:rPr>
                <w:rFonts w:hint="eastAsia"/>
                <w:color w:val="000000" w:themeColor="text1"/>
                <w:kern w:val="0"/>
                <w:lang w:val="en-US" w:eastAsia="zh-CN" w:bidi="ar"/>
                <w14:textFill>
                  <w14:solidFill>
                    <w14:schemeClr w14:val="tx1"/>
                  </w14:solidFill>
                </w14:textFill>
              </w:rPr>
              <w:t>工程，</w:t>
            </w:r>
            <w:r>
              <w:rPr>
                <w:rFonts w:hint="eastAsia"/>
                <w:color w:val="000000" w:themeColor="text1"/>
                <w:kern w:val="0"/>
                <w:lang w:bidi="ar"/>
                <w14:textFill>
                  <w14:solidFill>
                    <w14:schemeClr w14:val="tx1"/>
                  </w14:solidFill>
                </w14:textFill>
              </w:rPr>
              <w:t>建设项目周边</w:t>
            </w:r>
            <w:r>
              <w:rPr>
                <w:rFonts w:hint="eastAsia"/>
                <w:color w:val="000000" w:themeColor="text1"/>
                <w:kern w:val="0"/>
                <w:lang w:val="en-US" w:eastAsia="zh-CN" w:bidi="ar"/>
                <w14:textFill>
                  <w14:solidFill>
                    <w14:schemeClr w14:val="tx1"/>
                  </w14:solidFill>
                </w14:textFill>
              </w:rPr>
              <w:t>八角洞村、龙潭村</w:t>
            </w:r>
            <w:r>
              <w:rPr>
                <w:rFonts w:hint="eastAsia"/>
                <w:color w:val="000000" w:themeColor="text1"/>
                <w:kern w:val="0"/>
                <w:lang w:bidi="ar"/>
                <w14:textFill>
                  <w14:solidFill>
                    <w14:schemeClr w14:val="tx1"/>
                  </w14:solidFill>
                </w14:textFill>
              </w:rPr>
              <w:t>人饮备用水源设施</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并及时查找水质超标的原因，采取措施进行补救</w:t>
            </w:r>
            <w:r>
              <w:rPr>
                <w:rFonts w:hint="eastAsia"/>
                <w:color w:val="000000" w:themeColor="text1"/>
                <w:kern w:val="0"/>
                <w:lang w:eastAsia="zh-CN" w:bidi="ar"/>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确保项目实施尽可能减小对周边居民生活和生产的影响。</w:t>
            </w:r>
          </w:p>
        </w:tc>
      </w:tr>
      <w:tr w14:paraId="6FA3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Align w:val="center"/>
          </w:tcPr>
          <w:p w14:paraId="7498EB87">
            <w:pPr>
              <w:adjustRightInd w:val="0"/>
              <w:snapToGrid w:val="0"/>
              <w:spacing w:line="240" w:lineRule="auto"/>
              <w:ind w:firstLine="0" w:firstLineChars="0"/>
              <w:jc w:val="center"/>
              <w:rPr>
                <w:bCs/>
                <w:color w:val="000000" w:themeColor="text1"/>
                <w:spacing w:val="10"/>
                <w14:textFill>
                  <w14:solidFill>
                    <w14:schemeClr w14:val="tx1"/>
                  </w14:solidFill>
                </w14:textFill>
              </w:rPr>
            </w:pPr>
            <w:r>
              <w:rPr>
                <w:rFonts w:hint="eastAsia"/>
                <w:bCs/>
                <w:color w:val="000000" w:themeColor="text1"/>
                <w14:textFill>
                  <w14:solidFill>
                    <w14:schemeClr w14:val="tx1"/>
                  </w14:solidFill>
                </w14:textFill>
              </w:rPr>
              <w:t>选址选线环境合理性分析</w:t>
            </w:r>
          </w:p>
        </w:tc>
        <w:tc>
          <w:tcPr>
            <w:tcW w:w="8048" w:type="dxa"/>
          </w:tcPr>
          <w:p w14:paraId="2990900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w:t>
            </w:r>
            <w:r>
              <w:rPr>
                <w:rFonts w:hint="eastAsia"/>
                <w:color w:val="000000" w:themeColor="text1"/>
                <w:kern w:val="0"/>
                <w:lang w:val="en-US" w:eastAsia="zh-CN" w:bidi="ar"/>
                <w14:textFill>
                  <w14:solidFill>
                    <w14:schemeClr w14:val="tx1"/>
                  </w14:solidFill>
                </w14:textFill>
              </w:rPr>
              <w:t>废弃矿坑</w:t>
            </w:r>
            <w:r>
              <w:rPr>
                <w:rFonts w:hint="eastAsia"/>
                <w:color w:val="000000" w:themeColor="text1"/>
                <w:kern w:val="0"/>
                <w:lang w:bidi="ar"/>
                <w14:textFill>
                  <w14:solidFill>
                    <w14:schemeClr w14:val="tx1"/>
                  </w14:solidFill>
                </w14:textFill>
              </w:rPr>
              <w:t>生态修复区因采矿活动，造成大量地表裸露及水土流失，严重影响生态环境。现对项目区进行回填恢复植被治理，有利于恢复生态环境。本项目修复区域不位于饮用水源地、天然滑坡泥石流地区、生态保护红线区、项目不占用永久基本农田；</w:t>
            </w:r>
            <w:r>
              <w:rPr>
                <w:rFonts w:hint="default" w:ascii="Times New Roman" w:hAnsi="Times New Roman" w:eastAsia="宋体" w:cs="Times New Roman"/>
                <w:color w:val="000000" w:themeColor="text1"/>
                <w:sz w:val="24"/>
                <w:szCs w:val="24"/>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编制</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eastAsia" w:ascii="Times New Roman" w:hAnsi="Times New Roman" w:eastAsia="宋体" w:cs="Times New Roman"/>
                <w:color w:val="000000" w:themeColor="text1"/>
                <w:sz w:val="24"/>
                <w:szCs w:val="24"/>
                <w:lang w:eastAsia="zh-CN"/>
                <w14:textFill>
                  <w14:solidFill>
                    <w14:schemeClr w14:val="tx1"/>
                  </w14:solidFill>
                </w14:textFill>
              </w:rPr>
              <w:t>寻甸县常青树磷石膏库综合治理项目</w:t>
            </w:r>
            <w:r>
              <w:rPr>
                <w:rFonts w:hint="eastAsia" w:cs="Times New Roman"/>
                <w:color w:val="000000" w:themeColor="text1"/>
                <w:sz w:val="24"/>
                <w:szCs w:val="24"/>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4"/>
                <w:szCs w:val="24"/>
                <w:lang w:eastAsia="zh-CN"/>
                <w14:textFill>
                  <w14:solidFill>
                    <w14:schemeClr w14:val="tx1"/>
                  </w14:solidFill>
                </w14:textFill>
              </w:rPr>
              <w:t>生态修复</w:t>
            </w:r>
            <w:r>
              <w:rPr>
                <w:rFonts w:hint="default" w:ascii="Times New Roman" w:hAnsi="Times New Roman" w:eastAsia="宋体" w:cs="Times New Roman"/>
                <w:color w:val="000000" w:themeColor="text1"/>
                <w:sz w:val="24"/>
                <w:szCs w:val="24"/>
                <w:lang w:eastAsia="zh-CN"/>
                <w14:textFill>
                  <w14:solidFill>
                    <w14:schemeClr w14:val="tx1"/>
                  </w14:solidFill>
                </w14:textFill>
              </w:rPr>
              <w:t>水文地质勘察报告》</w:t>
            </w:r>
            <w:r>
              <w:rPr>
                <w:rFonts w:hint="eastAsia"/>
                <w:color w:val="000000" w:themeColor="text1"/>
                <w:kern w:val="0"/>
                <w:lang w:bidi="ar"/>
                <w14:textFill>
                  <w14:solidFill>
                    <w14:schemeClr w14:val="tx1"/>
                  </w14:solidFill>
                </w14:textFill>
              </w:rPr>
              <w:t>，项目区岩溶中等发育，不存在较多落水洞和岩溶漏斗的区域与其他需要特别保护的区域内。项目不位于国务院有关部门及地方人民政府划定的生态保护红线区域、永久基本农田集中区域和其他需要特定保护的区域内，以及法律法规规定的其他禁止建设区域。根据相关查询意见，项目不涉及生态保护红线、永久基本农田，不在城镇开发边界内。项目建设符合《改性磷石膏用于矿山废弃地生态修复回填技术规范》（DB53/T1269-2024）、《改性磷石膏综合利用矿山生态修复环境风险评估规范》(DB5301/T98-2023)</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相关要求。</w:t>
            </w:r>
          </w:p>
          <w:p w14:paraId="29F34639">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根据检测结果，回填的改性磷石膏满足</w:t>
            </w:r>
            <w:r>
              <w:rPr>
                <w:rFonts w:hint="eastAsia"/>
                <w:color w:val="000000" w:themeColor="text1"/>
                <w14:textFill>
                  <w14:solidFill>
                    <w14:schemeClr w14:val="tx1"/>
                  </w14:solidFill>
                </w14:textFill>
              </w:rPr>
              <w:t>《改性磷石膏用于矿山废弃地生态修复回填技术规范》</w:t>
            </w:r>
            <w:r>
              <w:rPr>
                <w:rFonts w:hint="eastAsia"/>
                <w:color w:val="000000" w:themeColor="text1"/>
                <w:kern w:val="0"/>
                <w:lang w:bidi="ar"/>
                <w14:textFill>
                  <w14:solidFill>
                    <w14:schemeClr w14:val="tx1"/>
                  </w14:solidFill>
                </w14:textFill>
              </w:rPr>
              <w:t>（DB53/T1269-2024）、《磷石膏的处理处置规范》（GB/T 32124-2024）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要求。改性磷石膏按照HJ557规定方法制备改性磷石膏浸出液中任何一种特征污染物浓度均不应超过GB 8978最高允许排放浓度（第二类污染物最高允许排放浓度按照一级标准执行），项目参照《改性磷石膏用于矿山废弃地生态修复回填技术规范》（DB53/T1269-2024）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要求进行防渗，存在的环境风险不大。</w:t>
            </w:r>
          </w:p>
          <w:p w14:paraId="74D9CA1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项目是针对</w:t>
            </w:r>
            <w:r>
              <w:rPr>
                <w:rFonts w:hint="eastAsia"/>
                <w:color w:val="000000" w:themeColor="text1"/>
                <w:szCs w:val="22"/>
                <w14:textFill>
                  <w14:solidFill>
                    <w14:schemeClr w14:val="tx1"/>
                  </w14:solidFill>
                </w14:textFill>
              </w:rPr>
              <w:t>废弃矿坑进行生态修复治理，恢复破坏场地生态环境</w:t>
            </w:r>
            <w:r>
              <w:rPr>
                <w:rFonts w:hint="eastAsia"/>
                <w:color w:val="000000" w:themeColor="text1"/>
                <w:kern w:val="0"/>
                <w:lang w:bidi="ar"/>
                <w14:textFill>
                  <w14:solidFill>
                    <w14:schemeClr w14:val="tx1"/>
                  </w14:solidFill>
                </w14:textFill>
              </w:rPr>
              <w:t>，由于矿山已停采，采区岩石裸露，边坡高陡，且坡面岩体较破碎，可能成为崩塌、滑坡等矿山地质灾害隐患点。因此对矿山采空区进行回填后种植植被可以减少地质灾害的发生，还可以美化环境，根据调查可知，项目不在生态保护红线区域，避开集中式饮用水源保护区及汇水范围、活动断层、溶洞区、天然滑坡或泥石流影响区域，不涉及饮用水源保护地、自然保护区、风景名胜区、基本农田保护区和文物保护单位等特殊需要保护的单位等环境敏感目标。项目为矿山地质环境恢复治理工程，建成后无污染物排放。</w:t>
            </w:r>
          </w:p>
          <w:p w14:paraId="622A4525">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回填矿坑前，需对每批次改性磷石膏进行监测，按照HJ557规定方法制备改性磷石膏浸出液中任何一种特征污染物浓度均不应超过GB 8978最高允许排放浓度（第二类污染物最高允许排放浓度按照一级标准执行），方可入场回填。施工回填作业过程中加强作业人员培训和管理，防止回填施工破坏防渗层，同时对修复工程质量加以控制和监理。</w:t>
            </w:r>
          </w:p>
          <w:p w14:paraId="0AAB7B3B">
            <w:pPr>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项目实施后，项目区的植被综合盖度明显增强，涵养水源、净化水质、保持水土和抵御自然灾害的能力明显提高，大气污染程度得到有效缓解，对周边环境的影响主要表现为正影响。项目选址合理。</w:t>
            </w:r>
          </w:p>
          <w:p w14:paraId="10DCF42B">
            <w:pPr>
              <w:ind w:firstLine="480"/>
              <w:rPr>
                <w:rFonts w:hint="eastAsia"/>
                <w:color w:val="000000" w:themeColor="text1"/>
                <w:kern w:val="0"/>
                <w:lang w:bidi="ar"/>
                <w14:textFill>
                  <w14:solidFill>
                    <w14:schemeClr w14:val="tx1"/>
                  </w14:solidFill>
                </w14:textFill>
              </w:rPr>
            </w:pPr>
          </w:p>
          <w:p w14:paraId="776F3FBD">
            <w:pPr>
              <w:ind w:firstLine="480"/>
              <w:rPr>
                <w:rFonts w:hint="eastAsia"/>
                <w:color w:val="000000" w:themeColor="text1"/>
                <w:kern w:val="0"/>
                <w:lang w:bidi="ar"/>
                <w14:textFill>
                  <w14:solidFill>
                    <w14:schemeClr w14:val="tx1"/>
                  </w14:solidFill>
                </w14:textFill>
              </w:rPr>
            </w:pPr>
          </w:p>
          <w:p w14:paraId="1C0D6E96">
            <w:pPr>
              <w:ind w:firstLine="480"/>
              <w:rPr>
                <w:rFonts w:hint="eastAsia"/>
                <w:color w:val="000000" w:themeColor="text1"/>
                <w:kern w:val="0"/>
                <w:lang w:bidi="ar"/>
                <w14:textFill>
                  <w14:solidFill>
                    <w14:schemeClr w14:val="tx1"/>
                  </w14:solidFill>
                </w14:textFill>
              </w:rPr>
            </w:pPr>
          </w:p>
          <w:p w14:paraId="7BF19271">
            <w:pPr>
              <w:pStyle w:val="23"/>
              <w:rPr>
                <w:rFonts w:hint="eastAsia"/>
                <w:color w:val="000000" w:themeColor="text1"/>
                <w:kern w:val="0"/>
                <w:lang w:bidi="ar"/>
                <w14:textFill>
                  <w14:solidFill>
                    <w14:schemeClr w14:val="tx1"/>
                  </w14:solidFill>
                </w14:textFill>
              </w:rPr>
            </w:pPr>
          </w:p>
          <w:p w14:paraId="09DC8B28">
            <w:pPr>
              <w:pStyle w:val="24"/>
              <w:rPr>
                <w:rFonts w:hint="eastAsia"/>
                <w:color w:val="000000" w:themeColor="text1"/>
                <w:kern w:val="0"/>
                <w:lang w:bidi="ar"/>
                <w14:textFill>
                  <w14:solidFill>
                    <w14:schemeClr w14:val="tx1"/>
                  </w14:solidFill>
                </w14:textFill>
              </w:rPr>
            </w:pPr>
          </w:p>
          <w:p w14:paraId="66FE08FF">
            <w:pPr>
              <w:pStyle w:val="26"/>
              <w:rPr>
                <w:rFonts w:hint="eastAsia"/>
                <w:color w:val="000000" w:themeColor="text1"/>
                <w:kern w:val="0"/>
                <w:lang w:bidi="ar"/>
                <w14:textFill>
                  <w14:solidFill>
                    <w14:schemeClr w14:val="tx1"/>
                  </w14:solidFill>
                </w14:textFill>
              </w:rPr>
            </w:pPr>
          </w:p>
          <w:p w14:paraId="72650ADE">
            <w:pPr>
              <w:pStyle w:val="24"/>
              <w:rPr>
                <w:rFonts w:hint="eastAsia"/>
                <w:color w:val="000000" w:themeColor="text1"/>
                <w:kern w:val="0"/>
                <w:lang w:bidi="ar"/>
                <w14:textFill>
                  <w14:solidFill>
                    <w14:schemeClr w14:val="tx1"/>
                  </w14:solidFill>
                </w14:textFill>
              </w:rPr>
            </w:pPr>
          </w:p>
          <w:p w14:paraId="2A4F80F3">
            <w:pPr>
              <w:ind w:firstLine="480"/>
              <w:rPr>
                <w:rFonts w:hint="eastAsia"/>
                <w:color w:val="000000" w:themeColor="text1"/>
                <w:kern w:val="0"/>
                <w:lang w:bidi="ar"/>
                <w14:textFill>
                  <w14:solidFill>
                    <w14:schemeClr w14:val="tx1"/>
                  </w14:solidFill>
                </w14:textFill>
              </w:rPr>
            </w:pPr>
          </w:p>
          <w:p w14:paraId="4CB971CD">
            <w:pPr>
              <w:ind w:firstLine="480"/>
              <w:rPr>
                <w:rFonts w:hint="eastAsia"/>
                <w:color w:val="000000" w:themeColor="text1"/>
                <w:kern w:val="0"/>
                <w:lang w:bidi="ar"/>
                <w14:textFill>
                  <w14:solidFill>
                    <w14:schemeClr w14:val="tx1"/>
                  </w14:solidFill>
                </w14:textFill>
              </w:rPr>
            </w:pPr>
          </w:p>
        </w:tc>
      </w:tr>
    </w:tbl>
    <w:p w14:paraId="62A6E030">
      <w:pPr>
        <w:pStyle w:val="37"/>
        <w:jc w:val="center"/>
        <w:rPr>
          <w:rFonts w:ascii="Times New Roman" w:hAnsi="Times New Roman"/>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36F37877">
      <w:pPr>
        <w:pStyle w:val="37"/>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bookmarkStart w:id="57" w:name="_Toc10747"/>
      <w:bookmarkStart w:id="58" w:name="_Toc32332"/>
      <w:r>
        <w:rPr>
          <w:rFonts w:hint="eastAsia" w:ascii="Times New Roman" w:hAnsi="Times New Roman"/>
          <w:snapToGrid w:val="0"/>
          <w:color w:val="000000" w:themeColor="text1"/>
          <w:sz w:val="30"/>
          <w:szCs w:val="30"/>
          <w14:textFill>
            <w14:solidFill>
              <w14:schemeClr w14:val="tx1"/>
            </w14:solidFill>
          </w14:textFill>
        </w:rPr>
        <w:t>五、主要生态环境保护措施</w:t>
      </w:r>
      <w:bookmarkEnd w:id="57"/>
      <w:bookmarkEnd w:id="58"/>
    </w:p>
    <w:tbl>
      <w:tblPr>
        <w:tblStyle w:val="40"/>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1A45E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tcMar>
              <w:left w:w="28" w:type="dxa"/>
              <w:right w:w="28" w:type="dxa"/>
            </w:tcMar>
            <w:vAlign w:val="center"/>
          </w:tcPr>
          <w:p w14:paraId="35613DB4">
            <w:pPr>
              <w:adjustRightInd w:val="0"/>
              <w:snapToGrid w:val="0"/>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pacing w:val="10"/>
                <w:szCs w:val="21"/>
                <w14:textFill>
                  <w14:solidFill>
                    <w14:schemeClr w14:val="tx1"/>
                  </w14:solidFill>
                </w14:textFill>
              </w:rPr>
              <w:t>施工期生态环境保护措施</w:t>
            </w:r>
          </w:p>
        </w:tc>
        <w:tc>
          <w:tcPr>
            <w:tcW w:w="8457" w:type="dxa"/>
          </w:tcPr>
          <w:p w14:paraId="6E88FF60">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1、大气环境保护措施</w:t>
            </w:r>
          </w:p>
          <w:p w14:paraId="18B9EFAD">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项目施工过程中产生的废气主要为扬尘以及运输车辆、施工机械产生的尾气。</w:t>
            </w:r>
          </w:p>
          <w:p w14:paraId="302C859B">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（1）施工扬尘</w:t>
            </w:r>
          </w:p>
          <w:p w14:paraId="370E6945">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项目生态修复过程中产生的扬尘主要为场地清理、</w:t>
            </w:r>
            <w:r>
              <w:rPr>
                <w:rFonts w:hint="eastAsia"/>
                <w:color w:val="000000" w:themeColor="text1"/>
                <w:kern w:val="0"/>
                <w:lang w:bidi="ar"/>
                <w14:textFill>
                  <w14:solidFill>
                    <w14:schemeClr w14:val="tx1"/>
                  </w14:solidFill>
                </w14:textFill>
              </w:rPr>
              <w:t>截排水沟开挖、拆除</w:t>
            </w:r>
            <w:r>
              <w:rPr>
                <w:rFonts w:hint="eastAsia"/>
                <w:color w:val="000000" w:themeColor="text1"/>
                <w:kern w:val="0"/>
                <w:lang w:val="en-US" w:eastAsia="zh-CN" w:bidi="ar"/>
                <w14:textFill>
                  <w14:solidFill>
                    <w14:schemeClr w14:val="tx1"/>
                  </w14:solidFill>
                </w14:textFill>
              </w:rPr>
              <w:t>原矿山</w:t>
            </w:r>
            <w:r>
              <w:rPr>
                <w:rFonts w:hint="eastAsia"/>
                <w:color w:val="000000" w:themeColor="text1"/>
                <w:kern w:val="0"/>
                <w:lang w:bidi="ar"/>
                <w14:textFill>
                  <w14:solidFill>
                    <w14:schemeClr w14:val="tx1"/>
                  </w14:solidFill>
                </w14:textFill>
              </w:rPr>
              <w:t>遗留建筑物</w:t>
            </w:r>
            <w:r>
              <w:rPr>
                <w:rFonts w:hint="eastAsia" w:ascii="宋体" w:hAnsi="宋体" w:cs="宋体"/>
                <w:color w:val="000000" w:themeColor="text1"/>
                <w:kern w:val="0"/>
                <w:lang w:bidi="ar"/>
                <w14:textFill>
                  <w14:solidFill>
                    <w14:schemeClr w14:val="tx1"/>
                  </w14:solidFill>
                </w14:textFill>
              </w:rPr>
              <w:t>等工程施工过程产生，属于无组织排放，为减缓施工扬尘对环境影响，项目拟采取以下措施：</w:t>
            </w:r>
          </w:p>
          <w:p w14:paraId="3EE94D5D">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1）通过在施工过程中采取洒水喷雾降尘，洒水喷雾次数根据天气状况而定；非雨天每日洒水次数不少于3次；若遇到大风或干燥天气应增加洒水喷雾次数；</w:t>
            </w:r>
          </w:p>
          <w:p w14:paraId="1749C5B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2）控制施工作业面，在合理安排施工进程情况下，尽可能减少大面积施工，以减少扬尘产生量；</w:t>
            </w:r>
          </w:p>
          <w:p w14:paraId="0432208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场区堆存的物料采取篷布遮盖，</w:t>
            </w:r>
            <w:r>
              <w:rPr>
                <w:rFonts w:hint="eastAsia"/>
                <w:color w:val="000000" w:themeColor="text1"/>
                <w:kern w:val="0"/>
                <w:lang w:bidi="ar"/>
                <w14:textFill>
                  <w14:solidFill>
                    <w14:schemeClr w14:val="tx1"/>
                  </w14:solidFill>
                </w14:textFill>
              </w:rPr>
              <w:t>合理安排施工工序、施工进度，尽量避免在大风气象条件下施工。</w:t>
            </w:r>
          </w:p>
          <w:p w14:paraId="12157205">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（2）运输扬尘</w:t>
            </w:r>
          </w:p>
          <w:p w14:paraId="5BC3E10A">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针对运输扬尘要求：</w:t>
            </w:r>
          </w:p>
          <w:p w14:paraId="049D1175">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1）对回填料及弃土、耕植土的运输须密闭运输，施工场地运输车辆的车厢应当确保牢固、严密，严禁在装运过程中沿途抛、洒、滴、漏；</w:t>
            </w:r>
          </w:p>
          <w:p w14:paraId="18B35A4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2）减速慢行，严禁超载、超速，并规划好运输车辆的运行路线与时间；</w:t>
            </w:r>
          </w:p>
          <w:p w14:paraId="339BD034">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3）运输道路合理安排洒水降尘，出场车辆进行冲洗，严禁带泥上路。</w:t>
            </w:r>
          </w:p>
          <w:p w14:paraId="7B8F3660">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（3）施工机械及运输车辆废气对环境的保护措施</w:t>
            </w:r>
          </w:p>
          <w:p w14:paraId="4025F8C3">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施工机械及运输车辆尾气属于无组织排放</w:t>
            </w:r>
            <w:r>
              <w:rPr>
                <w:rFonts w:hint="eastAsia"/>
                <w:color w:val="000000" w:themeColor="text1"/>
                <w:kern w:val="0"/>
                <w:lang w:bidi="ar"/>
                <w14:textFill>
                  <w14:solidFill>
                    <w14:schemeClr w14:val="tx1"/>
                  </w14:solidFill>
                </w14:textFill>
              </w:rPr>
              <w:t>，具有间断性产生、产生量较小、产生点相对分散、易被稀释扩散等特点，设备定期维护保养，严禁带病作业。</w:t>
            </w:r>
          </w:p>
          <w:p w14:paraId="0BC51C4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项目生态修复区位于山区，空气流动性较好，施工机械和运输车辆所产生的污染在空气中经自然扩散和稀释后，对评价区域的空气环境质量影响不大。</w:t>
            </w:r>
          </w:p>
          <w:p w14:paraId="23DB3FB7">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（4）小结</w:t>
            </w:r>
          </w:p>
          <w:p w14:paraId="2D281A7C">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经采取相应的防治措施并加强管理后，影响程度和范围可得到减缓和控制，污染影响可做到最小化，且随着施工期的结束而消失，对周围环境的影响程度不大，项目的实施也不会降低当地现状环境空气质量。</w:t>
            </w:r>
          </w:p>
          <w:p w14:paraId="768CDA10">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2、地表水环境保护措施</w:t>
            </w:r>
          </w:p>
          <w:p w14:paraId="1496A1E9">
            <w:pPr>
              <w:widowControl/>
              <w:adjustRightInd w:val="0"/>
              <w:snapToGrid w:val="0"/>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项目施工期废水主要为渗滤液、地表径流、施工废水（</w:t>
            </w:r>
            <w:r>
              <w:rPr>
                <w:rFonts w:hint="eastAsia"/>
                <w:color w:val="000000" w:themeColor="text1"/>
                <w14:textFill>
                  <w14:solidFill>
                    <w14:schemeClr w14:val="tx1"/>
                  </w14:solidFill>
                </w14:textFill>
              </w:rPr>
              <w:t>施工车辆进出冲洗废水</w:t>
            </w:r>
            <w:r>
              <w:rPr>
                <w:rFonts w:hint="eastAsia" w:ascii="宋体" w:hAnsi="宋体" w:cs="宋体"/>
                <w:color w:val="000000" w:themeColor="text1"/>
                <w:kern w:val="0"/>
                <w:lang w:bidi="ar"/>
                <w14:textFill>
                  <w14:solidFill>
                    <w14:schemeClr w14:val="tx1"/>
                  </w14:solidFill>
                </w14:textFill>
              </w:rPr>
              <w:t>）、施工人员洗手废水</w:t>
            </w:r>
            <w:r>
              <w:rPr>
                <w:rFonts w:hint="eastAsia"/>
                <w:color w:val="000000" w:themeColor="text1"/>
                <w:kern w:val="0"/>
                <w:lang w:bidi="ar"/>
                <w14:textFill>
                  <w14:solidFill>
                    <w14:schemeClr w14:val="tx1"/>
                  </w14:solidFill>
                </w14:textFill>
              </w:rPr>
              <w:t>。</w:t>
            </w:r>
          </w:p>
          <w:p w14:paraId="71CE1220">
            <w:pPr>
              <w:widowControl/>
              <w:adjustRightInd w:val="0"/>
              <w:snapToGrid w:val="0"/>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（1）渗滤液</w:t>
            </w:r>
          </w:p>
          <w:p w14:paraId="099A5575">
            <w:pPr>
              <w:widowControl/>
              <w:adjustRightInd w:val="0"/>
              <w:snapToGrid w:val="0"/>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1）废水产生情况</w:t>
            </w:r>
          </w:p>
          <w:p w14:paraId="00CD187D">
            <w:pPr>
              <w:widowControl/>
              <w:adjustRightInd w:val="0"/>
              <w:snapToGrid w:val="0"/>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回填施工过程中降雨时，存在部分受雨水淋溶影响产生的渗滤液，产生的渗滤液经导排管排至渗滤液收集井后晴天回用于回填区洒水降尘，对周边环境影响小。</w:t>
            </w:r>
          </w:p>
          <w:p w14:paraId="5731229D">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2）废水处理可行性分析</w:t>
            </w:r>
          </w:p>
          <w:p w14:paraId="1309CB8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项目生态修复面积为</w:t>
            </w:r>
            <w:r>
              <w:rPr>
                <w:rFonts w:hint="eastAsia"/>
                <w:color w:val="000000" w:themeColor="text1"/>
                <w:lang w:eastAsia="zh-CN"/>
                <w14:textFill>
                  <w14:solidFill>
                    <w14:schemeClr w14:val="tx1"/>
                  </w14:solidFill>
                </w14:textFill>
              </w:rPr>
              <w:t>63132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，洒水降尘量需求大（</w:t>
            </w:r>
            <w:r>
              <w:rPr>
                <w:rFonts w:hint="eastAsia"/>
                <w:color w:val="000000" w:themeColor="text1"/>
                <w:lang w:val="en-US" w:eastAsia="zh-CN"/>
                <w14:textFill>
                  <w14:solidFill>
                    <w14:schemeClr w14:val="tx1"/>
                  </w14:solidFill>
                </w14:textFill>
              </w:rPr>
              <w:t>258</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），项目施工期渗滤液产生量最大时在7、8月份，最大产生量为</w:t>
            </w:r>
            <w:r>
              <w:rPr>
                <w:rFonts w:hint="eastAsia"/>
                <w:color w:val="000000" w:themeColor="text1"/>
                <w:lang w:val="en-US" w:eastAsia="zh-CN"/>
                <w14:textFill>
                  <w14:solidFill>
                    <w14:schemeClr w14:val="tx1"/>
                  </w14:solidFill>
                </w14:textFill>
              </w:rPr>
              <w:t>100.69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/d，地表径流产生量为</w:t>
            </w:r>
            <w:r>
              <w:rPr>
                <w:rFonts w:hint="eastAsia"/>
                <w:color w:val="000000" w:themeColor="text1"/>
                <w:lang w:val="en-US" w:eastAsia="zh-CN"/>
                <w14:textFill>
                  <w14:solidFill>
                    <w14:schemeClr w14:val="tx1"/>
                  </w14:solidFill>
                </w14:textFill>
              </w:rPr>
              <w:t>119.1</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/d，可完全回用于场区洒水降尘。</w:t>
            </w:r>
          </w:p>
          <w:p w14:paraId="79D123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考虑雨天不进行作业、绿化，在</w:t>
            </w:r>
            <w:r>
              <w:rPr>
                <w:rFonts w:hint="eastAsia"/>
                <w:color w:val="000000" w:themeColor="text1"/>
                <w:lang w:val="en-US" w:eastAsia="zh-CN"/>
                <w14:textFill>
                  <w14:solidFill>
                    <w14:schemeClr w14:val="tx1"/>
                  </w14:solidFill>
                </w14:textFill>
              </w:rPr>
              <w:t>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800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渗滤液收集池</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1个120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val="en-US" w:eastAsia="zh-CN"/>
                <w14:textFill>
                  <w14:solidFill>
                    <w14:schemeClr w14:val="tx1"/>
                  </w14:solidFill>
                </w14:textFill>
              </w:rPr>
              <w:t>雨水收集池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渗滤液收集池容积可以容纳连续降雨</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天产生的渗滤液</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地表径流在雨水收集池暂存后，后期雨水延排水沟外排。</w:t>
            </w:r>
            <w:r>
              <w:rPr>
                <w:rFonts w:hint="eastAsia"/>
                <w:color w:val="000000" w:themeColor="text1"/>
                <w14:textFill>
                  <w14:solidFill>
                    <w14:schemeClr w14:val="tx1"/>
                  </w14:solidFill>
                </w14:textFill>
              </w:rPr>
              <w:t>项目施工结束回填体顶部设置防渗膜，渗滤液产生量会随之变少。</w:t>
            </w:r>
          </w:p>
          <w:p w14:paraId="675746B0">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根据《改性磷石膏用于矿山废弃地生态修复回填技术规范》（DB53/T1269-2024）11.3“回填施工现场应设置收集设施，收集施工过程受雨水溶淋产生的淋滤水。淋滤水可用于回填区扬尘治理或满足GB 8978的要求达标排放”规范要求，本项目产生的渗滤液经渗滤液收集井收集后晴天回用于回填区降尘是可行的，满足相应规范要求。</w:t>
            </w:r>
          </w:p>
          <w:p w14:paraId="1A3FB843">
            <w:pPr>
              <w:widowControl/>
              <w:adjustRightInd w:val="0"/>
              <w:snapToGrid w:val="0"/>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（2）施工废水</w:t>
            </w:r>
          </w:p>
          <w:p w14:paraId="198CB284">
            <w:pPr>
              <w:widowControl/>
              <w:adjustRightInd w:val="0"/>
              <w:snapToGrid w:val="0"/>
              <w:ind w:firstLine="48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项目施工废水主要为施工车辆冲洗废水及混凝土养护废水。项目施工车辆冲洗废水产生量约为</w:t>
            </w:r>
            <w:r>
              <w:rPr>
                <w:rFonts w:hint="eastAsia"/>
                <w:color w:val="000000" w:themeColor="text1"/>
                <w14:textFill>
                  <w14:solidFill>
                    <w14:schemeClr w14:val="tx1"/>
                  </w14:solidFill>
                </w14:textFill>
              </w:rPr>
              <w:t>2.08m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废水污染物主要为</w:t>
            </w:r>
            <w:r>
              <w:rPr>
                <w:color w:val="000000" w:themeColor="text1"/>
                <w:kern w:val="0"/>
                <w:lang w:bidi="ar"/>
                <w14:textFill>
                  <w14:solidFill>
                    <w14:schemeClr w14:val="tx1"/>
                  </w14:solidFill>
                </w14:textFill>
              </w:rPr>
              <w:t>SS</w:t>
            </w:r>
            <w:r>
              <w:rPr>
                <w:rFonts w:hint="eastAsia" w:ascii="宋体" w:hAnsi="宋体" w:cs="宋体"/>
                <w:color w:val="000000" w:themeColor="text1"/>
                <w:kern w:val="0"/>
                <w:lang w:bidi="ar"/>
                <w14:textFill>
                  <w14:solidFill>
                    <w14:schemeClr w14:val="tx1"/>
                  </w14:solidFill>
                </w14:textFill>
              </w:rPr>
              <w:t>。混凝土养护废水自然蒸发，废水经收集沉淀处理后回用于洒水降尘，项目区施工期设置1座3</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的临时沉淀池，可容纳1天的施工车辆冲洗废水及施工人员洗手废水，废水处理设施可行</w:t>
            </w:r>
            <w:r>
              <w:rPr>
                <w:rFonts w:hint="eastAsia" w:ascii="宋体" w:hAnsi="宋体" w:cs="宋体"/>
                <w:color w:val="000000" w:themeColor="text1"/>
                <w:kern w:val="0"/>
                <w:lang w:bidi="ar"/>
                <w14:textFill>
                  <w14:solidFill>
                    <w14:schemeClr w14:val="tx1"/>
                  </w14:solidFill>
                </w14:textFill>
              </w:rPr>
              <w:t>。</w:t>
            </w:r>
          </w:p>
          <w:p w14:paraId="45A93311">
            <w:pPr>
              <w:widowControl/>
              <w:adjustRightInd w:val="0"/>
              <w:snapToGrid w:val="0"/>
              <w:ind w:firstLine="482"/>
              <w:jc w:val="left"/>
              <w:rPr>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（3）施工人员洗手污水</w:t>
            </w:r>
          </w:p>
          <w:p w14:paraId="0718E719">
            <w:pPr>
              <w:widowControl/>
              <w:adjustRightInd w:val="0"/>
              <w:snapToGrid w:val="0"/>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项目施工人员洗手废水产生量约</w:t>
            </w:r>
            <w:r>
              <w:rPr>
                <w:rFonts w:hint="eastAsia"/>
                <w:color w:val="000000" w:themeColor="text1"/>
                <w:kern w:val="0"/>
                <w:lang w:bidi="ar"/>
                <w14:textFill>
                  <w14:solidFill>
                    <w14:schemeClr w14:val="tx1"/>
                  </w14:solidFill>
                </w14:textFill>
              </w:rPr>
              <w:t>0.48</w:t>
            </w:r>
            <w:r>
              <w:rPr>
                <w:color w:val="000000" w:themeColor="text1"/>
                <w:kern w:val="0"/>
                <w:lang w:bidi="ar"/>
                <w14:textFill>
                  <w14:solidFill>
                    <w14:schemeClr w14:val="tx1"/>
                  </w14:solidFill>
                </w14:textFill>
              </w:rPr>
              <w:t>m³/d，经临时沉淀池（</w:t>
            </w:r>
            <w:r>
              <w:rPr>
                <w:rFonts w:hint="eastAsia"/>
                <w:color w:val="000000" w:themeColor="text1"/>
                <w:kern w:val="0"/>
                <w:lang w:bidi="ar"/>
                <w14:textFill>
                  <w14:solidFill>
                    <w14:schemeClr w14:val="tx1"/>
                  </w14:solidFill>
                </w14:textFill>
              </w:rPr>
              <w:t>3</w:t>
            </w:r>
            <w:r>
              <w:rPr>
                <w:color w:val="000000" w:themeColor="text1"/>
                <w:kern w:val="0"/>
                <w:lang w:bidi="ar"/>
                <w14:textFill>
                  <w14:solidFill>
                    <w14:schemeClr w14:val="tx1"/>
                  </w14:solidFill>
                </w14:textFill>
              </w:rPr>
              <w:t>m³）沉淀处理后回用于施工场地洒水降尘，不会对区域地表水体造成较大影响。</w:t>
            </w:r>
          </w:p>
          <w:p w14:paraId="61666E57">
            <w:pPr>
              <w:widowControl/>
              <w:adjustRightInd w:val="0"/>
              <w:snapToGrid w:val="0"/>
              <w:ind w:firstLine="482"/>
              <w:jc w:val="left"/>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（4）小结</w:t>
            </w:r>
          </w:p>
          <w:p w14:paraId="31A3EB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项目施工废水均合理处置，在采取各污染控制措施下，项目不会对周边地表水体造成较大影响。</w:t>
            </w:r>
          </w:p>
          <w:p w14:paraId="78943CA8">
            <w:pPr>
              <w:pStyle w:val="72"/>
              <w:adjustRightInd w:val="0"/>
              <w:ind w:firstLine="482"/>
              <w:jc w:val="both"/>
              <w:rPr>
                <w:b/>
                <w:bCs/>
                <w:color w:val="000000" w:themeColor="text1"/>
                <w:spacing w:val="0"/>
                <w:kern w:val="0"/>
                <w:lang w:val="en-US" w:bidi="ar"/>
                <w14:textFill>
                  <w14:solidFill>
                    <w14:schemeClr w14:val="tx1"/>
                  </w14:solidFill>
                </w14:textFill>
              </w:rPr>
            </w:pPr>
            <w:r>
              <w:rPr>
                <w:rFonts w:hint="eastAsia"/>
                <w:b/>
                <w:bCs/>
                <w:color w:val="000000" w:themeColor="text1"/>
                <w:spacing w:val="0"/>
                <w:kern w:val="0"/>
                <w:lang w:val="en-US" w:bidi="ar"/>
                <w14:textFill>
                  <w14:solidFill>
                    <w14:schemeClr w14:val="tx1"/>
                  </w14:solidFill>
                </w14:textFill>
              </w:rPr>
              <w:t>3、声环境保护措施</w:t>
            </w:r>
          </w:p>
          <w:p w14:paraId="69E7F4D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施工期间噪声主要是施工现场的各类机械设备噪声、施工作业噪声以及物料运输造成的交通噪声。</w:t>
            </w:r>
          </w:p>
          <w:p w14:paraId="02A7AC1A">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（1）施工噪声</w:t>
            </w:r>
          </w:p>
          <w:p w14:paraId="7582216E">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项目周边200</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范围内没有居民分布。为减轻施工期对周围环境影响，项目施工期需注意采取以下措施：</w:t>
            </w:r>
          </w:p>
          <w:p w14:paraId="1C497DD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1）在符合施工需要的前提下，尽可能选取噪声低、振动小、能耗小的先进设备。加强对施工机械的维护保养，避免由于设备性能差而使机械噪声增大的现象发生，避免偶发噪声发生；</w:t>
            </w:r>
          </w:p>
          <w:p w14:paraId="4A6C60EA">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2）加快施工进度，合理安排施工时间；</w:t>
            </w:r>
          </w:p>
          <w:p w14:paraId="3ACECE5E">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3）加强对施工人员的环境宣传和教育，使他们认真落实各项降噪措施，做到文明施工；</w:t>
            </w:r>
          </w:p>
          <w:p w14:paraId="2ACFD26D">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4）运输施工物资应注意合理安排施工物料运输时间；</w:t>
            </w:r>
          </w:p>
          <w:p w14:paraId="01C8771E">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5）加强对施工场地的噪声管理，文明施工，做 好区内交通组织，施工场地车辆出入现场时应低速、禁鸣，设立专人负责；</w:t>
            </w:r>
          </w:p>
          <w:p w14:paraId="028E735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通过采取上述措施，将项目施工期施工机械噪声对周围环境的影响降至最低。随着项目施工结束，施工噪声污染将随之消失，在严格执行上述措施的前提下，项目施工噪声对周边环境产生的影响是可以接受的。</w:t>
            </w:r>
          </w:p>
          <w:p w14:paraId="2DECC334">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（2）运输噪声</w:t>
            </w:r>
          </w:p>
          <w:p w14:paraId="6F097B7F">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回填料运输依托现有道路，往来车辆较多，为避免车辆运输噪声对沿途村民的影响，要求运输车辆经过此处时减速慢行，同时加强途经对途经村庄道路维护；在经过沿线村庄时，应减缓车速、禁止鸣笛；合理安排运输时间，运输尽量安排在昼间减少车辆运输产生的噪声对于周边环境的影响。经采取以上措施后，项目施工噪声对沿途村庄的影响是可以接受的。</w:t>
            </w:r>
          </w:p>
          <w:p w14:paraId="59D3B8FC">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（3）小结</w:t>
            </w:r>
          </w:p>
          <w:p w14:paraId="2A6C9382">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通过采取上述措施，项目施工噪声对周围环境的影响降至最低。随着项目施工结束，施工噪声污染将随之消失，在严格执行上述措施的前提下，项目施工噪声对周边环境产生的影响是可以接受的。</w:t>
            </w:r>
          </w:p>
          <w:p w14:paraId="2263B4A6">
            <w:pPr>
              <w:pStyle w:val="72"/>
              <w:adjustRightInd w:val="0"/>
              <w:ind w:firstLine="482" w:firstLineChars="0"/>
              <w:jc w:val="both"/>
              <w:rPr>
                <w:b/>
                <w:bCs/>
                <w:color w:val="000000" w:themeColor="text1"/>
                <w:spacing w:val="0"/>
                <w:kern w:val="0"/>
                <w:lang w:val="en-US" w:bidi="ar"/>
                <w14:textFill>
                  <w14:solidFill>
                    <w14:schemeClr w14:val="tx1"/>
                  </w14:solidFill>
                </w14:textFill>
              </w:rPr>
            </w:pPr>
            <w:r>
              <w:rPr>
                <w:rFonts w:hint="eastAsia"/>
                <w:b/>
                <w:bCs/>
                <w:color w:val="000000" w:themeColor="text1"/>
                <w:spacing w:val="0"/>
                <w:kern w:val="0"/>
                <w:lang w:val="en-US" w:bidi="ar"/>
                <w14:textFill>
                  <w14:solidFill>
                    <w14:schemeClr w14:val="tx1"/>
                  </w14:solidFill>
                </w14:textFill>
              </w:rPr>
              <w:t>4、固体废弃物处置措施</w:t>
            </w:r>
          </w:p>
          <w:p w14:paraId="661616A6">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项目施工期固体废物主要为开挖土石方、施工人员生活垃圾、临时沉淀池及渗滤液收集井的沉渣、拆除构筑物固体废物。</w:t>
            </w:r>
          </w:p>
          <w:p w14:paraId="786FD00B">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（1）废土石方</w:t>
            </w:r>
          </w:p>
          <w:p w14:paraId="748D2BDB">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根据工程分析，项目施工期产生土石方全部用于场地平整。土石方处置率</w:t>
            </w:r>
            <w:r>
              <w:rPr>
                <w:color w:val="000000" w:themeColor="text1"/>
                <w:kern w:val="0"/>
                <w:lang w:bidi="ar"/>
                <w14:textFill>
                  <w14:solidFill>
                    <w14:schemeClr w14:val="tx1"/>
                  </w14:solidFill>
                </w14:textFill>
              </w:rPr>
              <w:t>100%</w:t>
            </w:r>
            <w:r>
              <w:rPr>
                <w:rFonts w:hint="eastAsia" w:ascii="宋体" w:hAnsi="宋体" w:cs="宋体"/>
                <w:color w:val="000000" w:themeColor="text1"/>
                <w:kern w:val="0"/>
                <w:lang w:bidi="ar"/>
                <w14:textFill>
                  <w14:solidFill>
                    <w14:schemeClr w14:val="tx1"/>
                  </w14:solidFill>
                </w14:textFill>
              </w:rPr>
              <w:t>，对周边环境影响小。</w:t>
            </w:r>
          </w:p>
          <w:p w14:paraId="66D8661E">
            <w:pPr>
              <w:widowControl/>
              <w:ind w:firstLine="482"/>
              <w:jc w:val="left"/>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（2）临时沉淀池及渗滤液收集井沉渣</w:t>
            </w:r>
          </w:p>
          <w:p w14:paraId="16D28CF4">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临时沉淀池及渗滤液收集井的沉渣，定期进行清理，清理出来的沉渣约</w:t>
            </w:r>
            <w:r>
              <w:rPr>
                <w:color w:val="000000" w:themeColor="text1"/>
                <w:kern w:val="0"/>
                <w:lang w:bidi="ar"/>
                <w14:textFill>
                  <w14:solidFill>
                    <w14:schemeClr w14:val="tx1"/>
                  </w14:solidFill>
                </w14:textFill>
              </w:rPr>
              <w:t>3t/a</w:t>
            </w:r>
            <w:r>
              <w:rPr>
                <w:rFonts w:hint="eastAsia" w:ascii="宋体" w:hAnsi="宋体" w:cs="宋体"/>
                <w:color w:val="000000" w:themeColor="text1"/>
                <w:kern w:val="0"/>
                <w:lang w:bidi="ar"/>
                <w14:textFill>
                  <w14:solidFill>
                    <w14:schemeClr w14:val="tx1"/>
                  </w14:solidFill>
                </w14:textFill>
              </w:rPr>
              <w:t>，装袋沥水晾干后用于回填区回填。</w:t>
            </w:r>
          </w:p>
          <w:p w14:paraId="26763061">
            <w:pPr>
              <w:widowControl/>
              <w:ind w:firstLine="482"/>
              <w:jc w:val="left"/>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（3）施工人员生活垃圾</w:t>
            </w:r>
          </w:p>
          <w:p w14:paraId="1F2AB482">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根据环境影响分析章节，项目施工期施工人员生活垃圾产生量为</w:t>
            </w:r>
            <w:r>
              <w:rPr>
                <w:rFonts w:hint="eastAsia"/>
                <w:color w:val="000000" w:themeColor="text1"/>
                <w:kern w:val="0"/>
                <w:lang w:bidi="ar"/>
                <w14:textFill>
                  <w14:solidFill>
                    <w14:schemeClr w14:val="tx1"/>
                  </w14:solidFill>
                </w14:textFill>
              </w:rPr>
              <w:t>15</w:t>
            </w:r>
            <w:r>
              <w:rPr>
                <w:color w:val="000000" w:themeColor="text1"/>
                <w:kern w:val="0"/>
                <w:lang w:bidi="ar"/>
                <w14:textFill>
                  <w14:solidFill>
                    <w14:schemeClr w14:val="tx1"/>
                  </w14:solidFill>
                </w14:textFill>
              </w:rPr>
              <w:t>kg/d</w:t>
            </w:r>
            <w:r>
              <w:rPr>
                <w:rFonts w:hint="eastAsia" w:ascii="宋体" w:hAnsi="宋体" w:cs="宋体"/>
                <w:color w:val="000000" w:themeColor="text1"/>
                <w:kern w:val="0"/>
                <w:lang w:bidi="ar"/>
                <w14:textFill>
                  <w14:solidFill>
                    <w14:schemeClr w14:val="tx1"/>
                  </w14:solidFill>
                </w14:textFill>
              </w:rPr>
              <w:t>，施工期施工人员生活垃圾经集中收集后清运至附近村庄收集点堆存，由环卫部门清运处置。</w:t>
            </w:r>
          </w:p>
          <w:p w14:paraId="445BACB4">
            <w:pPr>
              <w:widowControl/>
              <w:ind w:firstLine="48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项目区旱厕</w:t>
            </w:r>
            <w:r>
              <w:rPr>
                <w:rFonts w:hint="eastAsia"/>
                <w:color w:val="000000" w:themeColor="text1"/>
                <w:kern w:val="0"/>
                <w:lang w:bidi="ar"/>
                <w14:textFill>
                  <w14:solidFill>
                    <w14:schemeClr w14:val="tx1"/>
                  </w14:solidFill>
                </w14:textFill>
              </w:rPr>
              <w:t>粪便委托环卫部门定期清运定期，待施工结束后拆除旱厕。</w:t>
            </w:r>
          </w:p>
          <w:p w14:paraId="0BFD4831">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（4）小结</w:t>
            </w:r>
          </w:p>
          <w:p w14:paraId="0EC72844">
            <w:pPr>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项目施工期固体废物均得到合理处置，固体废物处置率100%，在采取各污染控制措施下，项目不会对周边环境造成较大影响。</w:t>
            </w:r>
          </w:p>
          <w:p w14:paraId="09606F7B">
            <w:pPr>
              <w:widowControl/>
              <w:ind w:firstLine="482"/>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5、地下水环境保护措施</w:t>
            </w:r>
          </w:p>
          <w:p w14:paraId="53A16CB1">
            <w:pPr>
              <w:widowControl/>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期使用改性磷石膏回填矿坑，回填修复区铺设绿化植被覆土前，回填体为裸露堆放，受雨水淋溶影响产生部分渗滤液，渗滤液含有一定量污染物。项目使用的回填物料若不采取防渗措施，渗滤液将会随雨水渗入地下，污染地下水。为防止回填场渗滤液渗漏对地下水造成污染，采用粘土和土工布、土工膜对回填区的底部、顶部和内边坡进行防渗。</w:t>
            </w:r>
          </w:p>
          <w:p w14:paraId="72D3A62D">
            <w:pPr>
              <w:widowControl/>
              <w:ind w:firstLine="482"/>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（1）回填料控制</w:t>
            </w:r>
          </w:p>
          <w:p w14:paraId="3C9B116C">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1）回填物料必须为合格改性磷石膏，禁止使用新鲜磷石膏回填；</w:t>
            </w:r>
          </w:p>
          <w:p w14:paraId="23F8267E">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2）建设单位设专人管理回填料中和过程、专人检验中和后稳定的回填物料。每一批次回填物料均需检验，并做好记录；</w:t>
            </w:r>
          </w:p>
          <w:p w14:paraId="01E9637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3）严禁生活垃圾及建筑垃圾混入，在回填、推平过程中也要检查，一旦发现其他垃圾混入，应立即停止回填，确保其他垃圾不得进入回填场。</w:t>
            </w:r>
          </w:p>
          <w:p w14:paraId="7199FF88">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4）</w:t>
            </w:r>
            <w:r>
              <w:rPr>
                <w:rFonts w:hint="eastAsia" w:ascii="Times New Roman" w:hAnsi="Times New Roman" w:eastAsia="宋体" w:cs="Times New Roman"/>
                <w:color w:val="000000" w:themeColor="text1"/>
                <w:kern w:val="0"/>
                <w:lang w:bidi="ar"/>
                <w14:textFill>
                  <w14:solidFill>
                    <w14:schemeClr w14:val="tx1"/>
                  </w14:solidFill>
                </w14:textFill>
              </w:rPr>
              <w:t>本项目改性磷石膏回填量</w:t>
            </w:r>
            <w:r>
              <w:rPr>
                <w:rFonts w:hint="eastAsia" w:ascii="Times New Roman" w:hAnsi="Times New Roman" w:eastAsia="宋体" w:cs="Times New Roman"/>
                <w:color w:val="000000" w:themeColor="text1"/>
                <w:kern w:val="0"/>
                <w:lang w:val="en-US" w:eastAsia="zh-CN" w:bidi="ar"/>
                <w14:textFill>
                  <w14:solidFill>
                    <w14:schemeClr w14:val="tx1"/>
                  </w14:solidFill>
                </w14:textFill>
              </w:rPr>
              <w:t>约</w:t>
            </w:r>
            <w:r>
              <w:rPr>
                <w:rFonts w:hint="eastAsia" w:ascii="Times New Roman" w:hAnsi="Times New Roman" w:eastAsia="宋体" w:cs="Times New Roman"/>
                <w:color w:val="000000" w:themeColor="text1"/>
                <w:kern w:val="0"/>
                <w:lang w:bidi="ar"/>
                <w14:textFill>
                  <w14:solidFill>
                    <w14:schemeClr w14:val="tx1"/>
                  </w14:solidFill>
                </w14:textFill>
              </w:rPr>
              <w:t>为</w:t>
            </w:r>
            <w:r>
              <w:rPr>
                <w:rFonts w:hint="eastAsia" w:cs="Times New Roman"/>
                <w:color w:val="000000" w:themeColor="text1"/>
                <w:kern w:val="0"/>
                <w:lang w:val="en-US" w:eastAsia="zh-CN" w:bidi="ar"/>
                <w14:textFill>
                  <w14:solidFill>
                    <w14:schemeClr w14:val="tx1"/>
                  </w14:solidFill>
                </w14:textFill>
              </w:rPr>
              <w:t>150</w:t>
            </w:r>
            <w:r>
              <w:rPr>
                <w:rFonts w:hint="eastAsia" w:ascii="Times New Roman" w:hAnsi="Times New Roman" w:eastAsia="宋体" w:cs="Times New Roman"/>
                <w:color w:val="000000" w:themeColor="text1"/>
                <w:kern w:val="0"/>
                <w:lang w:val="en-US" w:eastAsia="zh-CN" w:bidi="ar"/>
                <w14:textFill>
                  <w14:solidFill>
                    <w14:schemeClr w14:val="tx1"/>
                  </w14:solidFill>
                </w14:textFill>
              </w:rPr>
              <w:t>万吨</w:t>
            </w:r>
            <w:r>
              <w:rPr>
                <w:rFonts w:hint="eastAsia" w:ascii="Times New Roman" w:hAnsi="Times New Roman" w:eastAsia="宋体" w:cs="Times New Roman"/>
                <w:color w:val="000000" w:themeColor="text1"/>
                <w:kern w:val="0"/>
                <w:lang w:bidi="ar"/>
                <w14:textFill>
                  <w14:solidFill>
                    <w14:schemeClr w14:val="tx1"/>
                  </w14:solidFill>
                </w14:textFill>
              </w:rPr>
              <w:t>，</w:t>
            </w:r>
            <w:r>
              <w:rPr>
                <w:rFonts w:hint="eastAsia" w:cs="Times New Roman"/>
                <w:color w:val="000000" w:themeColor="text1"/>
                <w:kern w:val="0"/>
                <w:lang w:val="en-US" w:eastAsia="zh-CN" w:bidi="ar"/>
                <w14:textFill>
                  <w14:solidFill>
                    <w14:schemeClr w14:val="tx1"/>
                  </w14:solidFill>
                </w14:textFill>
              </w:rPr>
              <w:t>1500000</w:t>
            </w:r>
            <w:r>
              <w:rPr>
                <w:rFonts w:hint="eastAsia" w:ascii="Times New Roman" w:hAnsi="Times New Roman" w:eastAsia="宋体" w:cs="Times New Roman"/>
                <w:color w:val="000000" w:themeColor="text1"/>
                <w:kern w:val="0"/>
                <w:lang w:bidi="ar"/>
                <w14:textFill>
                  <w14:solidFill>
                    <w14:schemeClr w14:val="tx1"/>
                  </w14:solidFill>
                </w14:textFill>
              </w:rPr>
              <w:t>T&gt;1000000T，以30000T改性磷石膏为一批次</w:t>
            </w:r>
            <w:r>
              <w:rPr>
                <w:rFonts w:hint="eastAsia"/>
                <w:color w:val="000000" w:themeColor="text1"/>
                <w:kern w:val="0"/>
                <w:lang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p w14:paraId="3BECF7CC">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（2）防渗措施</w:t>
            </w:r>
          </w:p>
          <w:p w14:paraId="0CEB338A">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基底处理：</w:t>
            </w:r>
          </w:p>
          <w:p w14:paraId="3624F439">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生态修复区底部清基后铺设粘土层，压实处理后粘土层厚度0.75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，压实后的粘土层进行渗透试验，渗透系数满足</w:t>
            </w:r>
            <w:r>
              <w:rPr>
                <w:color w:val="000000" w:themeColor="text1"/>
                <w:kern w:val="0"/>
                <w:lang w:bidi="ar"/>
                <w14:textFill>
                  <w14:solidFill>
                    <w14:schemeClr w14:val="tx1"/>
                  </w14:solidFill>
                </w14:textFill>
              </w:rPr>
              <w:t>1.0×10</w:t>
            </w:r>
            <w:r>
              <w:rPr>
                <w:rFonts w:hint="eastAsia"/>
                <w:color w:val="000000" w:themeColor="text1"/>
                <w:kern w:val="0"/>
                <w:vertAlign w:val="superscript"/>
                <w:lang w:bidi="ar"/>
                <w14:textFill>
                  <w14:solidFill>
                    <w14:schemeClr w14:val="tx1"/>
                  </w14:solidFill>
                </w14:textFill>
              </w:rPr>
              <w:t>-</w:t>
            </w:r>
            <w:r>
              <w:rPr>
                <w:color w:val="000000" w:themeColor="text1"/>
                <w:kern w:val="0"/>
                <w:vertAlign w:val="superscript"/>
                <w:lang w:bidi="ar"/>
                <w14:textFill>
                  <w14:solidFill>
                    <w14:schemeClr w14:val="tx1"/>
                  </w14:solidFill>
                </w14:textFill>
              </w:rPr>
              <w:t>5</w:t>
            </w:r>
            <w:r>
              <w:rPr>
                <w:color w:val="000000" w:themeColor="text1"/>
                <w:kern w:val="0"/>
                <w:lang w:bidi="ar"/>
                <w14:textFill>
                  <w14:solidFill>
                    <w14:schemeClr w14:val="tx1"/>
                  </w14:solidFill>
                </w14:textFill>
              </w:rPr>
              <w:t>cm/s</w:t>
            </w:r>
            <w:r>
              <w:rPr>
                <w:rFonts w:hint="eastAsia"/>
                <w:color w:val="000000" w:themeColor="text1"/>
                <w:kern w:val="0"/>
                <w:lang w:bidi="ar"/>
                <w14:textFill>
                  <w14:solidFill>
                    <w14:schemeClr w14:val="tx1"/>
                  </w14:solidFill>
                </w14:textFill>
              </w:rPr>
              <w:t>要求后再进行地下水导排管和人工防渗膜铺设。如工程场地发现岩溶裂隙等不稳定基层或其他影响工程安全稳定性的问题，应及时采用回填、加固等相关措施进行处理，达到相关要求后方可进一步施工。施工监理和环境监理相关单位也应履行好相关职责，确保措施到位，避免存在相关隐患，影响后期防渗工程。</w:t>
            </w:r>
          </w:p>
          <w:p w14:paraId="3927AED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库底防渗：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库底整平压实基础层&lt;地下水导排盲沟在其中&gt;+300mm厚粘土层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土工布+1.5mmHDPE单糙面防渗膜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土工布；（4）改性磷石膏填料回填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0A94363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内边坡防渗：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边坡清理整平层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1.5mm 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0A9674E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顶部防渗：</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回填材料压实整平</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膜下排气管</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1.5mm HDPE双糙面防渗膜</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400mm厚阻隔支撑层填土&lt;碎石盲沟排水网格布设其中&gt;</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600mm厚土壤覆盖层；顶部防渗应与矿坑内边坡防渗膜搭接。</w:t>
            </w:r>
          </w:p>
          <w:p w14:paraId="1E02EF5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000000" w:themeColor="text1"/>
                <w:kern w:val="0"/>
                <w:sz w:val="24"/>
                <w:szCs w:val="24"/>
                <w:lang w:eastAsia="zh-CN"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拦挡坝体内坡防渗结构防渗：</w:t>
            </w:r>
            <w:r>
              <w:rPr>
                <w:rFonts w:hint="default" w:ascii="Times New Roman" w:hAnsi="Times New Roman" w:eastAsia="宋体" w:cs="Times New Roman"/>
                <w:color w:val="000000" w:themeColor="text1"/>
                <w:sz w:val="24"/>
                <w:szCs w:val="24"/>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66F9985">
            <w:pPr>
              <w:widowControl/>
              <w:ind w:firstLine="482"/>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（3）防渗漏监控</w:t>
            </w:r>
          </w:p>
          <w:p w14:paraId="72614ACC">
            <w:pPr>
              <w:widowControl/>
              <w:ind w:firstLine="480"/>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w:t>
            </w:r>
            <w:r>
              <w:rPr>
                <w:rFonts w:hint="eastAsia"/>
                <w:color w:val="000000" w:themeColor="text1"/>
                <w14:textFill>
                  <w14:solidFill>
                    <w14:schemeClr w14:val="tx1"/>
                  </w14:solidFill>
                </w14:textFill>
              </w:rPr>
              <w:t>《改性磷石膏用于矿山废弃地生态修复回填技术规范》（DB53/T1269-2024）</w:t>
            </w:r>
            <w:r>
              <w:rPr>
                <w:rFonts w:hint="eastAsia" w:ascii="宋体" w:hAnsi="宋体" w:cs="宋体"/>
                <w:color w:val="000000" w:themeColor="text1"/>
                <w:kern w:val="0"/>
                <w:lang w:bidi="ar"/>
                <w14:textFill>
                  <w14:solidFill>
                    <w14:schemeClr w14:val="tx1"/>
                  </w14:solidFill>
                </w14:textFill>
              </w:rPr>
              <w:t>要求，回填区设置渗漏监控系统，监控防渗衬层的完整性。</w:t>
            </w: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在采石场分别</w:t>
            </w:r>
            <w:r>
              <w:rPr>
                <w:rFonts w:hint="eastAsia"/>
                <w:color w:val="000000" w:themeColor="text1"/>
                <w:kern w:val="0"/>
                <w:lang w:bidi="ar"/>
                <w14:textFill>
                  <w14:solidFill>
                    <w14:schemeClr w14:val="tx1"/>
                  </w14:solidFill>
                </w14:textFill>
              </w:rPr>
              <w:t>设置了</w:t>
            </w:r>
            <w:r>
              <w:rPr>
                <w:rFonts w:hint="eastAsia"/>
                <w:color w:val="000000" w:themeColor="text1"/>
                <w:kern w:val="0"/>
                <w:lang w:val="en-US" w:eastAsia="zh-CN" w:bidi="ar"/>
                <w14:textFill>
                  <w14:solidFill>
                    <w14:schemeClr w14:val="tx1"/>
                  </w14:solidFill>
                </w14:textFill>
              </w:rPr>
              <w:t>1个</w:t>
            </w:r>
            <w:r>
              <w:rPr>
                <w:rFonts w:hint="eastAsia"/>
                <w:color w:val="000000" w:themeColor="text1"/>
                <w:kern w:val="0"/>
                <w:lang w:bidi="ar"/>
                <w14:textFill>
                  <w14:solidFill>
                    <w14:schemeClr w14:val="tx1"/>
                  </w14:solidFill>
                </w14:textFill>
              </w:rPr>
              <w:t>地下水</w:t>
            </w:r>
            <w:r>
              <w:rPr>
                <w:rFonts w:hint="eastAsia"/>
                <w:color w:val="000000" w:themeColor="text1"/>
                <w:kern w:val="0"/>
                <w:lang w:val="en-US" w:eastAsia="zh-CN" w:bidi="ar"/>
                <w14:textFill>
                  <w14:solidFill>
                    <w14:schemeClr w14:val="tx1"/>
                  </w14:solidFill>
                </w14:textFill>
              </w:rPr>
              <w:t>收集</w:t>
            </w:r>
            <w:r>
              <w:rPr>
                <w:rFonts w:hint="eastAsia"/>
                <w:color w:val="000000" w:themeColor="text1"/>
                <w:kern w:val="0"/>
                <w:lang w:bidi="ar"/>
                <w14:textFill>
                  <w14:solidFill>
                    <w14:schemeClr w14:val="tx1"/>
                  </w14:solidFill>
                </w14:textFill>
              </w:rPr>
              <w:t>井，</w:t>
            </w:r>
            <w:r>
              <w:rPr>
                <w:rFonts w:hint="eastAsia" w:ascii="宋体" w:hAnsi="宋体" w:cs="宋体"/>
                <w:color w:val="000000" w:themeColor="text1"/>
                <w:kern w:val="0"/>
                <w:lang w:bidi="ar"/>
                <w14:textFill>
                  <w14:solidFill>
                    <w14:schemeClr w14:val="tx1"/>
                  </w14:solidFill>
                </w14:textFill>
              </w:rPr>
              <w:t>进行地下水环境监测，及时掌握地下水变化情况。</w:t>
            </w:r>
          </w:p>
          <w:p w14:paraId="197F58E4">
            <w:pPr>
              <w:widowControl/>
              <w:ind w:firstLine="482"/>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（4）防渗工程施工期监理</w:t>
            </w:r>
          </w:p>
          <w:p w14:paraId="4581E224">
            <w:pPr>
              <w:widowControl/>
              <w:ind w:firstLine="480"/>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开展施工期监理，重点对防渗工程质量、防渗漏监控系统设置情况、渗滤液导排、收集井建设情况等进行监理，并形成监理报告，作为项目验收的依据。加强施工及运营过程中对防渗层的保护，防止回填施工破坏防渗层。</w:t>
            </w:r>
            <w:r>
              <w:rPr>
                <w:rFonts w:hint="eastAsia"/>
                <w:color w:val="000000" w:themeColor="text1"/>
                <w:kern w:val="0"/>
                <w:lang w:bidi="ar"/>
                <w14:textFill>
                  <w14:solidFill>
                    <w14:schemeClr w14:val="tx1"/>
                  </w14:solidFill>
                </w14:textFill>
              </w:rPr>
              <w:t>施工监理和环境监理相关单位也应履行好相关职责，如工程场地发现岩溶裂隙等不稳定基层或其他影响工程安全稳定性的问题，应及时采用回填、加固等相关措施进行处理，达到相关要求后方可进一步施工，确保措施到位，避免存在相关隐患，影响后期防渗工程。</w:t>
            </w:r>
          </w:p>
          <w:p w14:paraId="3DA4C0D7">
            <w:pPr>
              <w:widowControl/>
              <w:ind w:firstLine="482"/>
              <w:jc w:val="left"/>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（5）渗滤液收集井</w:t>
            </w:r>
          </w:p>
          <w:p w14:paraId="7486DB28">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的要求，项目回填过程中，对渗滤液污染物进行检测，监测频次为</w:t>
            </w:r>
            <w:r>
              <w:rPr>
                <w:rFonts w:hint="eastAsia"/>
                <w:color w:val="000000" w:themeColor="text1"/>
                <w:kern w:val="0"/>
                <w:lang w:bidi="ar"/>
                <w14:textFill>
                  <w14:solidFill>
                    <w14:schemeClr w14:val="tx1"/>
                  </w14:solidFill>
                </w14:textFill>
              </w:rPr>
              <w:t>季度性监测</w:t>
            </w:r>
            <w:r>
              <w:rPr>
                <w:rFonts w:hint="eastAsia" w:ascii="宋体" w:hAnsi="宋体" w:cs="宋体"/>
                <w:color w:val="000000" w:themeColor="text1"/>
                <w:kern w:val="0"/>
                <w:lang w:bidi="ar"/>
                <w14:textFill>
                  <w14:solidFill>
                    <w14:schemeClr w14:val="tx1"/>
                  </w14:solidFill>
                </w14:textFill>
              </w:rPr>
              <w:t>。</w:t>
            </w:r>
          </w:p>
          <w:p w14:paraId="749292AD">
            <w:pPr>
              <w:widowControl/>
              <w:ind w:firstLine="482"/>
              <w:jc w:val="left"/>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（6）地下水污染监控措施</w:t>
            </w:r>
          </w:p>
          <w:p w14:paraId="55326FC2">
            <w:pPr>
              <w:widowControl/>
              <w:ind w:firstLine="480"/>
              <w:jc w:val="left"/>
              <w:rPr>
                <w:rFonts w:hint="eastAsia"/>
                <w:color w:val="000000" w:themeColor="text1"/>
                <w:kern w:val="0"/>
                <w:sz w:val="24"/>
                <w:szCs w:val="24"/>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建立回填区地下水环境监控体系，包括建立地下水污染监控制度和环境管理体系，以便及时发现问题，及时采取预防措施。根据</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，并结合项目实际水文地质调查情况，</w:t>
            </w: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共设置</w:t>
            </w: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口</w:t>
            </w:r>
            <w:r>
              <w:rPr>
                <w:rFonts w:hint="eastAsia" w:cs="Times New Roman"/>
                <w:color w:val="000000" w:themeColor="text1"/>
                <w:kern w:val="0"/>
                <w:sz w:val="24"/>
                <w:szCs w:val="24"/>
                <w:lang w:val="en-US" w:eastAsia="zh-CN"/>
                <w14:textFill>
                  <w14:solidFill>
                    <w14:schemeClr w14:val="tx1"/>
                  </w14:solidFill>
                </w14:textFill>
              </w:rPr>
              <w:t>地下水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跟踪监控井</w:t>
            </w:r>
            <w:r>
              <w:rPr>
                <w:rFonts w:hint="eastAsia" w:ascii="宋体" w:hAnsi="宋体"/>
                <w:color w:val="000000" w:themeColor="text1"/>
                <w:kern w:val="0"/>
                <w:sz w:val="24"/>
                <w:lang w:eastAsia="zh-CN"/>
                <w14:textFill>
                  <w14:solidFill>
                    <w14:schemeClr w14:val="tx1"/>
                  </w14:solidFill>
                </w14:textFill>
              </w:rPr>
              <w:t>，</w:t>
            </w:r>
            <w:r>
              <w:rPr>
                <w:rFonts w:hint="eastAsia" w:ascii="宋体" w:hAnsi="宋体"/>
                <w:color w:val="000000" w:themeColor="text1"/>
                <w:kern w:val="0"/>
                <w:sz w:val="24"/>
                <w:szCs w:val="24"/>
                <w:lang w:val="en-US" w:eastAsia="zh-CN"/>
                <w14:textFill>
                  <w14:solidFill>
                    <w14:schemeClr w14:val="tx1"/>
                  </w14:solidFill>
                </w14:textFill>
              </w:rPr>
              <w:t>2口</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地下水</w:t>
            </w:r>
            <w:r>
              <w:rPr>
                <w:rFonts w:hint="eastAsia" w:cs="Times New Roman"/>
                <w:color w:val="000000" w:themeColor="text1"/>
                <w:kern w:val="0"/>
                <w:sz w:val="24"/>
                <w:szCs w:val="24"/>
                <w:lang w:val="en-US" w:eastAsia="zh-CN" w:bidi="ar"/>
                <w14:textFill>
                  <w14:solidFill>
                    <w14:schemeClr w14:val="tx1"/>
                  </w14:solidFill>
                </w14:textFill>
              </w:rPr>
              <w:t>收集井</w:t>
            </w:r>
            <w:r>
              <w:rPr>
                <w:rFonts w:hint="eastAsia"/>
                <w:color w:val="000000" w:themeColor="text1"/>
                <w:kern w:val="0"/>
                <w:sz w:val="24"/>
                <w:szCs w:val="24"/>
                <w:lang w:bidi="ar"/>
                <w14:textFill>
                  <w14:solidFill>
                    <w14:schemeClr w14:val="tx1"/>
                  </w14:solidFill>
                </w14:textFill>
              </w:rPr>
              <w:t>。</w:t>
            </w:r>
          </w:p>
          <w:p w14:paraId="57E7B98B">
            <w:pPr>
              <w:widowControl/>
              <w:ind w:firstLine="480"/>
              <w:jc w:val="left"/>
              <w:rPr>
                <w:rFonts w:hint="eastAsia" w:cs="Times New Roman"/>
                <w:b w:val="0"/>
                <w:bCs/>
                <w:color w:val="000000" w:themeColor="text1"/>
                <w:kern w:val="0"/>
                <w:sz w:val="24"/>
                <w:szCs w:val="24"/>
                <w:lang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bidi="ar"/>
                <w14:textFill>
                  <w14:solidFill>
                    <w14:schemeClr w14:val="tx1"/>
                  </w14:solidFill>
                </w14:textFill>
              </w:rPr>
              <w:t>地下水收集导排水定期开展监测，</w:t>
            </w:r>
            <w:r>
              <w:rPr>
                <w:rFonts w:hint="eastAsia" w:cs="Times New Roman"/>
                <w:b w:val="0"/>
                <w:bCs/>
                <w:color w:val="000000" w:themeColor="text1"/>
                <w:kern w:val="0"/>
                <w:sz w:val="24"/>
                <w:szCs w:val="24"/>
                <w:lang w:val="en-US" w:eastAsia="zh-CN" w:bidi="ar"/>
                <w14:textFill>
                  <w14:solidFill>
                    <w14:schemeClr w14:val="tx1"/>
                  </w14:solidFill>
                </w14:textFill>
              </w:rPr>
              <w:t>执行</w:t>
            </w:r>
            <w:r>
              <w:rPr>
                <w:rFonts w:hint="eastAsia" w:ascii="Times New Roman" w:hAnsi="Times New Roman" w:eastAsia="宋体" w:cs="Times New Roman"/>
                <w:b w:val="0"/>
                <w:bCs/>
                <w:color w:val="000000" w:themeColor="text1"/>
                <w:kern w:val="0"/>
                <w:sz w:val="24"/>
                <w:szCs w:val="24"/>
                <w:lang w:bidi="ar"/>
                <w14:textFill>
                  <w14:solidFill>
                    <w14:schemeClr w14:val="tx1"/>
                  </w14:solidFill>
                </w14:textFill>
              </w:rPr>
              <w:t>《农田灌溉水质标准》（GB5084—2021）中表1、表2旱地作物限值，达标的可回用于修复区绿化浇灌；不达标的拉运回云南常青树化工有限公司、中化云龙有限公司回用，禁止外排</w:t>
            </w:r>
            <w:r>
              <w:rPr>
                <w:rFonts w:hint="eastAsia" w:cs="Times New Roman"/>
                <w:b w:val="0"/>
                <w:bCs/>
                <w:color w:val="000000" w:themeColor="text1"/>
                <w:kern w:val="0"/>
                <w:sz w:val="24"/>
                <w:szCs w:val="24"/>
                <w:lang w:eastAsia="zh-CN" w:bidi="ar"/>
                <w14:textFill>
                  <w14:solidFill>
                    <w14:schemeClr w14:val="tx1"/>
                  </w14:solidFill>
                </w14:textFill>
              </w:rPr>
              <w:t>。</w:t>
            </w:r>
          </w:p>
          <w:p w14:paraId="3611EE82">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按照监测计划进行定期监测。</w:t>
            </w:r>
          </w:p>
          <w:p w14:paraId="544B5B25">
            <w:pPr>
              <w:keepNext/>
              <w:keepLines/>
              <w:tabs>
                <w:tab w:val="left" w:pos="420"/>
              </w:tabs>
              <w:adjustRightInd w:val="0"/>
              <w:snapToGrid w:val="0"/>
              <w:spacing w:line="240" w:lineRule="auto"/>
              <w:ind w:firstLine="0" w:firstLineChars="0"/>
              <w:jc w:val="center"/>
              <w:textAlignment w:val="baseline"/>
              <w:rPr>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表5-</w:t>
            </w:r>
            <w:r>
              <w:rPr>
                <w:rFonts w:hint="eastAsia"/>
                <w:b/>
                <w:bCs/>
                <w:color w:val="000000" w:themeColor="text1"/>
                <w:kern w:val="0"/>
                <w:sz w:val="24"/>
                <w:szCs w:val="24"/>
                <w:lang w:val="en-US" w:eastAsia="zh-CN" w:bidi="ar"/>
                <w14:textFill>
                  <w14:solidFill>
                    <w14:schemeClr w14:val="tx1"/>
                  </w14:solidFill>
                </w14:textFill>
              </w:rPr>
              <w:t xml:space="preserve">1  </w:t>
            </w:r>
            <w:r>
              <w:rPr>
                <w:rFonts w:hint="eastAsia"/>
                <w:b/>
                <w:bCs/>
                <w:color w:val="000000" w:themeColor="text1"/>
                <w:kern w:val="0"/>
                <w:sz w:val="24"/>
                <w:szCs w:val="24"/>
                <w:lang w:bidi="ar"/>
                <w14:textFill>
                  <w14:solidFill>
                    <w14:schemeClr w14:val="tx1"/>
                  </w14:solidFill>
                </w14:textFill>
              </w:rPr>
              <w:t>项目区地下水监控井监控要求</w:t>
            </w:r>
          </w:p>
          <w:tbl>
            <w:tblPr>
              <w:tblStyle w:val="40"/>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2387"/>
              <w:gridCol w:w="3294"/>
            </w:tblGrid>
            <w:tr w14:paraId="327A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16" w:type="pct"/>
                  <w:vAlign w:val="center"/>
                </w:tcPr>
                <w:p w14:paraId="69F47AA6">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监测项目</w:t>
                  </w:r>
                </w:p>
              </w:tc>
              <w:tc>
                <w:tcPr>
                  <w:tcW w:w="1463" w:type="pct"/>
                  <w:vAlign w:val="center"/>
                </w:tcPr>
                <w:p w14:paraId="631214D5">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频次</w:t>
                  </w:r>
                </w:p>
              </w:tc>
              <w:tc>
                <w:tcPr>
                  <w:tcW w:w="2019" w:type="pct"/>
                  <w:vAlign w:val="center"/>
                </w:tcPr>
                <w:p w14:paraId="47B62A1C">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管理要求</w:t>
                  </w:r>
                </w:p>
              </w:tc>
            </w:tr>
            <w:tr w14:paraId="1314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516" w:type="pct"/>
                  <w:vAlign w:val="center"/>
                </w:tcPr>
                <w:p w14:paraId="1C17B7D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pH、氟化物、氯化物、硫酸盐、硝酸盐、亚硝酸盐、铜、锌、汞、砷、硒、镉、铬、铅</w:t>
                  </w:r>
                </w:p>
              </w:tc>
              <w:tc>
                <w:tcPr>
                  <w:tcW w:w="1463" w:type="pct"/>
                  <w:vAlign w:val="center"/>
                </w:tcPr>
                <w:p w14:paraId="54F4B2B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每年在丰、枯水期各监测1次。如监测结果出现异常，应及时进行重新监测，间隔时间不得超过1个月。</w:t>
                  </w:r>
                </w:p>
              </w:tc>
              <w:tc>
                <w:tcPr>
                  <w:tcW w:w="2019" w:type="pct"/>
                  <w:vAlign w:val="center"/>
                </w:tcPr>
                <w:p w14:paraId="4A78B06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加强对地下水水质动态监测，及时掌握上下游水质变化，发现问题及时处理，建议建设单位将监测资料存档，便于长时间观测生态修复区下游水质变化。</w:t>
                  </w:r>
                </w:p>
              </w:tc>
            </w:tr>
          </w:tbl>
          <w:p w14:paraId="0EC4F286">
            <w:pPr>
              <w:widowControl/>
              <w:ind w:firstLine="482"/>
              <w:jc w:val="left"/>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（8）小结</w:t>
            </w:r>
          </w:p>
          <w:p w14:paraId="3498C03E">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建设单位通过采取以上措施处理之后，回填场渗滤液基本不会下渗，非正常排放渗滤液影响范围有限，非正常排放对下游地下水水质产生一定的影响，建设单位需要认真落实防渗措施，通过地下水监控井和生态修复回填场防渗膜底部地下水导排管对地下水和防渗效果进行监控，防止地下水污染，监测资料存档，便于长时间观测生态修复区下游水质变化情况，一旦发现监控井中水质出现异常，要及时上报主管部门。</w:t>
            </w:r>
          </w:p>
          <w:p w14:paraId="6313E1E3">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6、生态环境保护措施</w:t>
            </w:r>
          </w:p>
          <w:p w14:paraId="0CCDB9BA">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）施工过程中须严格控制施工作业面，采取水土保持措施，可有效改善开采区的水土流失问题；</w:t>
            </w:r>
          </w:p>
          <w:p w14:paraId="4B5ADC80">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）合理布局施工总图，分片区施工；</w:t>
            </w:r>
          </w:p>
          <w:p w14:paraId="77CA02B9">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rFonts w:ascii="宋体" w:hAnsi="宋体" w:cs="宋体"/>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）施工期间要求文明施工，严禁非法猎捕鸟类、兽类等野生动物；</w:t>
            </w:r>
          </w:p>
          <w:p w14:paraId="0DE20798">
            <w:pPr>
              <w:widowControl/>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本项目为废弃矿坑生态修复项目，项目占地面积</w:t>
            </w:r>
            <w:r>
              <w:rPr>
                <w:rFonts w:hint="eastAsia"/>
                <w:color w:val="000000" w:themeColor="text1"/>
                <w:lang w:eastAsia="zh-CN"/>
                <w14:textFill>
                  <w14:solidFill>
                    <w14:schemeClr w14:val="tx1"/>
                  </w14:solidFill>
                </w14:textFill>
              </w:rPr>
              <w:t>63132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。项目修复范围</w:t>
            </w:r>
            <w:r>
              <w:rPr>
                <w:rFonts w:hint="eastAsia"/>
                <w:color w:val="000000" w:themeColor="text1"/>
                <w:lang w:val="en-US" w:eastAsia="zh-CN"/>
                <w14:textFill>
                  <w14:solidFill>
                    <w14:schemeClr w14:val="tx1"/>
                  </w14:solidFill>
                </w14:textFill>
              </w:rPr>
              <w:t>内为</w:t>
            </w:r>
            <w:r>
              <w:rPr>
                <w:rFonts w:hint="eastAsia"/>
                <w:color w:val="000000" w:themeColor="text1"/>
                <w14:textFill>
                  <w14:solidFill>
                    <w14:schemeClr w14:val="tx1"/>
                  </w14:solidFill>
                </w14:textFill>
              </w:rPr>
              <w:t>采矿用地</w:t>
            </w:r>
            <w:r>
              <w:rPr>
                <w:rFonts w:hint="eastAsia"/>
                <w:color w:val="000000" w:themeColor="text1"/>
                <w:lang w:val="en-US" w:eastAsia="zh-CN"/>
                <w14:textFill>
                  <w14:solidFill>
                    <w14:schemeClr w14:val="tx1"/>
                  </w14:solidFill>
                </w14:textFill>
              </w:rPr>
              <w:t>和农村道路</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项目修复范围均在矿山开采遗留用地内进行修复，未新增占地</w:t>
            </w:r>
            <w:r>
              <w:rPr>
                <w:rFonts w:hint="eastAsia"/>
                <w:color w:val="000000" w:themeColor="text1"/>
                <w:lang w:eastAsia="zh-CN"/>
                <w14:textFill>
                  <w14:solidFill>
                    <w14:schemeClr w14:val="tx1"/>
                  </w14:solidFill>
                </w14:textFill>
              </w:rPr>
              <w:t>。</w:t>
            </w:r>
          </w:p>
          <w:p w14:paraId="755EB1BA">
            <w:pPr>
              <w:widowControl/>
              <w:ind w:firstLine="480"/>
              <w:jc w:val="left"/>
              <w:rPr>
                <w:rFonts w:hint="eastAsia"/>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rFonts w:hint="eastAsia" w:ascii="宋体" w:hAnsi="宋体" w:cs="宋体"/>
                <w:color w:val="000000" w:themeColor="text1"/>
                <w:kern w:val="0"/>
                <w:lang w:val="en-US" w:eastAsia="zh-CN"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）回填结束后，进行覆土，栽种植被。</w:t>
            </w:r>
            <w:r>
              <w:rPr>
                <w:rFonts w:hint="eastAsia"/>
                <w:color w:val="000000" w:themeColor="text1"/>
                <w14:textFill>
                  <w14:solidFill>
                    <w14:schemeClr w14:val="tx1"/>
                  </w14:solidFill>
                </w14:textFill>
              </w:rPr>
              <w:t>《改性磷石膏用于矿山废弃地生态修复回填技术规范》（DB53/T1269-2024）中植被恢复要求“植被恢复设计应遵从立地条件与植物生态学特征相适应、乡土适生植物优先原则，考虑植被适应性、结构布局合理性和物种多样性，优先使用原生表土及乡土物种，禁止引入对当地生物多样性造成威胁的外来植物种，重建与周边生态系统相协调的生态系统，最终形成可自然维持的生态系统。为防止破坏回填修复区的顶部及边坡的防渗设计，宜选用根系不发达、播种栽植容易、成活率高的植被进行修复。非回填的修复区域，宜选用根系发达、萌芽能力强、生长速度快、能有效固结土壤、抗水土流失能力强的植物。”</w:t>
            </w:r>
            <w:r>
              <w:rPr>
                <w:rFonts w:hint="eastAsia" w:ascii="宋体" w:hAnsi="宋体" w:cs="宋体"/>
                <w:color w:val="000000" w:themeColor="text1"/>
                <w:kern w:val="0"/>
                <w:lang w:bidi="ar"/>
                <w14:textFill>
                  <w14:solidFill>
                    <w14:schemeClr w14:val="tx1"/>
                  </w14:solidFill>
                </w14:textFill>
              </w:rPr>
              <w:t>本项目植被恢复乔木选用冬樱花、灌木选用三角梅、草籽选用狗牙根，均为本地常见植被，播种栽植容易，不属于外地引用</w:t>
            </w:r>
            <w:r>
              <w:rPr>
                <w:rFonts w:hint="eastAsia"/>
                <w:color w:val="000000" w:themeColor="text1"/>
                <w14:textFill>
                  <w14:solidFill>
                    <w14:schemeClr w14:val="tx1"/>
                  </w14:solidFill>
                </w14:textFill>
              </w:rPr>
              <w:t>物种，能够大大增加植被存活率，符合相关规范要求。</w:t>
            </w:r>
          </w:p>
          <w:p w14:paraId="31820B57">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7、土壤环境污染防治措施</w:t>
            </w:r>
          </w:p>
          <w:p w14:paraId="64F9DFF8">
            <w:pPr>
              <w:widowControl/>
              <w:adjustRightInd w:val="0"/>
              <w:snapToGrid w:val="0"/>
              <w:ind w:firstLine="480"/>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（1）渗滤液收集井为混凝土浇灌地埋形式，采用</w:t>
            </w:r>
            <w:r>
              <w:rPr>
                <w:color w:val="000000" w:themeColor="text1"/>
                <w:kern w:val="0"/>
                <w:lang w:bidi="ar"/>
                <w14:textFill>
                  <w14:solidFill>
                    <w14:schemeClr w14:val="tx1"/>
                  </w14:solidFill>
                </w14:textFill>
              </w:rPr>
              <w:t>C20混凝土浇筑；基槽开挖施工时，边坡要求放坡坡比1:0.3</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井底浇筑前先铺设C15素混凝土垫层，厚度0.1m。</w:t>
            </w:r>
          </w:p>
          <w:p w14:paraId="6112255A">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回填修复区采用按照设计规范进行防渗，避免渗滤液泄漏下渗对土壤环境产生影响。</w:t>
            </w:r>
          </w:p>
          <w:p w14:paraId="102FDBFE">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矿山修复材料应满足回填要求后方可运至回填区回填，不得回填不合格的改性磷石膏。回填的修复材料应满足</w:t>
            </w:r>
            <w:r>
              <w:rPr>
                <w:rFonts w:hint="eastAsia"/>
                <w:color w:val="000000" w:themeColor="text1"/>
                <w14:textFill>
                  <w14:solidFill>
                    <w14:schemeClr w14:val="tx1"/>
                  </w14:solidFill>
                </w14:textFill>
              </w:rPr>
              <w:t>《改性磷石膏用于矿山废弃地生态修复回填技术规范》（DB53/T1269-2024）、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14:textFill>
                  <w14:solidFill>
                    <w14:schemeClr w14:val="tx1"/>
                  </w14:solidFill>
                </w14:textFill>
              </w:rPr>
              <w:t>《磷石膏的处理处置规范》（GB/T 32124-2024）、《改性磷石膏综合利用 矿山生态修复过程环境监管规范》（DB5301/T99-2023）、《改性磷石膏综合利用 矿山生态修复跟踪评估规范》（DB5301/T100-2023）</w:t>
            </w:r>
            <w:r>
              <w:rPr>
                <w:rFonts w:hint="eastAsia" w:ascii="宋体" w:hAnsi="宋体" w:cs="宋体"/>
                <w:color w:val="000000" w:themeColor="text1"/>
                <w:kern w:val="0"/>
                <w:lang w:bidi="ar"/>
                <w14:textFill>
                  <w14:solidFill>
                    <w14:schemeClr w14:val="tx1"/>
                  </w14:solidFill>
                </w14:textFill>
              </w:rPr>
              <w:t>的相关要求。</w:t>
            </w:r>
          </w:p>
          <w:p w14:paraId="17176123">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（4）</w:t>
            </w:r>
            <w:r>
              <w:rPr>
                <w:rFonts w:hint="eastAsia" w:ascii="宋体" w:hAnsi="宋体" w:cs="宋体"/>
                <w:color w:val="000000" w:themeColor="text1"/>
                <w:kern w:val="0"/>
                <w:lang w:bidi="ar"/>
                <w14:textFill>
                  <w14:solidFill>
                    <w14:schemeClr w14:val="tx1"/>
                  </w14:solidFill>
                </w14:textFill>
              </w:rPr>
              <w:t>对每批次绿化覆土成分进行监测，确保覆土满足《土壤环境质量农用地土壤污染风险管控标准（试行）》（</w:t>
            </w:r>
            <w:r>
              <w:rPr>
                <w:color w:val="000000" w:themeColor="text1"/>
                <w:kern w:val="0"/>
                <w:lang w:bidi="ar"/>
                <w14:textFill>
                  <w14:solidFill>
                    <w14:schemeClr w14:val="tx1"/>
                  </w14:solidFill>
                </w14:textFill>
              </w:rPr>
              <w:t>GB15618-2018</w:t>
            </w:r>
            <w:r>
              <w:rPr>
                <w:rFonts w:hint="eastAsia" w:ascii="宋体" w:hAnsi="宋体" w:cs="宋体"/>
                <w:color w:val="000000" w:themeColor="text1"/>
                <w:kern w:val="0"/>
                <w:lang w:bidi="ar"/>
                <w14:textFill>
                  <w14:solidFill>
                    <w14:schemeClr w14:val="tx1"/>
                  </w14:solidFill>
                </w14:textFill>
              </w:rPr>
              <w:t>）的要求。项目应按照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的相关要求在施工期对土壤进行监测。</w:t>
            </w:r>
          </w:p>
          <w:p w14:paraId="76F64897">
            <w:pPr>
              <w:widowControl/>
              <w:adjustRightInd w:val="0"/>
              <w:snapToGrid w:val="0"/>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对运输车辆采区覆盖措施，落实洒水抑尘等施工扬尘控制措施，减少回填无害化处理后的改性磷石膏泼洒，沉降进入土壤环境，减缓对土壤环境的影响。</w:t>
            </w:r>
          </w:p>
          <w:p w14:paraId="614BB0A1">
            <w:pPr>
              <w:widowControl/>
              <w:adjustRightInd w:val="0"/>
              <w:snapToGrid w:val="0"/>
              <w:ind w:firstLine="480"/>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（6）小结</w:t>
            </w:r>
          </w:p>
          <w:p w14:paraId="2FC400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在采取上述措施后，项目不会对周边土壤环境造成较大影响。</w:t>
            </w:r>
          </w:p>
          <w:p w14:paraId="0D4E842B">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8、环境风险防范措施</w:t>
            </w:r>
          </w:p>
          <w:p w14:paraId="183128AF">
            <w:pPr>
              <w:pStyle w:val="72"/>
              <w:adjustRightInd w:val="0"/>
              <w:ind w:firstLine="496"/>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（1）落实源头控制</w:t>
            </w:r>
          </w:p>
          <w:p w14:paraId="30F28ADB">
            <w:pPr>
              <w:pStyle w:val="72"/>
              <w:adjustRightInd w:val="0"/>
              <w:ind w:firstLine="496"/>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建设单位在回填过程中，对每批次（</w:t>
            </w:r>
            <w:r>
              <w:rPr>
                <w:rFonts w:hint="eastAsia"/>
                <w:color w:val="000000" w:themeColor="text1"/>
                <w:lang w:val="en-US" w:eastAsia="zh-CN"/>
                <w14:textFill>
                  <w14:solidFill>
                    <w14:schemeClr w14:val="tx1"/>
                  </w14:solidFill>
                </w14:textFill>
              </w:rPr>
              <w:t>30000</w:t>
            </w:r>
            <w:r>
              <w:rPr>
                <w:rFonts w:hint="eastAsia"/>
                <w:color w:val="000000" w:themeColor="text1"/>
                <w:lang w:val="en-US"/>
                <w14:textFill>
                  <w14:solidFill>
                    <w14:schemeClr w14:val="tx1"/>
                  </w14:solidFill>
                </w14:textFill>
              </w:rPr>
              <w:t>t每批次）生态修复回填材料进行取样检测，按照《改性磷石膏用于矿山废弃地生态修复回填技术规范》（DB53/T1269-2024）12.2.2</w:t>
            </w:r>
            <w:r>
              <w:rPr>
                <w:rFonts w:hint="eastAsia" w:ascii="宋体" w:hAnsi="宋体" w:cs="宋体"/>
                <w:color w:val="000000" w:themeColor="text1"/>
                <w:kern w:val="0"/>
                <w:lang w:val="en-US" w:bidi="ar"/>
                <w14:textFill>
                  <w14:solidFill>
                    <w14:schemeClr w14:val="tx1"/>
                  </w14:solidFill>
                </w14:textFill>
              </w:rPr>
              <w:t>的相关要求进行取样检测，确保项目生态修复回填材料满足</w:t>
            </w:r>
            <w:r>
              <w:rPr>
                <w:rFonts w:hint="eastAsia"/>
                <w:color w:val="000000" w:themeColor="text1"/>
                <w:lang w:val="en-US"/>
                <w14:textFill>
                  <w14:solidFill>
                    <w14:schemeClr w14:val="tx1"/>
                  </w14:solidFill>
                </w14:textFill>
              </w:rPr>
              <w:t>《改性磷石膏用于矿山废弃地生态修复回填技术规范》（DB53/T1269-2024）、《磷石膏的处理处置规范》（GB/T 32124-2024）</w:t>
            </w:r>
            <w:r>
              <w:rPr>
                <w:rFonts w:hint="eastAsia"/>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lang w:val="en-US"/>
                <w14:textFill>
                  <w14:solidFill>
                    <w14:schemeClr w14:val="tx1"/>
                  </w14:solidFill>
                </w14:textFill>
              </w:rPr>
              <w:t>中相关要求。</w:t>
            </w:r>
          </w:p>
          <w:p w14:paraId="63C5BFC2">
            <w:pPr>
              <w:pStyle w:val="72"/>
              <w:adjustRightInd w:val="0"/>
              <w:ind w:firstLine="496"/>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（2）工程控制措施</w:t>
            </w:r>
          </w:p>
          <w:p w14:paraId="345A6B44">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按照生态修复方案，落实修复区防渗工程措施，设置地下水监控井。</w:t>
            </w:r>
          </w:p>
          <w:p w14:paraId="0BD1D7D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1）防渗工程</w:t>
            </w:r>
          </w:p>
          <w:p w14:paraId="79E95B0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库底防渗：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库底整平压实基础层&lt;地下水导排盲沟在其中&gt;+300mm厚粘土层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土工布+1.5mmHDPE单糙面防渗膜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土工布；（4）改性磷石膏填料回填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35B367B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内边坡防渗：</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边坡清理整平层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1.5mm HDPE单糙面防渗膜</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土工布；（</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）改性磷石膏填料回填</w:t>
            </w:r>
            <w:r>
              <w:rPr>
                <w:rFonts w:hint="eastAsia" w:cs="Times New Roman"/>
                <w:color w:val="000000" w:themeColor="text1"/>
                <w:sz w:val="24"/>
                <w:szCs w:val="24"/>
                <w:highlight w:val="none"/>
                <w:lang w:eastAsia="zh-CN"/>
                <w14:textFill>
                  <w14:solidFill>
                    <w14:schemeClr w14:val="tx1"/>
                  </w14:solidFill>
                </w14:textFill>
              </w:rPr>
              <w:t>。</w:t>
            </w:r>
          </w:p>
          <w:p w14:paraId="25A2122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顶部防渗：</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回填材料压实整平</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膜下排气管</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1.5mm HDPE双糙面防渗膜</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400mm厚阻隔支撑层填土&lt;碎石盲沟排水网格布设其中&gt;</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600mm厚土壤覆盖层；顶部防渗应与矿坑内边坡防渗膜搭接。</w:t>
            </w:r>
          </w:p>
          <w:p w14:paraId="534C344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000000" w:themeColor="text1"/>
                <w:kern w:val="0"/>
                <w:sz w:val="24"/>
                <w:szCs w:val="24"/>
                <w:lang w:eastAsia="zh-CN"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拦挡坝体内坡防渗结构防渗：</w:t>
            </w:r>
            <w:r>
              <w:rPr>
                <w:rFonts w:hint="default" w:ascii="Times New Roman" w:hAnsi="Times New Roman" w:eastAsia="宋体" w:cs="Times New Roman"/>
                <w:color w:val="000000" w:themeColor="text1"/>
                <w:sz w:val="24"/>
                <w:szCs w:val="24"/>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（2）4800g/m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钠基膨润土毯</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F3F8223">
            <w:pPr>
              <w:keepNext w:val="0"/>
              <w:keepLines w:val="0"/>
              <w:pageBreakBefore w:val="0"/>
              <w:widowControl w:val="0"/>
              <w:kinsoku/>
              <w:wordWrap/>
              <w:overflowPunct/>
              <w:topLinePunct w:val="0"/>
              <w:autoSpaceDE/>
              <w:autoSpaceDN/>
              <w:bidi w:val="0"/>
              <w:adjustRightInd w:val="0"/>
              <w:spacing w:line="360" w:lineRule="auto"/>
              <w:ind w:firstLine="48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北部采石场、南部采石场</w:t>
            </w:r>
            <w:r>
              <w:rPr>
                <w:rFonts w:hint="default" w:ascii="Times New Roman" w:hAnsi="Times New Roman" w:eastAsia="宋体" w:cs="Times New Roman"/>
                <w:color w:val="000000" w:themeColor="text1"/>
                <w:sz w:val="24"/>
                <w:szCs w:val="24"/>
                <w:highlight w:val="none"/>
                <w14:textFill>
                  <w14:solidFill>
                    <w14:schemeClr w14:val="tx1"/>
                  </w14:solidFill>
                </w14:textFill>
              </w:rPr>
              <w:t>修复回填区场内</w:t>
            </w:r>
            <w:r>
              <w:rPr>
                <w:rFonts w:hint="eastAsia"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设置纵横雨水沟，导排场内雨水进入周边截水沟外排。在堆填体每层平台上修建雨水沟，沟断面</w:t>
            </w:r>
            <w:r>
              <w:rPr>
                <w:rFonts w:hint="eastAsia" w:cs="Times New Roman"/>
                <w:color w:val="000000" w:themeColor="text1"/>
                <w:sz w:val="24"/>
                <w:szCs w:val="24"/>
                <w:highlight w:val="none"/>
                <w:lang w:val="en-US" w:eastAsia="zh-CN"/>
                <w14:textFill>
                  <w14:solidFill>
                    <w14:schemeClr w14:val="tx1"/>
                  </w14:solidFill>
                </w14:textFill>
              </w:rPr>
              <w:t>均为</w:t>
            </w:r>
            <w:r>
              <w:rPr>
                <w:rFonts w:hint="default" w:ascii="Times New Roman" w:hAnsi="Times New Roman" w:eastAsia="宋体" w:cs="Times New Roman"/>
                <w:color w:val="000000" w:themeColor="text1"/>
                <w:sz w:val="24"/>
                <w:szCs w:val="24"/>
                <w:highlight w:val="none"/>
                <w14:textFill>
                  <w14:solidFill>
                    <w14:schemeClr w14:val="tx1"/>
                  </w14:solidFill>
                </w14:textFill>
              </w:rPr>
              <w:t>300mm×400mm，坡度</w:t>
            </w:r>
            <w:r>
              <w:rPr>
                <w:rFonts w:hint="eastAsia"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不小于0.01，堆填体边坡纵向设雨水沟，纵向坡面雨水沟间隔30m设一条，断面300mm×400mm。雨水沟导排至周边截水沟，断面500mm×600mm</w:t>
            </w:r>
            <w:r>
              <w:rPr>
                <w:rFonts w:hint="eastAsia" w:cs="Times New Roman"/>
                <w:color w:val="000000" w:themeColor="text1"/>
                <w:sz w:val="24"/>
                <w:szCs w:val="24"/>
                <w:highlight w:val="none"/>
                <w:lang w:eastAsia="zh-CN"/>
                <w14:textFill>
                  <w14:solidFill>
                    <w14:schemeClr w14:val="tx1"/>
                  </w14:solidFill>
                </w14:textFill>
              </w:rPr>
              <w:t>。</w:t>
            </w:r>
          </w:p>
          <w:p w14:paraId="2BE07C5B">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2）地下水监控井</w:t>
            </w:r>
          </w:p>
          <w:p w14:paraId="5E0F70B2">
            <w:pPr>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共设置</w:t>
            </w:r>
            <w:r>
              <w:rPr>
                <w:rFonts w:hint="eastAsia" w:ascii="宋体" w:hAnsi="宋体"/>
                <w:color w:val="000000" w:themeColor="text1"/>
                <w:kern w:val="0"/>
                <w:sz w:val="24"/>
                <w:lang w:val="en-US" w:eastAsia="zh-CN"/>
                <w14:textFill>
                  <w14:solidFill>
                    <w14:schemeClr w14:val="tx1"/>
                  </w14:solidFill>
                </w14:textFill>
              </w:rPr>
              <w:t>6</w:t>
            </w:r>
            <w:r>
              <w:rPr>
                <w:rFonts w:ascii="宋体" w:hAnsi="宋体"/>
                <w:color w:val="000000" w:themeColor="text1"/>
                <w:kern w:val="0"/>
                <w:sz w:val="24"/>
                <w14:textFill>
                  <w14:solidFill>
                    <w14:schemeClr w14:val="tx1"/>
                  </w14:solidFill>
                </w14:textFill>
              </w:rPr>
              <w:t>口</w:t>
            </w:r>
            <w:r>
              <w:rPr>
                <w:rFonts w:hint="eastAsia" w:cs="Times New Roman"/>
                <w:color w:val="000000" w:themeColor="text1"/>
                <w:kern w:val="0"/>
                <w:sz w:val="24"/>
                <w:szCs w:val="24"/>
                <w:lang w:val="en-US" w:eastAsia="zh-CN"/>
                <w14:textFill>
                  <w14:solidFill>
                    <w14:schemeClr w14:val="tx1"/>
                  </w14:solidFill>
                </w14:textFill>
              </w:rPr>
              <w:t>地下水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跟踪监控井</w:t>
            </w:r>
            <w:r>
              <w:rPr>
                <w:rFonts w:hint="eastAsia" w:ascii="宋体" w:hAnsi="宋体"/>
                <w:color w:val="000000" w:themeColor="text1"/>
                <w:kern w:val="0"/>
                <w:sz w:val="24"/>
                <w:lang w:eastAsia="zh-CN"/>
                <w14:textFill>
                  <w14:solidFill>
                    <w14:schemeClr w14:val="tx1"/>
                  </w14:solidFill>
                </w14:textFill>
              </w:rPr>
              <w:t>，</w:t>
            </w:r>
            <w:r>
              <w:rPr>
                <w:rFonts w:hint="eastAsia" w:ascii="宋体" w:hAnsi="宋体"/>
                <w:color w:val="000000" w:themeColor="text1"/>
                <w:kern w:val="0"/>
                <w:sz w:val="24"/>
                <w:lang w:val="en-US" w:eastAsia="zh-CN"/>
                <w14:textFill>
                  <w14:solidFill>
                    <w14:schemeClr w14:val="tx1"/>
                  </w14:solidFill>
                </w14:textFill>
              </w:rPr>
              <w:t>1口地下水收集井</w:t>
            </w:r>
            <w:r>
              <w:rPr>
                <w:rFonts w:hint="eastAsia"/>
                <w:color w:val="000000" w:themeColor="text1"/>
                <w:kern w:val="0"/>
                <w:lang w:bidi="ar"/>
                <w14:textFill>
                  <w14:solidFill>
                    <w14:schemeClr w14:val="tx1"/>
                  </w14:solidFill>
                </w14:textFill>
              </w:rPr>
              <w:t>。</w:t>
            </w:r>
            <w:r>
              <w:rPr>
                <w:rFonts w:hint="eastAsia"/>
                <w:color w:val="000000" w:themeColor="text1"/>
                <w14:textFill>
                  <w14:solidFill>
                    <w14:schemeClr w14:val="tx1"/>
                  </w14:solidFill>
                </w14:textFill>
              </w:rPr>
              <w:t>满足《环境影响评价技术导则  地下水环境》（HJ610-2016）、《改性磷石膏用于矿山废弃地生态修复回填技术规范》（DB53/T1269-2024）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14:textFill>
                  <w14:solidFill>
                    <w14:schemeClr w14:val="tx1"/>
                  </w14:solidFill>
                </w14:textFill>
              </w:rPr>
              <w:t>现状监测点的布设要求。</w:t>
            </w:r>
          </w:p>
          <w:p w14:paraId="11633B00">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（3）编制应急预案并定期演练</w:t>
            </w:r>
          </w:p>
          <w:p w14:paraId="26DB3CC7">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应编制生态修复区安全生产各项规章制度并组织实施，编制环境风险应急预案并组织演练。</w:t>
            </w:r>
          </w:p>
          <w:p w14:paraId="43B76699">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（4）管理控制措施</w:t>
            </w:r>
          </w:p>
          <w:p w14:paraId="6DE7E048">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）加强工程施工质量管理，对项目工程质量、防渗工程开展施工监理，确保防渗工程满足设计要求。</w:t>
            </w:r>
          </w:p>
          <w:p w14:paraId="73942F27">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）防渗工程施工结束后，在进行改性磷石膏回填前，对防渗工程实施情况开展评估，具备回填条件后，再开展改性磷石膏回填工作。</w:t>
            </w:r>
          </w:p>
          <w:p w14:paraId="16E1D4E5">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）在改性磷石膏回填过程中，加强改性磷石膏的运输管理工作，对运输车辆采取篷布覆盖等措施，避免改性磷石膏在运输过程中泼洒。</w:t>
            </w:r>
          </w:p>
          <w:p w14:paraId="70B1140E">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4</w:t>
            </w:r>
            <w:r>
              <w:rPr>
                <w:rFonts w:hint="eastAsia" w:ascii="宋体" w:hAnsi="宋体" w:cs="宋体"/>
                <w:color w:val="000000" w:themeColor="text1"/>
                <w:kern w:val="0"/>
                <w:lang w:bidi="ar"/>
                <w14:textFill>
                  <w14:solidFill>
                    <w14:schemeClr w14:val="tx1"/>
                  </w14:solidFill>
                </w14:textFill>
              </w:rPr>
              <w:t>）回填至设计标高后，及时开展顶部防渗工程和覆土绿化施工工作，以减少进入回填体的雨水量，降低渗滤液产生，恢复修复区生态植被。</w:t>
            </w:r>
          </w:p>
          <w:p w14:paraId="545B4622">
            <w:pPr>
              <w:widowControl/>
              <w:ind w:firstLine="480"/>
              <w:jc w:val="left"/>
              <w:rPr>
                <w:rFonts w:hint="eastAsia" w:ascii="宋体" w:hAnsi="宋体" w:cs="宋体"/>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按照要求开展渗滤液和地下水跟踪监测，若发现地下水环境异常，出现超标情况时，应及时上报生态环境主管部门，并开展原因调查，若因本项目导致的地下水超标，对回填改性磷石膏采取异位处置或其他有效措施，开展污染地下水修复工作。</w:t>
            </w:r>
          </w:p>
          <w:p w14:paraId="4C9E79AA">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（4）小结</w:t>
            </w:r>
          </w:p>
          <w:p w14:paraId="76AE5D80">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综上，在严格落实源头控制、防渗工程及管理的情况下，能够有效避免环境风险的发生。</w:t>
            </w:r>
          </w:p>
        </w:tc>
      </w:tr>
      <w:tr w14:paraId="18848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53" w:type="dxa"/>
            <w:tcMar>
              <w:left w:w="28" w:type="dxa"/>
              <w:right w:w="28" w:type="dxa"/>
            </w:tcMar>
            <w:vAlign w:val="center"/>
          </w:tcPr>
          <w:p w14:paraId="0628E994">
            <w:pPr>
              <w:adjustRightInd w:val="0"/>
              <w:snapToGrid w:val="0"/>
              <w:spacing w:line="240" w:lineRule="auto"/>
              <w:ind w:firstLine="0" w:firstLineChars="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运营期生态环境保护措施</w:t>
            </w:r>
          </w:p>
        </w:tc>
        <w:tc>
          <w:tcPr>
            <w:tcW w:w="8457" w:type="dxa"/>
          </w:tcPr>
          <w:p w14:paraId="6A957707">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项目为矿坑生态修复项目，运营期无废气、噪声、固体废物产生，运营期环境保护措施如下：</w:t>
            </w:r>
          </w:p>
          <w:p w14:paraId="03044474">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1、水环境保护措施</w:t>
            </w:r>
          </w:p>
          <w:p w14:paraId="55C2C1BF">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（1）定期对渗滤液进行监测，记录水质情况。</w:t>
            </w:r>
          </w:p>
          <w:p w14:paraId="2B8FB1A7">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（2）为掌握回填体对地下水环境的影响，项目运营期地下水每年在丰、枯水期各监测1次，直到相关指标连续3年内，年均检测指标持续稳定，特征指标不呈上升趋势。</w:t>
            </w:r>
          </w:p>
          <w:p w14:paraId="429F2869">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2、土壤环境保护措施</w:t>
            </w:r>
          </w:p>
          <w:p w14:paraId="6EDE2EB1">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为掌握项目对土壤环境的影响，项目应按照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的相关要求在运营期对土壤进行监测。</w:t>
            </w:r>
          </w:p>
          <w:p w14:paraId="5CB22161">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3、生态环境保护措施</w:t>
            </w:r>
          </w:p>
          <w:p w14:paraId="38B7616D">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后期应制定保护保养管理制度。包括平时浇水，排水、预防人畜危害、风害、病虫害防治、修剪中耕除草等工作内容及计划。</w:t>
            </w:r>
          </w:p>
          <w:p w14:paraId="6E216E9B">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（2）定期查验：树木每月、灌木每旬查验一次，并应做查验记录。</w:t>
            </w:r>
          </w:p>
          <w:p w14:paraId="139D329D">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（3）完工检验时发现不符规定者，应立即换植。查验时发现稍端枯萎，有严重病虫害、折害等无复原希望者应换植，发现枯死、无养活希望者，应换植。</w:t>
            </w:r>
          </w:p>
          <w:p w14:paraId="10AB5FB8">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（4）绿化工程养护灌溉措施</w:t>
            </w:r>
          </w:p>
          <w:p w14:paraId="1983CF8B">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设计在主管道设置接头连接活动的皮管，人工对恢复区内进行灌溉。根据一年植物生长规律及气候特点制定绿化管养全年养护计划。</w:t>
            </w:r>
          </w:p>
          <w:p w14:paraId="70BDB5B9">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（5）为方便灌木的养护，将按当地的气候特点，把一年划分为旱季、雨季、秋冬季等三个季节；在不同季节对不同植物采取不同的管护措施。</w:t>
            </w:r>
          </w:p>
          <w:p w14:paraId="38F17D2F">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（6）病虫害防治以预防为主，将根据不同病虫害的发生周期性，将根据病情及害虫类别，采取应对措施。</w:t>
            </w:r>
          </w:p>
          <w:p w14:paraId="235C3B09">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（7）</w:t>
            </w:r>
            <w:r>
              <w:rPr>
                <w:rFonts w:hint="eastAsia" w:ascii="宋体" w:hAnsi="宋体" w:cs="宋体"/>
                <w:color w:val="000000" w:themeColor="text1"/>
                <w:kern w:val="0"/>
                <w:lang w:bidi="ar"/>
                <w14:textFill>
                  <w14:solidFill>
                    <w14:schemeClr w14:val="tx1"/>
                  </w14:solidFill>
                </w14:textFill>
              </w:rPr>
              <w:t>根据乔灌木的年龄、品种、生育期及草地的生长状况进行施肥。枝叶生长期以氮为主，磷钾肥为辅，开花结果期以磷钾肥为主，氮肥为辅。肥料切忌肥料裸露。施肥量为乔木</w:t>
            </w:r>
            <w:r>
              <w:rPr>
                <w:color w:val="000000" w:themeColor="text1"/>
                <w:kern w:val="0"/>
                <w:lang w:bidi="ar"/>
                <w14:textFill>
                  <w14:solidFill>
                    <w14:schemeClr w14:val="tx1"/>
                  </w14:solidFill>
                </w14:textFill>
              </w:rPr>
              <w:t>100g/</w:t>
            </w:r>
            <w:r>
              <w:rPr>
                <w:rFonts w:hint="eastAsia" w:ascii="宋体" w:hAnsi="宋体" w:cs="宋体"/>
                <w:color w:val="000000" w:themeColor="text1"/>
                <w:kern w:val="0"/>
                <w:lang w:bidi="ar"/>
                <w14:textFill>
                  <w14:solidFill>
                    <w14:schemeClr w14:val="tx1"/>
                  </w14:solidFill>
                </w14:textFill>
              </w:rPr>
              <w:t>株，保水剂</w:t>
            </w:r>
            <w:r>
              <w:rPr>
                <w:color w:val="000000" w:themeColor="text1"/>
                <w:kern w:val="0"/>
                <w:lang w:bidi="ar"/>
                <w14:textFill>
                  <w14:solidFill>
                    <w14:schemeClr w14:val="tx1"/>
                  </w14:solidFill>
                </w14:textFill>
              </w:rPr>
              <w:t>10g/</w:t>
            </w:r>
            <w:r>
              <w:rPr>
                <w:rFonts w:hint="eastAsia" w:ascii="宋体" w:hAnsi="宋体" w:cs="宋体"/>
                <w:color w:val="000000" w:themeColor="text1"/>
                <w:kern w:val="0"/>
                <w:lang w:bidi="ar"/>
                <w14:textFill>
                  <w14:solidFill>
                    <w14:schemeClr w14:val="tx1"/>
                  </w14:solidFill>
                </w14:textFill>
              </w:rPr>
              <w:t>株。草籽为直接抛洒，不进行施肥和使用保水剂。</w:t>
            </w:r>
          </w:p>
          <w:p w14:paraId="24517C46">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（8）</w:t>
            </w:r>
            <w:r>
              <w:rPr>
                <w:rFonts w:hint="eastAsia" w:ascii="宋体" w:hAnsi="宋体" w:cs="宋体"/>
                <w:color w:val="000000" w:themeColor="text1"/>
                <w:kern w:val="0"/>
                <w:lang w:bidi="ar"/>
                <w14:textFill>
                  <w14:solidFill>
                    <w14:schemeClr w14:val="tx1"/>
                  </w14:solidFill>
                </w14:textFill>
              </w:rPr>
              <w:t>重视化学防治的同时应综合应用物理、机械、生物等多种方法进行防治，如：利用害虫趋光、趋波特性生产杀虫灯；利用害虫趋味特性制成糖醋液诱杀等等。</w:t>
            </w:r>
          </w:p>
          <w:p w14:paraId="65193F27">
            <w:pPr>
              <w:pStyle w:val="72"/>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4、建设项目环境保护“三同时”验收</w:t>
            </w:r>
          </w:p>
          <w:p w14:paraId="3DF50FC0">
            <w:pPr>
              <w:pStyle w:val="72"/>
              <w:adjustRightInd w:val="0"/>
              <w:spacing w:line="240" w:lineRule="auto"/>
              <w:ind w:firstLine="0" w:firstLineChars="0"/>
              <w:jc w:val="center"/>
              <w:rPr>
                <w:b/>
                <w:bCs/>
                <w:color w:val="000000" w:themeColor="text1"/>
                <w:spacing w:val="0"/>
                <w:kern w:val="0"/>
                <w:sz w:val="24"/>
                <w:szCs w:val="24"/>
                <w:lang w:val="en-US" w:bidi="ar"/>
                <w14:textFill>
                  <w14:solidFill>
                    <w14:schemeClr w14:val="tx1"/>
                  </w14:solidFill>
                </w14:textFill>
              </w:rPr>
            </w:pPr>
            <w:r>
              <w:rPr>
                <w:rFonts w:hint="eastAsia"/>
                <w:b/>
                <w:bCs/>
                <w:color w:val="000000" w:themeColor="text1"/>
                <w:spacing w:val="0"/>
                <w:kern w:val="0"/>
                <w:sz w:val="24"/>
                <w:szCs w:val="24"/>
                <w:lang w:val="en-US" w:bidi="ar"/>
                <w14:textFill>
                  <w14:solidFill>
                    <w14:schemeClr w14:val="tx1"/>
                  </w14:solidFill>
                </w14:textFill>
              </w:rPr>
              <w:t>表</w:t>
            </w:r>
            <w:r>
              <w:rPr>
                <w:rFonts w:hint="eastAsia"/>
                <w:b/>
                <w:bCs/>
                <w:color w:val="000000" w:themeColor="text1"/>
                <w:spacing w:val="0"/>
                <w:kern w:val="0"/>
                <w:sz w:val="24"/>
                <w:szCs w:val="24"/>
                <w:lang w:val="en-US" w:eastAsia="zh-CN" w:bidi="ar"/>
                <w14:textFill>
                  <w14:solidFill>
                    <w14:schemeClr w14:val="tx1"/>
                  </w14:solidFill>
                </w14:textFill>
              </w:rPr>
              <w:t xml:space="preserve">5-2  </w:t>
            </w:r>
            <w:r>
              <w:rPr>
                <w:rFonts w:hint="eastAsia"/>
                <w:b/>
                <w:bCs/>
                <w:color w:val="000000" w:themeColor="text1"/>
                <w:spacing w:val="0"/>
                <w:kern w:val="0"/>
                <w:sz w:val="24"/>
                <w:szCs w:val="24"/>
                <w:lang w:val="en-US" w:bidi="ar"/>
                <w14:textFill>
                  <w14:solidFill>
                    <w14:schemeClr w14:val="tx1"/>
                  </w14:solidFill>
                </w14:textFill>
              </w:rPr>
              <w:t>项目“三同时”验收一览表</w:t>
            </w:r>
          </w:p>
          <w:tbl>
            <w:tblPr>
              <w:tblStyle w:val="41"/>
              <w:tblW w:w="49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432"/>
              <w:gridCol w:w="454"/>
              <w:gridCol w:w="3479"/>
              <w:gridCol w:w="3282"/>
            </w:tblGrid>
            <w:tr w14:paraId="44EA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Align w:val="center"/>
                </w:tcPr>
                <w:p w14:paraId="7D6A1236">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时期</w:t>
                  </w:r>
                </w:p>
              </w:tc>
              <w:tc>
                <w:tcPr>
                  <w:tcW w:w="548" w:type="pct"/>
                  <w:gridSpan w:val="2"/>
                  <w:vAlign w:val="center"/>
                </w:tcPr>
                <w:p w14:paraId="69499D2C">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项目</w:t>
                  </w:r>
                </w:p>
              </w:tc>
              <w:tc>
                <w:tcPr>
                  <w:tcW w:w="2152" w:type="pct"/>
                  <w:vAlign w:val="center"/>
                </w:tcPr>
                <w:p w14:paraId="481F8F0E">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处理措施</w:t>
                  </w:r>
                </w:p>
              </w:tc>
              <w:tc>
                <w:tcPr>
                  <w:tcW w:w="2030" w:type="pct"/>
                  <w:vAlign w:val="center"/>
                </w:tcPr>
                <w:p w14:paraId="7DBFDF67">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验收标准及内容</w:t>
                  </w:r>
                </w:p>
              </w:tc>
            </w:tr>
            <w:tr w14:paraId="3DA2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restart"/>
                  <w:vAlign w:val="center"/>
                </w:tcPr>
                <w:p w14:paraId="7125108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施工期</w:t>
                  </w:r>
                </w:p>
              </w:tc>
              <w:tc>
                <w:tcPr>
                  <w:tcW w:w="548" w:type="pct"/>
                  <w:gridSpan w:val="2"/>
                  <w:vAlign w:val="center"/>
                </w:tcPr>
                <w:p w14:paraId="35F87F7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生态修复材料</w:t>
                  </w:r>
                </w:p>
              </w:tc>
              <w:tc>
                <w:tcPr>
                  <w:tcW w:w="2152" w:type="pct"/>
                  <w:vAlign w:val="center"/>
                </w:tcPr>
                <w:p w14:paraId="193E9920">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ascii="Times New Roman" w:hAnsi="Times New Roman" w:eastAsia="宋体" w:cstheme="minorBidi"/>
                      <w:bCs/>
                      <w:color w:val="000000" w:themeColor="text1"/>
                      <w:spacing w:val="0"/>
                      <w:kern w:val="2"/>
                      <w:sz w:val="21"/>
                      <w:szCs w:val="21"/>
                      <w:highlight w:val="none"/>
                      <w:lang w:val="en-US" w:eastAsia="zh-CN" w:bidi="ar-SA"/>
                      <w14:textFill>
                        <w14:solidFill>
                          <w14:schemeClr w14:val="tx1"/>
                        </w14:solidFill>
                      </w14:textFill>
                    </w:rPr>
                    <w:t>本项目改性磷石膏回填量约为</w:t>
                  </w:r>
                  <w:r>
                    <w:rPr>
                      <w:rFonts w:hint="eastAsia" w:cstheme="minorBidi"/>
                      <w:bCs/>
                      <w:color w:val="000000" w:themeColor="text1"/>
                      <w:spacing w:val="0"/>
                      <w:kern w:val="2"/>
                      <w:sz w:val="21"/>
                      <w:szCs w:val="21"/>
                      <w:highlight w:val="none"/>
                      <w:lang w:val="en-US" w:eastAsia="zh-CN" w:bidi="ar-SA"/>
                      <w14:textFill>
                        <w14:solidFill>
                          <w14:schemeClr w14:val="tx1"/>
                        </w14:solidFill>
                      </w14:textFill>
                    </w:rPr>
                    <w:t>150</w:t>
                  </w:r>
                  <w:r>
                    <w:rPr>
                      <w:rFonts w:hint="eastAsia" w:ascii="Times New Roman" w:hAnsi="Times New Roman" w:eastAsia="宋体" w:cstheme="minorBidi"/>
                      <w:bCs/>
                      <w:color w:val="000000" w:themeColor="text1"/>
                      <w:spacing w:val="0"/>
                      <w:kern w:val="2"/>
                      <w:sz w:val="21"/>
                      <w:szCs w:val="21"/>
                      <w:highlight w:val="none"/>
                      <w:lang w:val="en-US" w:eastAsia="zh-CN" w:bidi="ar-SA"/>
                      <w14:textFill>
                        <w14:solidFill>
                          <w14:schemeClr w14:val="tx1"/>
                        </w14:solidFill>
                      </w14:textFill>
                    </w:rPr>
                    <w:t>万吨，</w:t>
                  </w:r>
                  <w:r>
                    <w:rPr>
                      <w:rFonts w:hint="eastAsia" w:cstheme="minorBidi"/>
                      <w:bCs/>
                      <w:color w:val="000000" w:themeColor="text1"/>
                      <w:spacing w:val="0"/>
                      <w:kern w:val="2"/>
                      <w:sz w:val="21"/>
                      <w:szCs w:val="21"/>
                      <w:highlight w:val="none"/>
                      <w:lang w:val="en-US" w:eastAsia="zh-CN" w:bidi="ar-SA"/>
                      <w14:textFill>
                        <w14:solidFill>
                          <w14:schemeClr w14:val="tx1"/>
                        </w14:solidFill>
                      </w14:textFill>
                    </w:rPr>
                    <w:t>1500000</w:t>
                  </w:r>
                  <w:r>
                    <w:rPr>
                      <w:rFonts w:hint="eastAsia" w:ascii="Times New Roman" w:hAnsi="Times New Roman" w:eastAsia="宋体" w:cstheme="minorBidi"/>
                      <w:bCs/>
                      <w:color w:val="000000" w:themeColor="text1"/>
                      <w:spacing w:val="0"/>
                      <w:kern w:val="2"/>
                      <w:sz w:val="21"/>
                      <w:szCs w:val="21"/>
                      <w:highlight w:val="none"/>
                      <w:lang w:val="en-US" w:eastAsia="zh-CN" w:bidi="ar-SA"/>
                      <w14:textFill>
                        <w14:solidFill>
                          <w14:schemeClr w14:val="tx1"/>
                        </w14:solidFill>
                      </w14:textFill>
                    </w:rPr>
                    <w:t>T&gt;1000000T，以30000T改性磷石膏为一批次，</w:t>
                  </w:r>
                  <w:r>
                    <w:rPr>
                      <w:rFonts w:hint="eastAsia"/>
                      <w:color w:val="000000" w:themeColor="text1"/>
                      <w:sz w:val="21"/>
                      <w:szCs w:val="21"/>
                      <w:lang w:val="en-US"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tc>
              <w:tc>
                <w:tcPr>
                  <w:tcW w:w="2030" w:type="pct"/>
                  <w:vAlign w:val="center"/>
                </w:tcPr>
                <w:p w14:paraId="11853080">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生态修复材料满足《改性磷石膏用于矿山废弃地生态修复回填技术规范》（DB53/T1269-2024）、《磷石膏的处理处置规范》（GB/T 32124-2024）</w:t>
                  </w:r>
                  <w:r>
                    <w:rPr>
                      <w:rFonts w:hint="eastAsia"/>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《磷石膏利用和无害化贮存污染控制技术规范》（HJ1415—2025）</w:t>
                  </w:r>
                  <w:r>
                    <w:rPr>
                      <w:rFonts w:hint="eastAsia"/>
                      <w:color w:val="000000" w:themeColor="text1"/>
                      <w:sz w:val="21"/>
                      <w:szCs w:val="21"/>
                      <w:lang w:val="en-US"/>
                      <w14:textFill>
                        <w14:solidFill>
                          <w14:schemeClr w14:val="tx1"/>
                        </w14:solidFill>
                      </w14:textFill>
                    </w:rPr>
                    <w:t>相关要求</w:t>
                  </w:r>
                </w:p>
              </w:tc>
            </w:tr>
            <w:tr w14:paraId="6361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1ACD4BDA">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Align w:val="center"/>
                </w:tcPr>
                <w:p w14:paraId="50E3ACF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耕植土</w:t>
                  </w:r>
                </w:p>
              </w:tc>
              <w:tc>
                <w:tcPr>
                  <w:tcW w:w="2152" w:type="pct"/>
                  <w:vAlign w:val="center"/>
                </w:tcPr>
                <w:p w14:paraId="496F06C6">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每批次耕植土进场前进行检测，出具检测报告</w:t>
                  </w:r>
                </w:p>
              </w:tc>
              <w:tc>
                <w:tcPr>
                  <w:tcW w:w="2030" w:type="pct"/>
                  <w:vAlign w:val="center"/>
                </w:tcPr>
                <w:p w14:paraId="4363B69E">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满足《土壤环境质量农用地土壤污染风险管控标准（试行）》（</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）中标准限值。</w:t>
                  </w:r>
                </w:p>
              </w:tc>
            </w:tr>
            <w:tr w14:paraId="6910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3243DB65">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restart"/>
                  <w:vAlign w:val="center"/>
                </w:tcPr>
                <w:p w14:paraId="70448E2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废气</w:t>
                  </w:r>
                </w:p>
              </w:tc>
              <w:tc>
                <w:tcPr>
                  <w:tcW w:w="2152" w:type="pct"/>
                  <w:vAlign w:val="center"/>
                </w:tcPr>
                <w:p w14:paraId="110E4D8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洒水车对修复区进行洒水降尘</w:t>
                  </w:r>
                </w:p>
              </w:tc>
              <w:tc>
                <w:tcPr>
                  <w:tcW w:w="2030" w:type="pct"/>
                  <w:vMerge w:val="restart"/>
                  <w:vAlign w:val="center"/>
                </w:tcPr>
                <w:p w14:paraId="6CC1FCE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颗粒物满足《大气污染物综合排放标准》（GB16297-1996）无组织排放监控浓度限制标准</w:t>
                  </w:r>
                </w:p>
              </w:tc>
            </w:tr>
            <w:tr w14:paraId="28F4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7B1CC89">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6B0077D6">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0C02454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运输车辆用篷布遮盖、密闭运输，限载限速</w:t>
                  </w:r>
                </w:p>
              </w:tc>
              <w:tc>
                <w:tcPr>
                  <w:tcW w:w="2030" w:type="pct"/>
                  <w:vMerge w:val="continue"/>
                  <w:vAlign w:val="center"/>
                </w:tcPr>
                <w:p w14:paraId="4E297EDA">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r>
            <w:tr w14:paraId="59B5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3FAA4189">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restart"/>
                  <w:vAlign w:val="center"/>
                </w:tcPr>
                <w:p w14:paraId="01A0FED6">
                  <w:pPr>
                    <w:pStyle w:val="72"/>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废水</w:t>
                  </w:r>
                </w:p>
              </w:tc>
              <w:tc>
                <w:tcPr>
                  <w:tcW w:w="2152" w:type="pct"/>
                  <w:vAlign w:val="center"/>
                </w:tcPr>
                <w:p w14:paraId="185D17F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建1座临时沉淀池（3m³），对施工废水和施工人员洗手废水进行收集</w:t>
                  </w:r>
                </w:p>
              </w:tc>
              <w:tc>
                <w:tcPr>
                  <w:tcW w:w="2030" w:type="pct"/>
                  <w:vAlign w:val="center"/>
                </w:tcPr>
                <w:p w14:paraId="466CDF0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施工废水和施工人员洗手废水经沉淀池沉淀后回用于施工场地洒水降尘</w:t>
                  </w:r>
                </w:p>
              </w:tc>
            </w:tr>
            <w:tr w14:paraId="6912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1250B25A">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3CD6F24C">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1D1A3204">
                  <w:pPr>
                    <w:pStyle w:val="72"/>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14:textFill>
                        <w14:solidFill>
                          <w14:schemeClr w14:val="tx1"/>
                        </w14:solidFill>
                      </w14:textFill>
                    </w:rPr>
                    <w:t>在回填区设置一个</w:t>
                  </w:r>
                  <w:r>
                    <w:rPr>
                      <w:rFonts w:hint="eastAsia"/>
                      <w:color w:val="000000" w:themeColor="text1"/>
                      <w:sz w:val="21"/>
                      <w:szCs w:val="21"/>
                      <w:lang w:val="en-US" w:eastAsia="zh-CN"/>
                      <w14:textFill>
                        <w14:solidFill>
                          <w14:schemeClr w14:val="tx1"/>
                        </w14:solidFill>
                      </w14:textFill>
                    </w:rPr>
                    <w:t>800</w:t>
                  </w:r>
                  <w:r>
                    <w:rPr>
                      <w:rFonts w:hint="eastAsia"/>
                      <w:color w:val="000000" w:themeColor="text1"/>
                      <w:sz w:val="21"/>
                      <w:szCs w:val="21"/>
                      <w:lang w:val="en-US"/>
                      <w14:textFill>
                        <w14:solidFill>
                          <w14:schemeClr w14:val="tx1"/>
                        </w14:solidFill>
                      </w14:textFill>
                    </w:rPr>
                    <w:t>m</w:t>
                  </w:r>
                  <w:r>
                    <w:rPr>
                      <w:rFonts w:hint="eastAsia"/>
                      <w:color w:val="000000" w:themeColor="text1"/>
                      <w:sz w:val="21"/>
                      <w:szCs w:val="21"/>
                      <w:vertAlign w:val="superscript"/>
                      <w:lang w:val="en-US"/>
                      <w14:textFill>
                        <w14:solidFill>
                          <w14:schemeClr w14:val="tx1"/>
                        </w14:solidFill>
                      </w14:textFill>
                    </w:rPr>
                    <w:t>3</w:t>
                  </w:r>
                  <w:r>
                    <w:rPr>
                      <w:rFonts w:hint="eastAsia"/>
                      <w:color w:val="000000" w:themeColor="text1"/>
                      <w:sz w:val="21"/>
                      <w:szCs w:val="21"/>
                      <w:lang w:val="en-US"/>
                      <w14:textFill>
                        <w14:solidFill>
                          <w14:schemeClr w14:val="tx1"/>
                        </w14:solidFill>
                      </w14:textFill>
                    </w:rPr>
                    <w:t>的渗滤液收集池</w:t>
                  </w:r>
                  <w:r>
                    <w:rPr>
                      <w:rFonts w:hint="eastAsia"/>
                      <w:color w:val="000000" w:themeColor="text1"/>
                      <w:sz w:val="21"/>
                      <w:szCs w:val="21"/>
                      <w:lang w:val="en-US" w:eastAsia="zh-CN"/>
                      <w14:textFill>
                        <w14:solidFill>
                          <w14:schemeClr w14:val="tx1"/>
                        </w14:solidFill>
                      </w14:textFill>
                    </w:rPr>
                    <w:t>。</w:t>
                  </w:r>
                </w:p>
              </w:tc>
              <w:tc>
                <w:tcPr>
                  <w:tcW w:w="2030" w:type="pct"/>
                  <w:vAlign w:val="center"/>
                </w:tcPr>
                <w:p w14:paraId="10FD863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渗滤液收集</w:t>
                  </w:r>
                  <w:r>
                    <w:rPr>
                      <w:rFonts w:hint="eastAsia"/>
                      <w:color w:val="000000" w:themeColor="text1"/>
                      <w:sz w:val="21"/>
                      <w:szCs w:val="21"/>
                      <w:lang w:val="en-US" w:eastAsia="zh-CN"/>
                      <w14:textFill>
                        <w14:solidFill>
                          <w14:schemeClr w14:val="tx1"/>
                        </w14:solidFill>
                      </w14:textFill>
                    </w:rPr>
                    <w:t>池</w:t>
                  </w:r>
                  <w:r>
                    <w:rPr>
                      <w:rFonts w:hint="eastAsia"/>
                      <w:color w:val="000000" w:themeColor="text1"/>
                      <w:sz w:val="21"/>
                      <w:szCs w:val="21"/>
                      <w:lang w:val="en-US"/>
                      <w14:textFill>
                        <w14:solidFill>
                          <w14:schemeClr w14:val="tx1"/>
                        </w14:solidFill>
                      </w14:textFill>
                    </w:rPr>
                    <w:t>防渗按照规范要求设置，渗滤液收集后回用于场地洒水降尘</w:t>
                  </w:r>
                </w:p>
              </w:tc>
            </w:tr>
            <w:tr w14:paraId="4B67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0F530571">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7F04679C">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6707C84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每季度对渗滤液进行监测</w:t>
                  </w:r>
                </w:p>
              </w:tc>
              <w:tc>
                <w:tcPr>
                  <w:tcW w:w="2030" w:type="pct"/>
                  <w:vAlign w:val="center"/>
                </w:tcPr>
                <w:p w14:paraId="309B285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按照监测计划、监测周期要求，开展检测。提交监测报告</w:t>
                  </w:r>
                </w:p>
              </w:tc>
            </w:tr>
            <w:tr w14:paraId="6DA2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4A329722">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Align w:val="center"/>
                </w:tcPr>
                <w:p w14:paraId="11DCCF1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噪声</w:t>
                  </w:r>
                </w:p>
              </w:tc>
              <w:tc>
                <w:tcPr>
                  <w:tcW w:w="2152" w:type="pct"/>
                  <w:vAlign w:val="center"/>
                </w:tcPr>
                <w:p w14:paraId="5F007F3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选取低噪声设备，对设备进行维护</w:t>
                  </w:r>
                </w:p>
              </w:tc>
              <w:tc>
                <w:tcPr>
                  <w:tcW w:w="2030" w:type="pct"/>
                  <w:vAlign w:val="center"/>
                </w:tcPr>
                <w:p w14:paraId="311E2C9D">
                  <w:pPr>
                    <w:pStyle w:val="72"/>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14:textFill>
                        <w14:solidFill>
                          <w14:schemeClr w14:val="tx1"/>
                        </w14:solidFill>
                      </w14:textFill>
                    </w:rPr>
                    <w:t>执行</w:t>
                  </w:r>
                  <w:r>
                    <w:rPr>
                      <w:rFonts w:hint="eastAsia"/>
                      <w:color w:val="000000" w:themeColor="text1"/>
                      <w:sz w:val="21"/>
                      <w:szCs w:val="21"/>
                      <w:lang w:val="en-US" w:eastAsia="zh-CN"/>
                      <w14:textFill>
                        <w14:solidFill>
                          <w14:schemeClr w14:val="tx1"/>
                        </w14:solidFill>
                      </w14:textFill>
                    </w:rPr>
                    <w:t>《建筑施工场界环境噪声排放标准》（GB12523-2025）</w:t>
                  </w:r>
                </w:p>
              </w:tc>
            </w:tr>
            <w:tr w14:paraId="1D24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087B92EE">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restart"/>
                  <w:vAlign w:val="center"/>
                </w:tcPr>
                <w:p w14:paraId="07C0700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固体废物</w:t>
                  </w:r>
                </w:p>
              </w:tc>
              <w:tc>
                <w:tcPr>
                  <w:tcW w:w="2152" w:type="pct"/>
                  <w:vAlign w:val="center"/>
                </w:tcPr>
                <w:p w14:paraId="7C96A5E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土石方回用于场地平整</w:t>
                  </w:r>
                </w:p>
              </w:tc>
              <w:tc>
                <w:tcPr>
                  <w:tcW w:w="2030" w:type="pct"/>
                  <w:vAlign w:val="center"/>
                </w:tcPr>
                <w:p w14:paraId="3A67048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处置率100%</w:t>
                  </w:r>
                </w:p>
              </w:tc>
            </w:tr>
            <w:tr w14:paraId="67C5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018755C">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655B11FA">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71CD8F9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施工人员生活垃圾集中收集后运至附近村庄垃圾收集点由环卫部门清运处置</w:t>
                  </w:r>
                </w:p>
              </w:tc>
              <w:tc>
                <w:tcPr>
                  <w:tcW w:w="2030" w:type="pct"/>
                  <w:vAlign w:val="center"/>
                </w:tcPr>
                <w:p w14:paraId="76098F2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处置率100%</w:t>
                  </w:r>
                </w:p>
              </w:tc>
            </w:tr>
            <w:tr w14:paraId="0B49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BE9784F">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restart"/>
                  <w:vAlign w:val="center"/>
                </w:tcPr>
                <w:p w14:paraId="36B93F9F">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生态修复区</w:t>
                  </w:r>
                </w:p>
              </w:tc>
              <w:tc>
                <w:tcPr>
                  <w:tcW w:w="280" w:type="pct"/>
                  <w:vMerge w:val="restart"/>
                  <w:vAlign w:val="center"/>
                </w:tcPr>
                <w:p w14:paraId="7BCA973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回填区</w:t>
                  </w:r>
                </w:p>
              </w:tc>
              <w:tc>
                <w:tcPr>
                  <w:tcW w:w="2152" w:type="pct"/>
                  <w:vAlign w:val="center"/>
                </w:tcPr>
                <w:p w14:paraId="26172A3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在回填区域设置截排水沟。</w:t>
                  </w:r>
                </w:p>
              </w:tc>
              <w:tc>
                <w:tcPr>
                  <w:tcW w:w="2030" w:type="pct"/>
                  <w:vAlign w:val="center"/>
                </w:tcPr>
                <w:p w14:paraId="61BC2E5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截排水沟的建设情况、设计及施工监理报告</w:t>
                  </w:r>
                </w:p>
              </w:tc>
            </w:tr>
            <w:tr w14:paraId="43AE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4F92EAE">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06808BC0">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0C7E039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595D871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渗滤液导排系统</w:t>
                  </w:r>
                </w:p>
              </w:tc>
              <w:tc>
                <w:tcPr>
                  <w:tcW w:w="2030" w:type="pct"/>
                  <w:vAlign w:val="center"/>
                </w:tcPr>
                <w:p w14:paraId="741423C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渗滤液导排系统建设情况、设计及施工监理报告</w:t>
                  </w:r>
                </w:p>
              </w:tc>
            </w:tr>
            <w:tr w14:paraId="1D82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05CB2C24">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5E69147A">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00437D6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382E1C7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对修复区场地先进行清理、压实、找平，清除修复区底尖锐石块和碎屑杂物，铺设0.75m厚黏土层，经压实措施处理后的饱和渗透系数不应大于1.0×10</w:t>
                  </w:r>
                  <w:r>
                    <w:rPr>
                      <w:rFonts w:hint="eastAsia"/>
                      <w:color w:val="000000" w:themeColor="text1"/>
                      <w:kern w:val="0"/>
                      <w:vertAlign w:val="superscript"/>
                      <w:lang w:val="en-US" w:bidi="ar"/>
                      <w14:textFill>
                        <w14:solidFill>
                          <w14:schemeClr w14:val="tx1"/>
                        </w14:solidFill>
                      </w14:textFill>
                    </w:rPr>
                    <w:t>-</w:t>
                  </w:r>
                  <w:r>
                    <w:rPr>
                      <w:rFonts w:hint="eastAsia"/>
                      <w:color w:val="000000" w:themeColor="text1"/>
                      <w:sz w:val="21"/>
                      <w:szCs w:val="21"/>
                      <w:vertAlign w:val="superscript"/>
                      <w:lang w:val="en-US"/>
                      <w14:textFill>
                        <w14:solidFill>
                          <w14:schemeClr w14:val="tx1"/>
                        </w14:solidFill>
                      </w14:textFill>
                    </w:rPr>
                    <w:t>5</w:t>
                  </w:r>
                  <w:r>
                    <w:rPr>
                      <w:rFonts w:hint="eastAsia"/>
                      <w:color w:val="000000" w:themeColor="text1"/>
                      <w:sz w:val="21"/>
                      <w:szCs w:val="21"/>
                      <w:lang w:val="en-US"/>
                      <w14:textFill>
                        <w14:solidFill>
                          <w14:schemeClr w14:val="tx1"/>
                        </w14:solidFill>
                      </w14:textFill>
                    </w:rPr>
                    <w:t>cm/s。</w:t>
                  </w:r>
                </w:p>
              </w:tc>
              <w:tc>
                <w:tcPr>
                  <w:tcW w:w="2030" w:type="pct"/>
                  <w:vAlign w:val="center"/>
                </w:tcPr>
                <w:p w14:paraId="5C07422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底部垫层进行渗透实验报告，渗透系数不应大于1.0×10</w:t>
                  </w:r>
                  <w:r>
                    <w:rPr>
                      <w:rFonts w:hint="eastAsia"/>
                      <w:color w:val="000000" w:themeColor="text1"/>
                      <w:kern w:val="0"/>
                      <w:vertAlign w:val="superscript"/>
                      <w:lang w:val="en-US" w:bidi="ar"/>
                      <w14:textFill>
                        <w14:solidFill>
                          <w14:schemeClr w14:val="tx1"/>
                        </w14:solidFill>
                      </w14:textFill>
                    </w:rPr>
                    <w:t>-</w:t>
                  </w:r>
                  <w:r>
                    <w:rPr>
                      <w:rFonts w:hint="eastAsia"/>
                      <w:color w:val="000000" w:themeColor="text1"/>
                      <w:sz w:val="21"/>
                      <w:szCs w:val="21"/>
                      <w:vertAlign w:val="superscript"/>
                      <w:lang w:val="en-US"/>
                      <w14:textFill>
                        <w14:solidFill>
                          <w14:schemeClr w14:val="tx1"/>
                        </w14:solidFill>
                      </w14:textFill>
                    </w:rPr>
                    <w:t>5</w:t>
                  </w:r>
                  <w:r>
                    <w:rPr>
                      <w:rFonts w:hint="eastAsia"/>
                      <w:color w:val="000000" w:themeColor="text1"/>
                      <w:sz w:val="21"/>
                      <w:szCs w:val="21"/>
                      <w:lang w:val="en-US"/>
                      <w14:textFill>
                        <w14:solidFill>
                          <w14:schemeClr w14:val="tx1"/>
                        </w14:solidFill>
                      </w14:textFill>
                    </w:rPr>
                    <w:t>cm/s。</w:t>
                  </w:r>
                </w:p>
              </w:tc>
            </w:tr>
            <w:tr w14:paraId="32EC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3001E8BB">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544A14F7">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3913291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2F1B22C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回填料回填结束压实后，回填区顶部平台、堆积分台及坡面依次铺设300g/㎡土工布、1.5mm的HDPE防渗膜、300g/㎡土工布防渗层。</w:t>
                  </w:r>
                </w:p>
              </w:tc>
              <w:tc>
                <w:tcPr>
                  <w:tcW w:w="2030" w:type="pct"/>
                  <w:vAlign w:val="center"/>
                </w:tcPr>
                <w:p w14:paraId="3F120F9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防渗施工影像资料，施工记录，防渗膜购买合同，每批次的检验合格证，防渗膜完整性检测报告。</w:t>
                  </w:r>
                </w:p>
              </w:tc>
            </w:tr>
            <w:tr w14:paraId="0E64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D8895CB">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6BE763CF">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26ECFEF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6CFD88C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施工方案包括施工质量保证和施</w:t>
                  </w:r>
                </w:p>
                <w:p w14:paraId="5574B4E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工质量控制内容，明确环保条款和责任，施工完毕后保存施工报告、全套竣工图、所有材料的现场及实验室检测报告，提供人工防渗衬层完整性检测报告。上述材料连同施工质量保证书作为竣工环境保护验收的依据。</w:t>
                  </w:r>
                </w:p>
              </w:tc>
              <w:tc>
                <w:tcPr>
                  <w:tcW w:w="2030" w:type="pct"/>
                  <w:vAlign w:val="center"/>
                </w:tcPr>
                <w:p w14:paraId="794CB26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相应资料齐全，防渗衬层是否完整。隐蔽工程竣工验收报告，环境监理总结报告</w:t>
                  </w:r>
                </w:p>
              </w:tc>
            </w:tr>
            <w:tr w14:paraId="6318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4954FEB3">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5CBBE634">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2F7B362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632F77A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植被恢复：冬樱花、三角梅等</w:t>
                  </w:r>
                </w:p>
              </w:tc>
              <w:tc>
                <w:tcPr>
                  <w:tcW w:w="2030" w:type="pct"/>
                  <w:vMerge w:val="restart"/>
                  <w:vAlign w:val="center"/>
                </w:tcPr>
                <w:p w14:paraId="2F0EBA9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管理、维护：定期浇灌、基肥及追肥；连续抚育3年，每年一次，适时补植，种植后人工巡护。提供植被购买合同，养护记录报告。</w:t>
                  </w:r>
                </w:p>
              </w:tc>
            </w:tr>
            <w:tr w14:paraId="1E94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442545D2">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64F4739C">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Align w:val="center"/>
                </w:tcPr>
                <w:p w14:paraId="11041E3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非回填区域</w:t>
                  </w:r>
                </w:p>
              </w:tc>
              <w:tc>
                <w:tcPr>
                  <w:tcW w:w="2152" w:type="pct"/>
                  <w:vAlign w:val="center"/>
                </w:tcPr>
                <w:p w14:paraId="6607BEB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冬樱花、三角梅、狗牙根等常见植被</w:t>
                  </w:r>
                </w:p>
              </w:tc>
              <w:tc>
                <w:tcPr>
                  <w:tcW w:w="2030" w:type="pct"/>
                  <w:vMerge w:val="continue"/>
                  <w:vAlign w:val="center"/>
                </w:tcPr>
                <w:p w14:paraId="522CDFD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r>
            <w:tr w14:paraId="595D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69" w:type="pct"/>
                  <w:vMerge w:val="restart"/>
                  <w:vAlign w:val="center"/>
                </w:tcPr>
                <w:p w14:paraId="45B775F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运营期</w:t>
                  </w:r>
                </w:p>
              </w:tc>
              <w:tc>
                <w:tcPr>
                  <w:tcW w:w="548" w:type="pct"/>
                  <w:gridSpan w:val="2"/>
                  <w:vAlign w:val="center"/>
                </w:tcPr>
                <w:p w14:paraId="2A35A87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w:t>
                  </w:r>
                </w:p>
              </w:tc>
              <w:tc>
                <w:tcPr>
                  <w:tcW w:w="2152" w:type="pct"/>
                  <w:vAlign w:val="center"/>
                </w:tcPr>
                <w:p w14:paraId="678C1932">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default" w:eastAsia="宋体" w:cs="Times New Roman"/>
                      <w:color w:val="000000" w:themeColor="text1"/>
                      <w:kern w:val="0"/>
                      <w:sz w:val="21"/>
                      <w:szCs w:val="21"/>
                      <w:lang w:val="en-US" w:eastAsia="zh-CN"/>
                      <w14:textFill>
                        <w14:solidFill>
                          <w14:schemeClr w14:val="tx1"/>
                        </w14:solidFill>
                      </w14:textFill>
                    </w:rPr>
                    <w:t>项目区共设置</w:t>
                  </w:r>
                  <w:r>
                    <w:rPr>
                      <w:rFonts w:hint="eastAsia" w:cs="Times New Roman"/>
                      <w:color w:val="000000" w:themeColor="text1"/>
                      <w:kern w:val="0"/>
                      <w:sz w:val="21"/>
                      <w:szCs w:val="21"/>
                      <w:lang w:val="en-US" w:eastAsia="zh-CN"/>
                      <w14:textFill>
                        <w14:solidFill>
                          <w14:schemeClr w14:val="tx1"/>
                        </w14:solidFill>
                      </w14:textFill>
                    </w:rPr>
                    <w:t>6</w:t>
                  </w:r>
                  <w:r>
                    <w:rPr>
                      <w:rFonts w:hint="default" w:eastAsia="宋体" w:cs="Times New Roman"/>
                      <w:color w:val="000000" w:themeColor="text1"/>
                      <w:kern w:val="0"/>
                      <w:sz w:val="21"/>
                      <w:szCs w:val="21"/>
                      <w:lang w:val="en-US" w:eastAsia="zh-CN"/>
                      <w14:textFill>
                        <w14:solidFill>
                          <w14:schemeClr w14:val="tx1"/>
                        </w14:solidFill>
                      </w14:textFill>
                    </w:rPr>
                    <w:t>口</w:t>
                  </w:r>
                  <w:r>
                    <w:rPr>
                      <w:rFonts w:hint="eastAsia" w:eastAsia="宋体" w:cs="Times New Roman"/>
                      <w:color w:val="000000" w:themeColor="text1"/>
                      <w:kern w:val="0"/>
                      <w:sz w:val="21"/>
                      <w:szCs w:val="21"/>
                      <w:lang w:val="en-US" w:eastAsia="zh-CN"/>
                      <w14:textFill>
                        <w14:solidFill>
                          <w14:schemeClr w14:val="tx1"/>
                        </w14:solidFill>
                      </w14:textFill>
                    </w:rPr>
                    <w:t>地下水跟踪监控井，</w:t>
                  </w:r>
                  <w:r>
                    <w:rPr>
                      <w:rFonts w:hint="eastAsia" w:cs="Times New Roman"/>
                      <w:color w:val="000000" w:themeColor="text1"/>
                      <w:kern w:val="0"/>
                      <w:sz w:val="21"/>
                      <w:szCs w:val="21"/>
                      <w:lang w:val="en-US" w:eastAsia="zh-CN"/>
                      <w14:textFill>
                        <w14:solidFill>
                          <w14:schemeClr w14:val="tx1"/>
                        </w14:solidFill>
                      </w14:textFill>
                    </w:rPr>
                    <w:t>1</w:t>
                  </w:r>
                  <w:r>
                    <w:rPr>
                      <w:rFonts w:hint="eastAsia" w:eastAsia="宋体" w:cs="Times New Roman"/>
                      <w:color w:val="000000" w:themeColor="text1"/>
                      <w:kern w:val="0"/>
                      <w:sz w:val="21"/>
                      <w:szCs w:val="21"/>
                      <w:lang w:val="en-US" w:eastAsia="zh-CN"/>
                      <w14:textFill>
                        <w14:solidFill>
                          <w14:schemeClr w14:val="tx1"/>
                        </w14:solidFill>
                      </w14:textFill>
                    </w:rPr>
                    <w:t>口地下水收集井</w:t>
                  </w:r>
                  <w:r>
                    <w:rPr>
                      <w:rFonts w:hint="default" w:eastAsia="宋体" w:cs="Times New Roman"/>
                      <w:color w:val="000000" w:themeColor="text1"/>
                      <w:kern w:val="0"/>
                      <w:sz w:val="21"/>
                      <w:szCs w:val="21"/>
                      <w:lang w:val="en-US" w:eastAsia="zh-CN"/>
                      <w14:textFill>
                        <w14:solidFill>
                          <w14:schemeClr w14:val="tx1"/>
                        </w14:solidFill>
                      </w14:textFill>
                    </w:rPr>
                    <w:t>。进行地下水水质检测，出具检测报告</w:t>
                  </w:r>
                </w:p>
              </w:tc>
              <w:tc>
                <w:tcPr>
                  <w:tcW w:w="2030" w:type="pct"/>
                  <w:vAlign w:val="center"/>
                </w:tcPr>
                <w:p w14:paraId="04AF6FB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满足《地下水质量标准》（GB/T14848-2017）</w:t>
                  </w:r>
                  <w:r>
                    <w:rPr>
                      <w:rFonts w:hint="eastAsia" w:ascii="宋体" w:hAnsi="宋体" w:cs="宋体"/>
                      <w:color w:val="000000" w:themeColor="text1"/>
                      <w:sz w:val="21"/>
                      <w:szCs w:val="21"/>
                      <w:lang w:val="en-US"/>
                      <w14:textFill>
                        <w14:solidFill>
                          <w14:schemeClr w14:val="tx1"/>
                        </w14:solidFill>
                      </w14:textFill>
                    </w:rPr>
                    <w:t>Ⅲ</w:t>
                  </w:r>
                  <w:r>
                    <w:rPr>
                      <w:rFonts w:hint="eastAsia"/>
                      <w:color w:val="000000" w:themeColor="text1"/>
                      <w:sz w:val="21"/>
                      <w:szCs w:val="21"/>
                      <w:lang w:val="en-US"/>
                      <w14:textFill>
                        <w14:solidFill>
                          <w14:schemeClr w14:val="tx1"/>
                        </w14:solidFill>
                      </w14:textFill>
                    </w:rPr>
                    <w:t>类标准</w:t>
                  </w:r>
                </w:p>
              </w:tc>
            </w:tr>
            <w:tr w14:paraId="65F5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61B0C3B9">
                  <w:pPr>
                    <w:pStyle w:val="72"/>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Align w:val="center"/>
                </w:tcPr>
                <w:p w14:paraId="55516BE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土壤</w:t>
                  </w:r>
                </w:p>
              </w:tc>
              <w:tc>
                <w:tcPr>
                  <w:tcW w:w="2152" w:type="pct"/>
                  <w:vAlign w:val="center"/>
                </w:tcPr>
                <w:p w14:paraId="2FA5FCC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开展土壤跟踪监测（每年1次），监测指标</w:t>
                  </w:r>
                  <w:r>
                    <w:rPr>
                      <w:rFonts w:hint="eastAsia" w:ascii="宋体" w:hAnsi="宋体" w:cs="宋体"/>
                      <w:color w:val="000000" w:themeColor="text1"/>
                      <w:kern w:val="0"/>
                      <w:sz w:val="21"/>
                      <w:szCs w:val="21"/>
                      <w:lang w:val="en-US" w:bidi="ar"/>
                      <w14:textFill>
                        <w14:solidFill>
                          <w14:schemeClr w14:val="tx1"/>
                        </w14:solidFill>
                      </w14:textFill>
                    </w:rPr>
                    <w:t>pH、氟化物、镉、汞、砷、硒、铅、铬、铜、镍、锌</w:t>
                  </w:r>
                </w:p>
              </w:tc>
              <w:tc>
                <w:tcPr>
                  <w:tcW w:w="2030" w:type="pct"/>
                  <w:vAlign w:val="center"/>
                </w:tcPr>
                <w:p w14:paraId="0DE0039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满足《土壤环境质量建设用地土壤污染风险管控标准（试行）》（</w:t>
                  </w:r>
                  <w:r>
                    <w:rPr>
                      <w:color w:val="000000" w:themeColor="text1"/>
                      <w:sz w:val="21"/>
                      <w:szCs w:val="21"/>
                      <w:lang w:val="en-US"/>
                      <w14:textFill>
                        <w14:solidFill>
                          <w14:schemeClr w14:val="tx1"/>
                        </w14:solidFill>
                      </w14:textFill>
                    </w:rPr>
                    <w:t>GB36600-2018</w:t>
                  </w:r>
                  <w:r>
                    <w:rPr>
                      <w:rFonts w:hint="eastAsia"/>
                      <w:color w:val="000000" w:themeColor="text1"/>
                      <w:sz w:val="21"/>
                      <w:szCs w:val="21"/>
                      <w:lang w:val="en-US"/>
                      <w14:textFill>
                        <w14:solidFill>
                          <w14:schemeClr w14:val="tx1"/>
                        </w14:solidFill>
                      </w14:textFill>
                    </w:rPr>
                    <w:t>）和《土壤环境质量农用地土壤污染风险管控标准（试行）》（</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）中标准限值</w:t>
                  </w:r>
                </w:p>
              </w:tc>
            </w:tr>
            <w:tr w14:paraId="3FDF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gridSpan w:val="3"/>
                  <w:vMerge w:val="restart"/>
                  <w:vAlign w:val="center"/>
                </w:tcPr>
                <w:p w14:paraId="16ABBEB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其他</w:t>
                  </w:r>
                </w:p>
              </w:tc>
              <w:tc>
                <w:tcPr>
                  <w:tcW w:w="2152" w:type="pct"/>
                  <w:vAlign w:val="center"/>
                </w:tcPr>
                <w:p w14:paraId="55C07AC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监理报告详细内容</w:t>
                  </w:r>
                </w:p>
              </w:tc>
              <w:tc>
                <w:tcPr>
                  <w:tcW w:w="2030" w:type="pct"/>
                  <w:vAlign w:val="center"/>
                </w:tcPr>
                <w:p w14:paraId="5432E74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提供月报、季报、总结报告</w:t>
                  </w:r>
                </w:p>
              </w:tc>
            </w:tr>
            <w:tr w14:paraId="5E7B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gridSpan w:val="3"/>
                  <w:vMerge w:val="continue"/>
                  <w:vAlign w:val="center"/>
                </w:tcPr>
                <w:p w14:paraId="7AF706E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71D1346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编制突发环境事件应急预案</w:t>
                  </w:r>
                </w:p>
              </w:tc>
              <w:tc>
                <w:tcPr>
                  <w:tcW w:w="2030" w:type="pct"/>
                  <w:vAlign w:val="center"/>
                </w:tcPr>
                <w:p w14:paraId="01D4DEF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进行备案</w:t>
                  </w:r>
                </w:p>
              </w:tc>
            </w:tr>
            <w:tr w14:paraId="7D78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gridSpan w:val="3"/>
                  <w:vMerge w:val="continue"/>
                  <w:vAlign w:val="center"/>
                </w:tcPr>
                <w:p w14:paraId="3D83D43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05714FC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制定档案管理制度，并按照国家档案等法律法规进行整理与归档，永久保存</w:t>
                  </w:r>
                </w:p>
              </w:tc>
              <w:tc>
                <w:tcPr>
                  <w:tcW w:w="2030" w:type="pct"/>
                  <w:vAlign w:val="center"/>
                </w:tcPr>
                <w:p w14:paraId="670D1F5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制定档案并永久保持</w:t>
                  </w:r>
                </w:p>
              </w:tc>
            </w:tr>
          </w:tbl>
          <w:p w14:paraId="02C9F339">
            <w:pPr>
              <w:pStyle w:val="72"/>
              <w:adjustRightInd w:val="0"/>
              <w:ind w:firstLine="496"/>
              <w:jc w:val="both"/>
              <w:rPr>
                <w:color w:val="000000" w:themeColor="text1"/>
                <w14:textFill>
                  <w14:solidFill>
                    <w14:schemeClr w14:val="tx1"/>
                  </w14:solidFill>
                </w14:textFill>
              </w:rPr>
            </w:pPr>
          </w:p>
        </w:tc>
      </w:tr>
      <w:tr w14:paraId="0CED5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Align w:val="center"/>
          </w:tcPr>
          <w:p w14:paraId="2F12EC75">
            <w:pPr>
              <w:adjustRightInd w:val="0"/>
              <w:snapToGrid w:val="0"/>
              <w:spacing w:line="240" w:lineRule="auto"/>
              <w:ind w:firstLine="0" w:firstLineChars="0"/>
              <w:jc w:val="center"/>
              <w:rPr>
                <w:bCs/>
                <w:color w:val="000000" w:themeColor="text1"/>
                <w:spacing w:val="10"/>
                <w:szCs w:val="21"/>
                <w14:textFill>
                  <w14:solidFill>
                    <w14:schemeClr w14:val="tx1"/>
                  </w14:solidFill>
                </w14:textFill>
              </w:rPr>
            </w:pPr>
            <w:r>
              <w:rPr>
                <w:rFonts w:hint="eastAsia"/>
                <w:bCs/>
                <w:color w:val="000000" w:themeColor="text1"/>
                <w:szCs w:val="21"/>
                <w14:textFill>
                  <w14:solidFill>
                    <w14:schemeClr w14:val="tx1"/>
                  </w14:solidFill>
                </w14:textFill>
              </w:rPr>
              <w:t>其他</w:t>
            </w:r>
          </w:p>
        </w:tc>
        <w:tc>
          <w:tcPr>
            <w:tcW w:w="8457" w:type="dxa"/>
            <w:vAlign w:val="center"/>
          </w:tcPr>
          <w:p w14:paraId="04060BB1">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1、施工期监理计划</w:t>
            </w:r>
          </w:p>
          <w:p w14:paraId="76FB27D7">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按照工程建设管理的要求，建设单位必须对每个建设工程委托有资质的施工监理机构实施监理工作，施工监理机构必须配备相应的环境监理工程师，其主要负责监理施工过程中的环保措施执行情况，本项目施工期间环境监理计划详见下表。</w:t>
            </w:r>
          </w:p>
          <w:p w14:paraId="1C345932">
            <w:pPr>
              <w:keepNext/>
              <w:keepLines/>
              <w:tabs>
                <w:tab w:val="left" w:pos="420"/>
              </w:tabs>
              <w:adjustRightInd w:val="0"/>
              <w:snapToGrid w:val="0"/>
              <w:spacing w:line="240" w:lineRule="auto"/>
              <w:ind w:firstLine="0" w:firstLineChars="0"/>
              <w:jc w:val="center"/>
              <w:textAlignment w:val="baseline"/>
              <w:rPr>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表5-</w:t>
            </w:r>
            <w:r>
              <w:rPr>
                <w:rFonts w:hint="eastAsia"/>
                <w:b/>
                <w:bCs/>
                <w:color w:val="000000" w:themeColor="text1"/>
                <w:kern w:val="0"/>
                <w:sz w:val="24"/>
                <w:szCs w:val="24"/>
                <w:lang w:val="en-US" w:eastAsia="zh-CN" w:bidi="ar"/>
                <w14:textFill>
                  <w14:solidFill>
                    <w14:schemeClr w14:val="tx1"/>
                  </w14:solidFill>
                </w14:textFill>
              </w:rPr>
              <w:t xml:space="preserve">3  </w:t>
            </w:r>
            <w:r>
              <w:rPr>
                <w:rFonts w:hint="eastAsia"/>
                <w:b/>
                <w:bCs/>
                <w:color w:val="000000" w:themeColor="text1"/>
                <w:kern w:val="0"/>
                <w:sz w:val="24"/>
                <w:szCs w:val="24"/>
                <w:lang w:bidi="ar"/>
                <w14:textFill>
                  <w14:solidFill>
                    <w14:schemeClr w14:val="tx1"/>
                  </w14:solidFill>
                </w14:textFill>
              </w:rPr>
              <w:t>施工期环境监理计划一览表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2730"/>
              <w:gridCol w:w="4139"/>
              <w:gridCol w:w="391"/>
              <w:gridCol w:w="504"/>
            </w:tblGrid>
            <w:tr w14:paraId="21BA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1F4E90D5">
                  <w:pPr>
                    <w:keepNext/>
                    <w:keepLines/>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监理项目</w:t>
                  </w:r>
                </w:p>
              </w:tc>
              <w:tc>
                <w:tcPr>
                  <w:tcW w:w="2730" w:type="dxa"/>
                  <w:vAlign w:val="center"/>
                </w:tcPr>
                <w:p w14:paraId="241701AA">
                  <w:pPr>
                    <w:keepNext/>
                    <w:keepLines/>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处理措施</w:t>
                  </w:r>
                </w:p>
              </w:tc>
              <w:tc>
                <w:tcPr>
                  <w:tcW w:w="4139" w:type="dxa"/>
                  <w:vAlign w:val="center"/>
                </w:tcPr>
                <w:p w14:paraId="21A798C6">
                  <w:pPr>
                    <w:keepNext/>
                    <w:keepLines/>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监理标准</w:t>
                  </w:r>
                </w:p>
              </w:tc>
              <w:tc>
                <w:tcPr>
                  <w:tcW w:w="391" w:type="dxa"/>
                  <w:vAlign w:val="center"/>
                </w:tcPr>
                <w:p w14:paraId="359C9861">
                  <w:pPr>
                    <w:keepNext/>
                    <w:keepLines/>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执行单位</w:t>
                  </w:r>
                </w:p>
              </w:tc>
              <w:tc>
                <w:tcPr>
                  <w:tcW w:w="504" w:type="dxa"/>
                  <w:vAlign w:val="center"/>
                </w:tcPr>
                <w:p w14:paraId="538EA0C5">
                  <w:pPr>
                    <w:keepNext/>
                    <w:keepLines/>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监管部门</w:t>
                  </w:r>
                </w:p>
              </w:tc>
            </w:tr>
            <w:tr w14:paraId="3BAB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0E1D8345">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2730" w:type="dxa"/>
                  <w:vAlign w:val="center"/>
                </w:tcPr>
                <w:p w14:paraId="1D41B267">
                  <w:pPr>
                    <w:widowControl/>
                    <w:spacing w:line="240" w:lineRule="auto"/>
                    <w:ind w:firstLine="0" w:firstLineChars="0"/>
                    <w:jc w:val="left"/>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1、项目拟配置洒水车1辆，对修复区施工面进行洒水降尘，在大风天、干燥天气，适当增加洒水频次；</w:t>
                  </w:r>
                </w:p>
                <w:p w14:paraId="7C65E611">
                  <w:pPr>
                    <w:widowControl/>
                    <w:spacing w:line="240" w:lineRule="auto"/>
                    <w:ind w:firstLine="0" w:firstLineChars="0"/>
                    <w:jc w:val="left"/>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2、运输车辆须以篷布遮盖，密闭运输，并注意控制车速；</w:t>
                  </w:r>
                </w:p>
              </w:tc>
              <w:tc>
                <w:tcPr>
                  <w:tcW w:w="4139" w:type="dxa"/>
                  <w:vAlign w:val="center"/>
                </w:tcPr>
                <w:p w14:paraId="6C381368">
                  <w:pPr>
                    <w:widowControl/>
                    <w:spacing w:line="240" w:lineRule="auto"/>
                    <w:ind w:firstLine="0" w:firstLineChars="0"/>
                    <w:jc w:val="left"/>
                    <w:rPr>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每季度对区域大气环境质量进行监测，监测指标颗粒物，监测结果满足《大气污染物综合排放标准》（</w:t>
                  </w:r>
                  <w:r>
                    <w:rPr>
                      <w:rFonts w:ascii="宋体" w:hAnsi="宋体" w:cs="宋体"/>
                      <w:color w:val="000000" w:themeColor="text1"/>
                      <w:kern w:val="0"/>
                      <w:sz w:val="21"/>
                      <w:szCs w:val="21"/>
                      <w:lang w:bidi="ar"/>
                      <w14:textFill>
                        <w14:solidFill>
                          <w14:schemeClr w14:val="tx1"/>
                        </w14:solidFill>
                      </w14:textFill>
                    </w:rPr>
                    <w:t>GB16297-1996</w:t>
                  </w:r>
                  <w:r>
                    <w:rPr>
                      <w:rFonts w:hint="eastAsia" w:ascii="宋体" w:hAnsi="宋体" w:cs="宋体"/>
                      <w:color w:val="000000" w:themeColor="text1"/>
                      <w:kern w:val="0"/>
                      <w:sz w:val="21"/>
                      <w:szCs w:val="21"/>
                      <w:lang w:bidi="ar"/>
                      <w14:textFill>
                        <w14:solidFill>
                          <w14:schemeClr w14:val="tx1"/>
                        </w14:solidFill>
                      </w14:textFill>
                    </w:rPr>
                    <w:t>）无组织排放监控浓度限值</w:t>
                  </w:r>
                </w:p>
              </w:tc>
              <w:tc>
                <w:tcPr>
                  <w:tcW w:w="391" w:type="dxa"/>
                  <w:vMerge w:val="restart"/>
                  <w:vAlign w:val="center"/>
                </w:tcPr>
                <w:p w14:paraId="3E4D7916">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w:t>
                  </w:r>
                </w:p>
              </w:tc>
              <w:tc>
                <w:tcPr>
                  <w:tcW w:w="504" w:type="dxa"/>
                  <w:vMerge w:val="restart"/>
                  <w:vAlign w:val="center"/>
                </w:tcPr>
                <w:p w14:paraId="3D2B2805">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环境监察部门</w:t>
                  </w:r>
                </w:p>
              </w:tc>
            </w:tr>
            <w:tr w14:paraId="4E07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vAlign w:val="center"/>
                </w:tcPr>
                <w:p w14:paraId="2DCFABDF">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2730" w:type="dxa"/>
                  <w:vAlign w:val="center"/>
                </w:tcPr>
                <w:p w14:paraId="13014D73">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回填修复区各级分台区内侧设置截排水沟。</w:t>
                  </w:r>
                </w:p>
              </w:tc>
              <w:tc>
                <w:tcPr>
                  <w:tcW w:w="4139" w:type="dxa"/>
                  <w:vAlign w:val="center"/>
                </w:tcPr>
                <w:p w14:paraId="3404FA89">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回填修复区各级分台区内侧设置截排水沟。</w:t>
                  </w:r>
                </w:p>
              </w:tc>
              <w:tc>
                <w:tcPr>
                  <w:tcW w:w="391" w:type="dxa"/>
                  <w:vMerge w:val="continue"/>
                  <w:vAlign w:val="center"/>
                </w:tcPr>
                <w:p w14:paraId="3E0C37BB">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75C2D23A">
                  <w:pPr>
                    <w:keepNext/>
                    <w:keepLines/>
                    <w:spacing w:line="240" w:lineRule="auto"/>
                    <w:ind w:firstLine="0" w:firstLineChars="0"/>
                    <w:jc w:val="center"/>
                    <w:rPr>
                      <w:color w:val="000000" w:themeColor="text1"/>
                      <w:sz w:val="21"/>
                      <w:szCs w:val="21"/>
                      <w14:textFill>
                        <w14:solidFill>
                          <w14:schemeClr w14:val="tx1"/>
                        </w14:solidFill>
                      </w14:textFill>
                    </w:rPr>
                  </w:pPr>
                </w:p>
              </w:tc>
            </w:tr>
            <w:tr w14:paraId="3EBA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23B558CD">
                  <w:pPr>
                    <w:keepNext/>
                    <w:keepLines/>
                    <w:spacing w:line="240" w:lineRule="auto"/>
                    <w:ind w:firstLine="0" w:firstLineChars="0"/>
                    <w:jc w:val="center"/>
                    <w:rPr>
                      <w:color w:val="000000" w:themeColor="text1"/>
                      <w:sz w:val="21"/>
                      <w:szCs w:val="21"/>
                      <w14:textFill>
                        <w14:solidFill>
                          <w14:schemeClr w14:val="tx1"/>
                        </w14:solidFill>
                      </w14:textFill>
                    </w:rPr>
                  </w:pPr>
                </w:p>
              </w:tc>
              <w:tc>
                <w:tcPr>
                  <w:tcW w:w="2730" w:type="dxa"/>
                  <w:vAlign w:val="center"/>
                </w:tcPr>
                <w:p w14:paraId="7F1C7A59">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回填修复区排水沟，收集回填修复区渗滤液后排向下游渗滤液收集井。</w:t>
                  </w:r>
                </w:p>
              </w:tc>
              <w:tc>
                <w:tcPr>
                  <w:tcW w:w="4139" w:type="dxa"/>
                  <w:vAlign w:val="center"/>
                </w:tcPr>
                <w:p w14:paraId="028EAC49">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渗滤液收集后回用于洒水降尘。每季度对渗滤液进行检测。</w:t>
                  </w:r>
                </w:p>
              </w:tc>
              <w:tc>
                <w:tcPr>
                  <w:tcW w:w="391" w:type="dxa"/>
                  <w:vMerge w:val="continue"/>
                  <w:vAlign w:val="center"/>
                </w:tcPr>
                <w:p w14:paraId="36741B0D">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1F3E93D9">
                  <w:pPr>
                    <w:keepNext/>
                    <w:keepLines/>
                    <w:spacing w:line="240" w:lineRule="auto"/>
                    <w:ind w:firstLine="0" w:firstLineChars="0"/>
                    <w:jc w:val="center"/>
                    <w:rPr>
                      <w:color w:val="000000" w:themeColor="text1"/>
                      <w:sz w:val="21"/>
                      <w:szCs w:val="21"/>
                      <w14:textFill>
                        <w14:solidFill>
                          <w14:schemeClr w14:val="tx1"/>
                        </w14:solidFill>
                      </w14:textFill>
                    </w:rPr>
                  </w:pPr>
                </w:p>
              </w:tc>
            </w:tr>
            <w:tr w14:paraId="5136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1C63DE7F">
                  <w:pPr>
                    <w:keepNext/>
                    <w:keepLines/>
                    <w:spacing w:line="240" w:lineRule="auto"/>
                    <w:ind w:firstLine="0" w:firstLineChars="0"/>
                    <w:jc w:val="center"/>
                    <w:rPr>
                      <w:color w:val="000000" w:themeColor="text1"/>
                      <w:sz w:val="21"/>
                      <w:szCs w:val="21"/>
                      <w14:textFill>
                        <w14:solidFill>
                          <w14:schemeClr w14:val="tx1"/>
                        </w14:solidFill>
                      </w14:textFill>
                    </w:rPr>
                  </w:pPr>
                </w:p>
              </w:tc>
              <w:tc>
                <w:tcPr>
                  <w:tcW w:w="2730" w:type="dxa"/>
                  <w:vAlign w:val="center"/>
                </w:tcPr>
                <w:p w14:paraId="3E5B7CF6">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防渗工程</w:t>
                  </w:r>
                </w:p>
              </w:tc>
              <w:tc>
                <w:tcPr>
                  <w:tcW w:w="4139" w:type="dxa"/>
                  <w:vAlign w:val="center"/>
                </w:tcPr>
                <w:p w14:paraId="56D5C681">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1、防渗膜购买原生膜，防渗施工影像资料，施工记录，防渗膜购买合同，每批次的检验合格证。符合</w:t>
                  </w:r>
                  <w:r>
                    <w:rPr>
                      <w:rFonts w:hint="eastAsia"/>
                      <w:color w:val="000000" w:themeColor="text1"/>
                      <w:sz w:val="21"/>
                      <w:szCs w:val="21"/>
                      <w14:textFill>
                        <w14:solidFill>
                          <w14:schemeClr w14:val="tx1"/>
                        </w14:solidFill>
                      </w14:textFill>
                    </w:rPr>
                    <w:t>《改性磷石膏用于矿山废弃地生态修复回填技术规范》（DB53/T1269-2024）</w:t>
                  </w:r>
                  <w:r>
                    <w:rPr>
                      <w:rFonts w:hint="eastAsia"/>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《磷石膏利用和无害化贮存污染控制技术规范》（HJ1415—2025）</w:t>
                  </w:r>
                  <w:r>
                    <w:rPr>
                      <w:rFonts w:hint="eastAsia" w:ascii="宋体" w:hAnsi="宋体" w:cs="宋体"/>
                      <w:color w:val="000000" w:themeColor="text1"/>
                      <w:kern w:val="0"/>
                      <w:sz w:val="21"/>
                      <w:szCs w:val="21"/>
                      <w:lang w:bidi="ar"/>
                      <w14:textFill>
                        <w14:solidFill>
                          <w14:schemeClr w14:val="tx1"/>
                        </w14:solidFill>
                      </w14:textFill>
                    </w:rPr>
                    <w:t>的要求，保存相关资料，作为竣工环保验收的依据。</w:t>
                  </w:r>
                </w:p>
                <w:p w14:paraId="622D143C">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2、对防渗工程质量、防渗漏监控系统设置情况、渗滤液导排、收集井建设情况等进行监理，并形成监理报告，作为项目验收的依据。</w:t>
                  </w:r>
                </w:p>
                <w:p w14:paraId="766E25AC">
                  <w:pPr>
                    <w:widowControl/>
                    <w:spacing w:line="240" w:lineRule="auto"/>
                    <w:ind w:firstLine="0" w:firstLineChars="0"/>
                    <w:jc w:val="left"/>
                    <w:rPr>
                      <w:color w:val="000000" w:themeColor="text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3、如工程场地发现岩溶裂隙、孔洞等不稳定基层或其他影响工程安全稳定性的问题，应及时采用回填、加固等相关措施进行处理，达到相关要求后方可进一步施工。</w:t>
                  </w:r>
                </w:p>
              </w:tc>
              <w:tc>
                <w:tcPr>
                  <w:tcW w:w="391" w:type="dxa"/>
                  <w:vMerge w:val="continue"/>
                  <w:vAlign w:val="center"/>
                </w:tcPr>
                <w:p w14:paraId="7AA83C8E">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23280435">
                  <w:pPr>
                    <w:keepNext/>
                    <w:keepLines/>
                    <w:spacing w:line="240" w:lineRule="auto"/>
                    <w:ind w:firstLine="0" w:firstLineChars="0"/>
                    <w:jc w:val="center"/>
                    <w:rPr>
                      <w:color w:val="000000" w:themeColor="text1"/>
                      <w:sz w:val="21"/>
                      <w:szCs w:val="21"/>
                      <w14:textFill>
                        <w14:solidFill>
                          <w14:schemeClr w14:val="tx1"/>
                        </w14:solidFill>
                      </w14:textFill>
                    </w:rPr>
                  </w:pPr>
                </w:p>
              </w:tc>
            </w:tr>
            <w:tr w14:paraId="57AD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236B0F17">
                  <w:pPr>
                    <w:keepNext/>
                    <w:keepLines/>
                    <w:spacing w:line="240" w:lineRule="auto"/>
                    <w:ind w:firstLine="0" w:firstLineChars="0"/>
                    <w:jc w:val="center"/>
                    <w:rPr>
                      <w:color w:val="000000" w:themeColor="text1"/>
                      <w:sz w:val="21"/>
                      <w:szCs w:val="21"/>
                      <w14:textFill>
                        <w14:solidFill>
                          <w14:schemeClr w14:val="tx1"/>
                        </w14:solidFill>
                      </w14:textFill>
                    </w:rPr>
                  </w:pPr>
                </w:p>
              </w:tc>
              <w:tc>
                <w:tcPr>
                  <w:tcW w:w="2730" w:type="dxa"/>
                  <w:vAlign w:val="center"/>
                </w:tcPr>
                <w:p w14:paraId="5D2EAE42">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临时沉淀池（容积不小于3m³）</w:t>
                  </w:r>
                </w:p>
              </w:tc>
              <w:tc>
                <w:tcPr>
                  <w:tcW w:w="4139" w:type="dxa"/>
                  <w:vAlign w:val="center"/>
                </w:tcPr>
                <w:p w14:paraId="62E01010">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施工期废水经临时沉淀池沉淀后回用于施工场地洒水降尘。</w:t>
                  </w:r>
                </w:p>
              </w:tc>
              <w:tc>
                <w:tcPr>
                  <w:tcW w:w="391" w:type="dxa"/>
                  <w:vMerge w:val="continue"/>
                  <w:vAlign w:val="center"/>
                </w:tcPr>
                <w:p w14:paraId="48D519D7">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324D39C1">
                  <w:pPr>
                    <w:keepNext/>
                    <w:keepLines/>
                    <w:spacing w:line="240" w:lineRule="auto"/>
                    <w:ind w:firstLine="0" w:firstLineChars="0"/>
                    <w:jc w:val="center"/>
                    <w:rPr>
                      <w:color w:val="000000" w:themeColor="text1"/>
                      <w:sz w:val="21"/>
                      <w:szCs w:val="21"/>
                      <w14:textFill>
                        <w14:solidFill>
                          <w14:schemeClr w14:val="tx1"/>
                        </w14:solidFill>
                      </w14:textFill>
                    </w:rPr>
                  </w:pPr>
                </w:p>
              </w:tc>
            </w:tr>
            <w:tr w14:paraId="1CA7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31C09D70">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改性磷石膏</w:t>
                  </w:r>
                </w:p>
              </w:tc>
              <w:tc>
                <w:tcPr>
                  <w:tcW w:w="2730" w:type="dxa"/>
                  <w:vAlign w:val="center"/>
                </w:tcPr>
                <w:p w14:paraId="4564B139">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设专人管理改性磷石膏生态修复材料，收集检测报告，确保生态修复材料满足回填要求，禁止回填不合格材料。</w:t>
                  </w:r>
                </w:p>
              </w:tc>
              <w:tc>
                <w:tcPr>
                  <w:tcW w:w="4139" w:type="dxa"/>
                  <w:vAlign w:val="center"/>
                </w:tcPr>
                <w:p w14:paraId="42EFA1E3">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对每一批次改性磷石膏进行检测，检测要求、检测结果</w:t>
                  </w:r>
                  <w:r>
                    <w:rPr>
                      <w:rFonts w:hint="eastAsia"/>
                      <w:color w:val="000000" w:themeColor="text1"/>
                      <w:sz w:val="21"/>
                      <w:szCs w:val="21"/>
                      <w14:textFill>
                        <w14:solidFill>
                          <w14:schemeClr w14:val="tx1"/>
                        </w14:solidFill>
                      </w14:textFill>
                    </w:rPr>
                    <w:t>满足《改性磷石膏用于矿山废弃地生态修复回填技术规范》（DB53/T1269-2024）、《磷石膏的处理处置规范》（GB/T 32124-2024）</w:t>
                  </w:r>
                  <w:r>
                    <w:rPr>
                      <w:rFonts w:hint="eastAsia"/>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《磷石膏利用和无害化贮存污染控制技术规范》（HJ1415—2025）</w:t>
                  </w:r>
                  <w:r>
                    <w:rPr>
                      <w:rFonts w:hint="eastAsia"/>
                      <w:color w:val="000000" w:themeColor="text1"/>
                      <w:sz w:val="21"/>
                      <w:szCs w:val="21"/>
                      <w14:textFill>
                        <w14:solidFill>
                          <w14:schemeClr w14:val="tx1"/>
                        </w14:solidFill>
                      </w14:textFill>
                    </w:rPr>
                    <w:t>相关要求。</w:t>
                  </w:r>
                </w:p>
              </w:tc>
              <w:tc>
                <w:tcPr>
                  <w:tcW w:w="391" w:type="dxa"/>
                  <w:vMerge w:val="continue"/>
                  <w:vAlign w:val="center"/>
                </w:tcPr>
                <w:p w14:paraId="7E22548F">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0612DCA7">
                  <w:pPr>
                    <w:keepNext/>
                    <w:keepLines/>
                    <w:spacing w:line="240" w:lineRule="auto"/>
                    <w:ind w:firstLine="0" w:firstLineChars="0"/>
                    <w:jc w:val="center"/>
                    <w:rPr>
                      <w:color w:val="000000" w:themeColor="text1"/>
                      <w:sz w:val="21"/>
                      <w:szCs w:val="21"/>
                      <w14:textFill>
                        <w14:solidFill>
                          <w14:schemeClr w14:val="tx1"/>
                        </w14:solidFill>
                      </w14:textFill>
                    </w:rPr>
                  </w:pPr>
                </w:p>
              </w:tc>
            </w:tr>
            <w:tr w14:paraId="5E25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64A3C1DF">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w:t>
                  </w:r>
                </w:p>
              </w:tc>
              <w:tc>
                <w:tcPr>
                  <w:tcW w:w="2730" w:type="dxa"/>
                  <w:vAlign w:val="center"/>
                </w:tcPr>
                <w:p w14:paraId="7951842A">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使用低噪声设备、分时段、夜间禁止施工、施工现场周围加围护、距离衰减等。</w:t>
                  </w:r>
                </w:p>
              </w:tc>
              <w:tc>
                <w:tcPr>
                  <w:tcW w:w="4139" w:type="dxa"/>
                  <w:vAlign w:val="center"/>
                </w:tcPr>
                <w:p w14:paraId="47483EA3">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每月对施工场界周边进行监测，监测结果满足</w:t>
                  </w:r>
                  <w:r>
                    <w:rPr>
                      <w:rFonts w:hint="eastAsia" w:ascii="宋体" w:hAnsi="宋体" w:cs="宋体"/>
                      <w:color w:val="000000" w:themeColor="text1"/>
                      <w:kern w:val="0"/>
                      <w:sz w:val="21"/>
                      <w:szCs w:val="21"/>
                      <w:lang w:eastAsia="zh-CN" w:bidi="ar"/>
                      <w14:textFill>
                        <w14:solidFill>
                          <w14:schemeClr w14:val="tx1"/>
                        </w14:solidFill>
                      </w14:textFill>
                    </w:rPr>
                    <w:t>《建筑施工场界环境噪声排放标准》（GB12523-2025）</w:t>
                  </w:r>
                  <w:r>
                    <w:rPr>
                      <w:rFonts w:hint="eastAsia" w:ascii="宋体" w:hAnsi="宋体" w:cs="宋体"/>
                      <w:color w:val="000000" w:themeColor="text1"/>
                      <w:kern w:val="0"/>
                      <w:sz w:val="21"/>
                      <w:szCs w:val="21"/>
                      <w:lang w:bidi="ar"/>
                      <w14:textFill>
                        <w14:solidFill>
                          <w14:schemeClr w14:val="tx1"/>
                        </w14:solidFill>
                      </w14:textFill>
                    </w:rPr>
                    <w:t>要求</w:t>
                  </w:r>
                </w:p>
              </w:tc>
              <w:tc>
                <w:tcPr>
                  <w:tcW w:w="391" w:type="dxa"/>
                  <w:vMerge w:val="continue"/>
                  <w:vAlign w:val="center"/>
                </w:tcPr>
                <w:p w14:paraId="3997C4F6">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0E6BF1BA">
                  <w:pPr>
                    <w:keepNext/>
                    <w:keepLines/>
                    <w:spacing w:line="240" w:lineRule="auto"/>
                    <w:ind w:firstLine="0" w:firstLineChars="0"/>
                    <w:jc w:val="center"/>
                    <w:rPr>
                      <w:color w:val="000000" w:themeColor="text1"/>
                      <w:sz w:val="21"/>
                      <w:szCs w:val="21"/>
                      <w14:textFill>
                        <w14:solidFill>
                          <w14:schemeClr w14:val="tx1"/>
                        </w14:solidFill>
                      </w14:textFill>
                    </w:rPr>
                  </w:pPr>
                </w:p>
              </w:tc>
            </w:tr>
            <w:tr w14:paraId="7033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dxa"/>
                  <w:vMerge w:val="restart"/>
                  <w:vAlign w:val="center"/>
                </w:tcPr>
                <w:p w14:paraId="54AF56F9">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固体废物</w:t>
                  </w:r>
                </w:p>
              </w:tc>
              <w:tc>
                <w:tcPr>
                  <w:tcW w:w="2730" w:type="dxa"/>
                  <w:vAlign w:val="center"/>
                </w:tcPr>
                <w:p w14:paraId="65A87D46">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土石方</w:t>
                  </w:r>
                </w:p>
              </w:tc>
              <w:tc>
                <w:tcPr>
                  <w:tcW w:w="4139" w:type="dxa"/>
                  <w:vAlign w:val="center"/>
                </w:tcPr>
                <w:p w14:paraId="0BDAD913">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弃土回用于场地平整，做好弃土回填记录，回填量。</w:t>
                  </w:r>
                </w:p>
              </w:tc>
              <w:tc>
                <w:tcPr>
                  <w:tcW w:w="391" w:type="dxa"/>
                  <w:vMerge w:val="continue"/>
                  <w:vAlign w:val="center"/>
                </w:tcPr>
                <w:p w14:paraId="65C65DEE">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060E5DDD">
                  <w:pPr>
                    <w:keepNext/>
                    <w:keepLines/>
                    <w:spacing w:line="240" w:lineRule="auto"/>
                    <w:ind w:firstLine="0" w:firstLineChars="0"/>
                    <w:jc w:val="center"/>
                    <w:rPr>
                      <w:color w:val="000000" w:themeColor="text1"/>
                      <w:sz w:val="21"/>
                      <w:szCs w:val="21"/>
                      <w14:textFill>
                        <w14:solidFill>
                          <w14:schemeClr w14:val="tx1"/>
                        </w14:solidFill>
                      </w14:textFill>
                    </w:rPr>
                  </w:pPr>
                </w:p>
              </w:tc>
            </w:tr>
            <w:tr w14:paraId="1841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065D812C">
                  <w:pPr>
                    <w:keepNext/>
                    <w:keepLines/>
                    <w:spacing w:line="240" w:lineRule="auto"/>
                    <w:ind w:firstLine="0" w:firstLineChars="0"/>
                    <w:jc w:val="center"/>
                    <w:rPr>
                      <w:color w:val="000000" w:themeColor="text1"/>
                      <w:sz w:val="21"/>
                      <w:szCs w:val="21"/>
                      <w14:textFill>
                        <w14:solidFill>
                          <w14:schemeClr w14:val="tx1"/>
                        </w14:solidFill>
                      </w14:textFill>
                    </w:rPr>
                  </w:pPr>
                </w:p>
              </w:tc>
              <w:tc>
                <w:tcPr>
                  <w:tcW w:w="2730" w:type="dxa"/>
                  <w:vAlign w:val="center"/>
                </w:tcPr>
                <w:p w14:paraId="4C312311">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施工人员生活垃圾</w:t>
                  </w:r>
                </w:p>
              </w:tc>
              <w:tc>
                <w:tcPr>
                  <w:tcW w:w="4139" w:type="dxa"/>
                  <w:vAlign w:val="center"/>
                </w:tcPr>
                <w:p w14:paraId="141B11DA">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施工期生活垃圾集中收集后送生活垃圾收集点堆存，定期清运至环卫部门指定地点，交由环卫部门处置。</w:t>
                  </w:r>
                </w:p>
              </w:tc>
              <w:tc>
                <w:tcPr>
                  <w:tcW w:w="391" w:type="dxa"/>
                  <w:vMerge w:val="continue"/>
                  <w:vAlign w:val="center"/>
                </w:tcPr>
                <w:p w14:paraId="6D88A764">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2E8AA74F">
                  <w:pPr>
                    <w:keepNext/>
                    <w:keepLines/>
                    <w:spacing w:line="240" w:lineRule="auto"/>
                    <w:ind w:firstLine="0" w:firstLineChars="0"/>
                    <w:jc w:val="center"/>
                    <w:rPr>
                      <w:color w:val="000000" w:themeColor="text1"/>
                      <w:sz w:val="21"/>
                      <w:szCs w:val="21"/>
                      <w14:textFill>
                        <w14:solidFill>
                          <w14:schemeClr w14:val="tx1"/>
                        </w14:solidFill>
                      </w14:textFill>
                    </w:rPr>
                  </w:pPr>
                </w:p>
              </w:tc>
            </w:tr>
            <w:tr w14:paraId="1DCA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vAlign w:val="center"/>
                </w:tcPr>
                <w:p w14:paraId="1A0640FC">
                  <w:pPr>
                    <w:keepNext/>
                    <w:keepLines/>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w:t>
                  </w:r>
                </w:p>
              </w:tc>
              <w:tc>
                <w:tcPr>
                  <w:tcW w:w="2730" w:type="dxa"/>
                  <w:vAlign w:val="center"/>
                </w:tcPr>
                <w:p w14:paraId="7CF7D0A5">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回填区</w:t>
                  </w:r>
                </w:p>
              </w:tc>
              <w:tc>
                <w:tcPr>
                  <w:tcW w:w="4139" w:type="dxa"/>
                  <w:vMerge w:val="restart"/>
                  <w:vAlign w:val="center"/>
                </w:tcPr>
                <w:p w14:paraId="4A0C469F">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耕植土、粘土购买记录，入场检测记录，确保耕植土满足《土壤环境质量建设用地土壤污染风险管控标准（试行）》（</w:t>
                  </w:r>
                  <w:r>
                    <w:rPr>
                      <w:rFonts w:ascii="宋体" w:hAnsi="宋体" w:cs="宋体"/>
                      <w:color w:val="000000" w:themeColor="text1"/>
                      <w:kern w:val="0"/>
                      <w:sz w:val="21"/>
                      <w:szCs w:val="21"/>
                      <w:lang w:bidi="ar"/>
                      <w14:textFill>
                        <w14:solidFill>
                          <w14:schemeClr w14:val="tx1"/>
                        </w14:solidFill>
                      </w14:textFill>
                    </w:rPr>
                    <w:t>GB36600-2018</w:t>
                  </w:r>
                  <w:r>
                    <w:rPr>
                      <w:rFonts w:hint="eastAsia" w:ascii="宋体" w:hAnsi="宋体" w:cs="宋体"/>
                      <w:color w:val="000000" w:themeColor="text1"/>
                      <w:kern w:val="0"/>
                      <w:sz w:val="21"/>
                      <w:szCs w:val="21"/>
                      <w:lang w:bidi="ar"/>
                      <w14:textFill>
                        <w14:solidFill>
                          <w14:schemeClr w14:val="tx1"/>
                        </w14:solidFill>
                      </w14:textFill>
                    </w:rPr>
                    <w:t>）和《土壤环境质量农用地土壤污染风险管控标准（试行）》（</w:t>
                  </w:r>
                  <w:r>
                    <w:rPr>
                      <w:rFonts w:ascii="宋体" w:hAnsi="宋体" w:cs="宋体"/>
                      <w:color w:val="000000" w:themeColor="text1"/>
                      <w:kern w:val="0"/>
                      <w:sz w:val="21"/>
                      <w:szCs w:val="21"/>
                      <w:lang w:bidi="ar"/>
                      <w14:textFill>
                        <w14:solidFill>
                          <w14:schemeClr w14:val="tx1"/>
                        </w14:solidFill>
                      </w14:textFill>
                    </w:rPr>
                    <w:t>GB15618-2018</w:t>
                  </w:r>
                  <w:r>
                    <w:rPr>
                      <w:rFonts w:hint="eastAsia" w:ascii="宋体" w:hAnsi="宋体" w:cs="宋体"/>
                      <w:color w:val="000000" w:themeColor="text1"/>
                      <w:kern w:val="0"/>
                      <w:sz w:val="21"/>
                      <w:szCs w:val="21"/>
                      <w:lang w:bidi="ar"/>
                      <w14:textFill>
                        <w14:solidFill>
                          <w14:schemeClr w14:val="tx1"/>
                        </w14:solidFill>
                      </w14:textFill>
                    </w:rPr>
                    <w:t>）中标准限值要求。</w:t>
                  </w:r>
                </w:p>
                <w:p w14:paraId="53FE2531">
                  <w:pPr>
                    <w:widowControl/>
                    <w:spacing w:line="240" w:lineRule="auto"/>
                    <w:ind w:firstLine="0" w:firstLineChars="0"/>
                    <w:jc w:val="left"/>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定期养护、扶植，确保存活率。修复完成后开展生态调查及土壤跟踪监测</w:t>
                  </w:r>
                </w:p>
              </w:tc>
              <w:tc>
                <w:tcPr>
                  <w:tcW w:w="391" w:type="dxa"/>
                  <w:vMerge w:val="continue"/>
                  <w:vAlign w:val="center"/>
                </w:tcPr>
                <w:p w14:paraId="57E5A410">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1FD3DCCC">
                  <w:pPr>
                    <w:keepNext/>
                    <w:keepLines/>
                    <w:spacing w:line="240" w:lineRule="auto"/>
                    <w:ind w:firstLine="0" w:firstLineChars="0"/>
                    <w:jc w:val="center"/>
                    <w:rPr>
                      <w:color w:val="000000" w:themeColor="text1"/>
                      <w:sz w:val="21"/>
                      <w:szCs w:val="21"/>
                      <w14:textFill>
                        <w14:solidFill>
                          <w14:schemeClr w14:val="tx1"/>
                        </w14:solidFill>
                      </w14:textFill>
                    </w:rPr>
                  </w:pPr>
                </w:p>
              </w:tc>
            </w:tr>
            <w:tr w14:paraId="3337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708F7CA7">
                  <w:pPr>
                    <w:keepNext/>
                    <w:keepLines/>
                    <w:spacing w:line="240" w:lineRule="auto"/>
                    <w:ind w:firstLine="0" w:firstLineChars="0"/>
                    <w:jc w:val="center"/>
                    <w:rPr>
                      <w:color w:val="000000" w:themeColor="text1"/>
                      <w:sz w:val="21"/>
                      <w:szCs w:val="21"/>
                      <w14:textFill>
                        <w14:solidFill>
                          <w14:schemeClr w14:val="tx1"/>
                        </w14:solidFill>
                      </w14:textFill>
                    </w:rPr>
                  </w:pPr>
                </w:p>
              </w:tc>
              <w:tc>
                <w:tcPr>
                  <w:tcW w:w="2730" w:type="dxa"/>
                  <w:vAlign w:val="center"/>
                </w:tcPr>
                <w:p w14:paraId="4BAE0E9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非回填区</w:t>
                  </w:r>
                </w:p>
              </w:tc>
              <w:tc>
                <w:tcPr>
                  <w:tcW w:w="4139" w:type="dxa"/>
                  <w:vMerge w:val="continue"/>
                  <w:vAlign w:val="center"/>
                </w:tcPr>
                <w:p w14:paraId="6F72EE34">
                  <w:pPr>
                    <w:keepNext/>
                    <w:keepLines/>
                    <w:spacing w:line="240" w:lineRule="auto"/>
                    <w:ind w:firstLine="0" w:firstLineChars="0"/>
                    <w:jc w:val="center"/>
                    <w:rPr>
                      <w:color w:val="000000" w:themeColor="text1"/>
                      <w:sz w:val="21"/>
                      <w:szCs w:val="21"/>
                      <w14:textFill>
                        <w14:solidFill>
                          <w14:schemeClr w14:val="tx1"/>
                        </w14:solidFill>
                      </w14:textFill>
                    </w:rPr>
                  </w:pPr>
                </w:p>
              </w:tc>
              <w:tc>
                <w:tcPr>
                  <w:tcW w:w="391" w:type="dxa"/>
                  <w:vMerge w:val="continue"/>
                  <w:vAlign w:val="center"/>
                </w:tcPr>
                <w:p w14:paraId="27292CF0">
                  <w:pPr>
                    <w:keepNext/>
                    <w:keepLines/>
                    <w:spacing w:line="240" w:lineRule="auto"/>
                    <w:ind w:firstLine="0" w:firstLineChars="0"/>
                    <w:jc w:val="center"/>
                    <w:rPr>
                      <w:color w:val="000000" w:themeColor="text1"/>
                      <w:sz w:val="21"/>
                      <w:szCs w:val="21"/>
                      <w14:textFill>
                        <w14:solidFill>
                          <w14:schemeClr w14:val="tx1"/>
                        </w14:solidFill>
                      </w14:textFill>
                    </w:rPr>
                  </w:pPr>
                </w:p>
              </w:tc>
              <w:tc>
                <w:tcPr>
                  <w:tcW w:w="504" w:type="dxa"/>
                  <w:vMerge w:val="continue"/>
                  <w:vAlign w:val="center"/>
                </w:tcPr>
                <w:p w14:paraId="71ADCA54">
                  <w:pPr>
                    <w:keepNext/>
                    <w:keepLines/>
                    <w:spacing w:line="240" w:lineRule="auto"/>
                    <w:ind w:firstLine="0" w:firstLineChars="0"/>
                    <w:jc w:val="center"/>
                    <w:rPr>
                      <w:color w:val="000000" w:themeColor="text1"/>
                      <w:sz w:val="21"/>
                      <w:szCs w:val="21"/>
                      <w14:textFill>
                        <w14:solidFill>
                          <w14:schemeClr w14:val="tx1"/>
                        </w14:solidFill>
                      </w14:textFill>
                    </w:rPr>
                  </w:pPr>
                </w:p>
              </w:tc>
            </w:tr>
          </w:tbl>
          <w:p w14:paraId="00FACE76">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2、环境监测计划</w:t>
            </w:r>
          </w:p>
          <w:p w14:paraId="30CF2D2E">
            <w:pPr>
              <w:spacing w:line="240" w:lineRule="auto"/>
              <w:ind w:firstLine="0" w:firstLineChars="0"/>
              <w:jc w:val="center"/>
              <w:rPr>
                <w:rFonts w:hint="eastAsia" w:ascii="宋体" w:hAnsi="宋体" w:cs="宋体"/>
                <w:b/>
                <w:color w:val="000000" w:themeColor="text1"/>
                <w:sz w:val="24"/>
                <w:szCs w:val="24"/>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表5-</w:t>
            </w:r>
            <w:r>
              <w:rPr>
                <w:rFonts w:hint="eastAsia"/>
                <w:b/>
                <w:bCs/>
                <w:color w:val="000000" w:themeColor="text1"/>
                <w:kern w:val="0"/>
                <w:sz w:val="24"/>
                <w:szCs w:val="24"/>
                <w:lang w:val="en-US" w:eastAsia="zh-CN" w:bidi="ar"/>
                <w14:textFill>
                  <w14:solidFill>
                    <w14:schemeClr w14:val="tx1"/>
                  </w14:solidFill>
                </w14:textFill>
              </w:rPr>
              <w:t xml:space="preserve">4  </w:t>
            </w:r>
            <w:r>
              <w:rPr>
                <w:rFonts w:hint="eastAsia"/>
                <w:b/>
                <w:bCs/>
                <w:color w:val="000000" w:themeColor="text1"/>
                <w:kern w:val="0"/>
                <w:sz w:val="24"/>
                <w:szCs w:val="24"/>
                <w:lang w:bidi="ar"/>
                <w14:textFill>
                  <w14:solidFill>
                    <w14:schemeClr w14:val="tx1"/>
                  </w14:solidFill>
                </w14:textFill>
              </w:rPr>
              <w:t>环境监测计划一览表</w:t>
            </w:r>
          </w:p>
          <w:tbl>
            <w:tblPr>
              <w:tblStyle w:val="41"/>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00"/>
              <w:gridCol w:w="945"/>
              <w:gridCol w:w="1890"/>
              <w:gridCol w:w="1215"/>
              <w:gridCol w:w="2544"/>
            </w:tblGrid>
            <w:tr w14:paraId="0C2A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vAlign w:val="center"/>
                </w:tcPr>
                <w:p w14:paraId="17050CEA">
                  <w:pPr>
                    <w:widowControl/>
                    <w:spacing w:line="240" w:lineRule="auto"/>
                    <w:ind w:firstLine="0" w:firstLineChars="0"/>
                    <w:jc w:val="center"/>
                    <w:rPr>
                      <w:rFonts w:hint="eastAsia"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监测期</w:t>
                  </w:r>
                </w:p>
              </w:tc>
              <w:tc>
                <w:tcPr>
                  <w:tcW w:w="900" w:type="dxa"/>
                  <w:vAlign w:val="center"/>
                </w:tcPr>
                <w:p w14:paraId="37CD2BC3">
                  <w:pPr>
                    <w:widowControl/>
                    <w:spacing w:line="240" w:lineRule="auto"/>
                    <w:ind w:firstLine="0" w:firstLineChars="0"/>
                    <w:jc w:val="center"/>
                    <w:rPr>
                      <w:rFonts w:hint="eastAsia"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监测对象</w:t>
                  </w:r>
                </w:p>
              </w:tc>
              <w:tc>
                <w:tcPr>
                  <w:tcW w:w="945" w:type="dxa"/>
                  <w:vAlign w:val="center"/>
                </w:tcPr>
                <w:p w14:paraId="5514A341">
                  <w:pPr>
                    <w:widowControl/>
                    <w:spacing w:line="240" w:lineRule="auto"/>
                    <w:ind w:firstLine="0" w:firstLineChars="0"/>
                    <w:jc w:val="center"/>
                    <w:rPr>
                      <w:rFonts w:hint="eastAsia"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监测点</w:t>
                  </w:r>
                </w:p>
              </w:tc>
              <w:tc>
                <w:tcPr>
                  <w:tcW w:w="1890" w:type="dxa"/>
                  <w:vAlign w:val="center"/>
                </w:tcPr>
                <w:p w14:paraId="13C7DAD2">
                  <w:pPr>
                    <w:widowControl/>
                    <w:spacing w:line="240" w:lineRule="auto"/>
                    <w:ind w:firstLine="0" w:firstLineChars="0"/>
                    <w:jc w:val="center"/>
                    <w:rPr>
                      <w:rFonts w:hint="eastAsia"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监测内容</w:t>
                  </w:r>
                </w:p>
              </w:tc>
              <w:tc>
                <w:tcPr>
                  <w:tcW w:w="1215" w:type="dxa"/>
                  <w:vAlign w:val="center"/>
                </w:tcPr>
                <w:p w14:paraId="75225479">
                  <w:pPr>
                    <w:widowControl/>
                    <w:spacing w:line="240" w:lineRule="auto"/>
                    <w:ind w:firstLine="0" w:firstLineChars="0"/>
                    <w:jc w:val="center"/>
                    <w:rPr>
                      <w:rFonts w:hint="eastAsia"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监测频率</w:t>
                  </w:r>
                </w:p>
              </w:tc>
              <w:tc>
                <w:tcPr>
                  <w:tcW w:w="2544" w:type="dxa"/>
                  <w:vAlign w:val="center"/>
                </w:tcPr>
                <w:p w14:paraId="410F89E9">
                  <w:pPr>
                    <w:widowControl/>
                    <w:spacing w:line="240" w:lineRule="auto"/>
                    <w:ind w:firstLine="0" w:firstLineChars="0"/>
                    <w:jc w:val="center"/>
                    <w:rPr>
                      <w:rFonts w:hint="eastAsia" w:ascii="宋体" w:hAnsi="宋体" w:cs="宋体"/>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执行标准</w:t>
                  </w:r>
                </w:p>
              </w:tc>
            </w:tr>
            <w:tr w14:paraId="6BED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restart"/>
                  <w:vAlign w:val="center"/>
                </w:tcPr>
                <w:p w14:paraId="58B51707">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施工期</w:t>
                  </w:r>
                </w:p>
              </w:tc>
              <w:tc>
                <w:tcPr>
                  <w:tcW w:w="900" w:type="dxa"/>
                  <w:vAlign w:val="center"/>
                </w:tcPr>
                <w:p w14:paraId="364139BD">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大气</w:t>
                  </w:r>
                </w:p>
              </w:tc>
              <w:tc>
                <w:tcPr>
                  <w:tcW w:w="945" w:type="dxa"/>
                  <w:vAlign w:val="center"/>
                </w:tcPr>
                <w:p w14:paraId="7F50EB76">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项目生态修复区下风向</w:t>
                  </w:r>
                </w:p>
              </w:tc>
              <w:tc>
                <w:tcPr>
                  <w:tcW w:w="1890" w:type="dxa"/>
                  <w:vAlign w:val="center"/>
                </w:tcPr>
                <w:p w14:paraId="5E660BF8">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颗粒物</w:t>
                  </w:r>
                </w:p>
              </w:tc>
              <w:tc>
                <w:tcPr>
                  <w:tcW w:w="1215" w:type="dxa"/>
                  <w:vAlign w:val="center"/>
                </w:tcPr>
                <w:p w14:paraId="0BE61DE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每季度1次</w:t>
                  </w:r>
                </w:p>
              </w:tc>
              <w:tc>
                <w:tcPr>
                  <w:tcW w:w="2544" w:type="dxa"/>
                  <w:vAlign w:val="center"/>
                </w:tcPr>
                <w:p w14:paraId="16162DF1">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《大气污染物综合排放标准》（GB16297-1996）表2无组织排放标准限值</w:t>
                  </w:r>
                </w:p>
              </w:tc>
            </w:tr>
            <w:tr w14:paraId="4773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572234D0">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5650ECEC">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噪声</w:t>
                  </w:r>
                </w:p>
              </w:tc>
              <w:tc>
                <w:tcPr>
                  <w:tcW w:w="945" w:type="dxa"/>
                  <w:vAlign w:val="center"/>
                </w:tcPr>
                <w:p w14:paraId="799E0002">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修复区场界外1m</w:t>
                  </w:r>
                </w:p>
              </w:tc>
              <w:tc>
                <w:tcPr>
                  <w:tcW w:w="1890" w:type="dxa"/>
                  <w:vAlign w:val="center"/>
                </w:tcPr>
                <w:p w14:paraId="3D734A9B">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等效</w:t>
                  </w:r>
                  <w:r>
                    <w:rPr>
                      <w:rFonts w:ascii="宋体" w:hAnsi="宋体" w:cs="宋体"/>
                      <w:color w:val="000000" w:themeColor="text1"/>
                      <w:kern w:val="0"/>
                      <w:sz w:val="21"/>
                      <w:szCs w:val="21"/>
                      <w:lang w:bidi="ar"/>
                      <w14:textFill>
                        <w14:solidFill>
                          <w14:schemeClr w14:val="tx1"/>
                        </w14:solidFill>
                      </w14:textFill>
                    </w:rPr>
                    <w:t>A</w:t>
                  </w:r>
                  <w:r>
                    <w:rPr>
                      <w:rFonts w:hint="eastAsia" w:ascii="宋体" w:hAnsi="宋体" w:cs="宋体"/>
                      <w:color w:val="000000" w:themeColor="text1"/>
                      <w:kern w:val="0"/>
                      <w:sz w:val="21"/>
                      <w:szCs w:val="21"/>
                      <w:lang w:bidi="ar"/>
                      <w14:textFill>
                        <w14:solidFill>
                          <w14:schemeClr w14:val="tx1"/>
                        </w14:solidFill>
                      </w14:textFill>
                    </w:rPr>
                    <w:t>声级</w:t>
                  </w:r>
                </w:p>
              </w:tc>
              <w:tc>
                <w:tcPr>
                  <w:tcW w:w="1215" w:type="dxa"/>
                  <w:vAlign w:val="center"/>
                </w:tcPr>
                <w:p w14:paraId="0B01FC25">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每季度1次</w:t>
                  </w:r>
                </w:p>
              </w:tc>
              <w:tc>
                <w:tcPr>
                  <w:tcW w:w="2544" w:type="dxa"/>
                  <w:vAlign w:val="center"/>
                </w:tcPr>
                <w:p w14:paraId="6632D721">
                  <w:pPr>
                    <w:widowControl/>
                    <w:spacing w:line="240" w:lineRule="auto"/>
                    <w:ind w:firstLine="0" w:firstLineChars="0"/>
                    <w:jc w:val="center"/>
                    <w:rPr>
                      <w:rFonts w:hint="eastAsia" w:ascii="宋体" w:hAnsi="宋体" w:eastAsia="宋体" w:cs="宋体"/>
                      <w:color w:val="000000" w:themeColor="text1"/>
                      <w:kern w:val="0"/>
                      <w:sz w:val="21"/>
                      <w:szCs w:val="21"/>
                      <w:lang w:eastAsia="zh-CN" w:bidi="ar"/>
                      <w14:textFill>
                        <w14:solidFill>
                          <w14:schemeClr w14:val="tx1"/>
                        </w14:solidFill>
                      </w14:textFill>
                    </w:rPr>
                  </w:pPr>
                  <w:r>
                    <w:rPr>
                      <w:rFonts w:hint="eastAsia" w:ascii="宋体" w:hAnsi="宋体" w:cs="宋体"/>
                      <w:color w:val="000000" w:themeColor="text1"/>
                      <w:kern w:val="0"/>
                      <w:sz w:val="21"/>
                      <w:szCs w:val="21"/>
                      <w:lang w:eastAsia="zh-CN" w:bidi="ar"/>
                      <w14:textFill>
                        <w14:solidFill>
                          <w14:schemeClr w14:val="tx1"/>
                        </w14:solidFill>
                      </w14:textFill>
                    </w:rPr>
                    <w:t>《建筑施工场界环境噪声排放标准》（GB12523-2025）</w:t>
                  </w:r>
                </w:p>
              </w:tc>
            </w:tr>
            <w:tr w14:paraId="130B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46AFCA90">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60FADB3D">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声环境</w:t>
                  </w:r>
                </w:p>
              </w:tc>
              <w:tc>
                <w:tcPr>
                  <w:tcW w:w="945" w:type="dxa"/>
                  <w:vAlign w:val="center"/>
                </w:tcPr>
                <w:p w14:paraId="12B9A6B4">
                  <w:pPr>
                    <w:widowControl/>
                    <w:spacing w:line="240" w:lineRule="auto"/>
                    <w:ind w:firstLine="0" w:firstLineChars="0"/>
                    <w:jc w:val="center"/>
                    <w:rPr>
                      <w:rFonts w:hint="eastAsia" w:ascii="宋体" w:hAnsi="宋体" w:eastAsia="宋体" w:cs="宋体"/>
                      <w:color w:val="000000" w:themeColor="text1"/>
                      <w:kern w:val="0"/>
                      <w:sz w:val="21"/>
                      <w:szCs w:val="21"/>
                      <w:lang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厂界</w:t>
                  </w:r>
                </w:p>
              </w:tc>
              <w:tc>
                <w:tcPr>
                  <w:tcW w:w="1890" w:type="dxa"/>
                  <w:vAlign w:val="center"/>
                </w:tcPr>
                <w:p w14:paraId="773CFE4F">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昼、夜等效</w:t>
                  </w:r>
                  <w:r>
                    <w:rPr>
                      <w:rFonts w:ascii="宋体" w:hAnsi="宋体" w:cs="宋体"/>
                      <w:color w:val="000000" w:themeColor="text1"/>
                      <w:kern w:val="0"/>
                      <w:sz w:val="21"/>
                      <w:szCs w:val="21"/>
                      <w:lang w:bidi="ar"/>
                      <w14:textFill>
                        <w14:solidFill>
                          <w14:schemeClr w14:val="tx1"/>
                        </w14:solidFill>
                      </w14:textFill>
                    </w:rPr>
                    <w:t>A</w:t>
                  </w:r>
                  <w:r>
                    <w:rPr>
                      <w:rFonts w:hint="eastAsia" w:ascii="宋体" w:hAnsi="宋体" w:cs="宋体"/>
                      <w:color w:val="000000" w:themeColor="text1"/>
                      <w:kern w:val="0"/>
                      <w:sz w:val="21"/>
                      <w:szCs w:val="21"/>
                      <w:lang w:bidi="ar"/>
                      <w14:textFill>
                        <w14:solidFill>
                          <w14:schemeClr w14:val="tx1"/>
                        </w14:solidFill>
                      </w14:textFill>
                    </w:rPr>
                    <w:t>声级</w:t>
                  </w:r>
                </w:p>
              </w:tc>
              <w:tc>
                <w:tcPr>
                  <w:tcW w:w="1215" w:type="dxa"/>
                  <w:vAlign w:val="center"/>
                </w:tcPr>
                <w:p w14:paraId="79F5225E">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每季度1天</w:t>
                  </w:r>
                </w:p>
              </w:tc>
              <w:tc>
                <w:tcPr>
                  <w:tcW w:w="2544" w:type="dxa"/>
                  <w:vAlign w:val="center"/>
                </w:tcPr>
                <w:p w14:paraId="4C347226">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《声环境质量标准》GB 3096-2008 2类 标准</w:t>
                  </w:r>
                </w:p>
              </w:tc>
            </w:tr>
            <w:tr w14:paraId="22E6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4DB602C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5A95AC1D">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渗滤液</w:t>
                  </w:r>
                </w:p>
              </w:tc>
              <w:tc>
                <w:tcPr>
                  <w:tcW w:w="945" w:type="dxa"/>
                  <w:vAlign w:val="center"/>
                </w:tcPr>
                <w:p w14:paraId="3AF8BF3C">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渗滤液收集井</w:t>
                  </w:r>
                </w:p>
              </w:tc>
              <w:tc>
                <w:tcPr>
                  <w:tcW w:w="1890" w:type="dxa"/>
                  <w:vAlign w:val="center"/>
                </w:tcPr>
                <w:p w14:paraId="73CD2D72">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pH、磷酸盐、氟化物等</w:t>
                  </w:r>
                </w:p>
              </w:tc>
              <w:tc>
                <w:tcPr>
                  <w:tcW w:w="1215" w:type="dxa"/>
                  <w:vAlign w:val="center"/>
                </w:tcPr>
                <w:p w14:paraId="215567A6">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每季度1次</w:t>
                  </w:r>
                </w:p>
              </w:tc>
              <w:tc>
                <w:tcPr>
                  <w:tcW w:w="2544" w:type="dxa"/>
                  <w:vMerge w:val="restart"/>
                  <w:vAlign w:val="center"/>
                </w:tcPr>
                <w:p w14:paraId="6476213F">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《城市污水再生利用城市杂用水水质》（GB/T 18920-2020）中城市绿化、道路清扫、消防、建筑施工标准限值要求</w:t>
                  </w:r>
                </w:p>
              </w:tc>
            </w:tr>
            <w:tr w14:paraId="3DA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747" w:type="dxa"/>
                  <w:vMerge w:val="continue"/>
                  <w:vAlign w:val="center"/>
                </w:tcPr>
                <w:p w14:paraId="7951859B">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477F92C7">
                  <w:pPr>
                    <w:widowControl/>
                    <w:spacing w:line="240" w:lineRule="auto"/>
                    <w:ind w:firstLine="0" w:firstLineChars="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雨水收集池</w:t>
                  </w:r>
                </w:p>
              </w:tc>
              <w:tc>
                <w:tcPr>
                  <w:tcW w:w="945" w:type="dxa"/>
                  <w:vAlign w:val="center"/>
                </w:tcPr>
                <w:p w14:paraId="042EC5B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雨水收集池</w:t>
                  </w:r>
                </w:p>
              </w:tc>
              <w:tc>
                <w:tcPr>
                  <w:tcW w:w="1890" w:type="dxa"/>
                  <w:vAlign w:val="center"/>
                </w:tcPr>
                <w:p w14:paraId="1163ED20">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pH、BOD</w:t>
                  </w:r>
                  <w:r>
                    <w:rPr>
                      <w:rFonts w:hint="eastAsia" w:ascii="宋体" w:hAnsi="宋体" w:cs="宋体"/>
                      <w:color w:val="000000" w:themeColor="text1"/>
                      <w:kern w:val="0"/>
                      <w:sz w:val="21"/>
                      <w:szCs w:val="21"/>
                      <w:vertAlign w:val="subscript"/>
                      <w:lang w:bidi="ar"/>
                      <w14:textFill>
                        <w14:solidFill>
                          <w14:schemeClr w14:val="tx1"/>
                        </w14:solidFill>
                      </w14:textFill>
                    </w:rPr>
                    <w:t>5</w:t>
                  </w:r>
                  <w:r>
                    <w:rPr>
                      <w:rFonts w:hint="eastAsia" w:ascii="宋体" w:hAnsi="宋体" w:cs="宋体"/>
                      <w:color w:val="000000" w:themeColor="text1"/>
                      <w:kern w:val="0"/>
                      <w:sz w:val="21"/>
                      <w:szCs w:val="21"/>
                      <w:lang w:bidi="ar"/>
                      <w14:textFill>
                        <w14:solidFill>
                          <w14:schemeClr w14:val="tx1"/>
                        </w14:solidFill>
                      </w14:textFill>
                    </w:rPr>
                    <w:t>、氨氮等</w:t>
                  </w:r>
                </w:p>
              </w:tc>
              <w:tc>
                <w:tcPr>
                  <w:tcW w:w="1215" w:type="dxa"/>
                  <w:vAlign w:val="center"/>
                </w:tcPr>
                <w:p w14:paraId="418CB0D4">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每季度1次</w:t>
                  </w:r>
                </w:p>
              </w:tc>
              <w:tc>
                <w:tcPr>
                  <w:tcW w:w="2544" w:type="dxa"/>
                  <w:vMerge w:val="continue"/>
                  <w:vAlign w:val="center"/>
                </w:tcPr>
                <w:p w14:paraId="4D688470">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r>
            <w:tr w14:paraId="4A07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4A8DE705">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40E491B1">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地表水</w:t>
                  </w:r>
                </w:p>
              </w:tc>
              <w:tc>
                <w:tcPr>
                  <w:tcW w:w="945" w:type="dxa"/>
                  <w:vAlign w:val="center"/>
                </w:tcPr>
                <w:p w14:paraId="1BB61C34">
                  <w:pPr>
                    <w:widowControl/>
                    <w:spacing w:line="240" w:lineRule="auto"/>
                    <w:ind w:firstLine="0" w:firstLineChars="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龙潭河</w:t>
                  </w:r>
                </w:p>
              </w:tc>
              <w:tc>
                <w:tcPr>
                  <w:tcW w:w="1890" w:type="dxa"/>
                  <w:vAlign w:val="center"/>
                </w:tcPr>
                <w:p w14:paraId="3464B5C2">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总磷、氟化物、pH、化学需氧量、氨氮、铜、锌、砷、汞、镉、铬、铅</w:t>
                  </w:r>
                </w:p>
              </w:tc>
              <w:tc>
                <w:tcPr>
                  <w:tcW w:w="1215" w:type="dxa"/>
                  <w:vAlign w:val="center"/>
                </w:tcPr>
                <w:p w14:paraId="169D962A">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每季度1次</w:t>
                  </w:r>
                </w:p>
              </w:tc>
              <w:tc>
                <w:tcPr>
                  <w:tcW w:w="2544" w:type="dxa"/>
                  <w:vAlign w:val="center"/>
                </w:tcPr>
                <w:p w14:paraId="3696960F">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《地表水环境质量标准》（GB3838-2002）</w:t>
                  </w:r>
                  <w:r>
                    <w:rPr>
                      <w:rFonts w:hint="eastAsia" w:ascii="方正仿宋_GB2312" w:hAnsi="方正仿宋_GB2312" w:eastAsia="方正仿宋_GB2312" w:cs="方正仿宋_GB2312"/>
                      <w:color w:val="000000" w:themeColor="text1"/>
                      <w14:textFill>
                        <w14:solidFill>
                          <w14:schemeClr w14:val="tx1"/>
                        </w14:solidFill>
                      </w14:textFill>
                    </w:rPr>
                    <w:t>Ⅲ</w:t>
                  </w:r>
                  <w:r>
                    <w:rPr>
                      <w:rFonts w:hint="eastAsia" w:ascii="宋体" w:hAnsi="宋体" w:cs="宋体"/>
                      <w:color w:val="000000" w:themeColor="text1"/>
                      <w:kern w:val="0"/>
                      <w:sz w:val="21"/>
                      <w:szCs w:val="21"/>
                      <w:lang w:bidi="ar"/>
                      <w14:textFill>
                        <w14:solidFill>
                          <w14:schemeClr w14:val="tx1"/>
                        </w14:solidFill>
                      </w14:textFill>
                    </w:rPr>
                    <w:t>类标准</w:t>
                  </w:r>
                </w:p>
              </w:tc>
            </w:tr>
            <w:tr w14:paraId="0B3D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214F1788">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72466FCE">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地下水</w:t>
                  </w:r>
                </w:p>
              </w:tc>
              <w:tc>
                <w:tcPr>
                  <w:tcW w:w="945" w:type="dxa"/>
                  <w:vAlign w:val="center"/>
                </w:tcPr>
                <w:p w14:paraId="133C22E8">
                  <w:pPr>
                    <w:widowControl/>
                    <w:spacing w:line="240" w:lineRule="auto"/>
                    <w:ind w:firstLine="0" w:firstLineChars="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地下水</w:t>
                  </w:r>
                  <w:r>
                    <w:rPr>
                      <w:rFonts w:hint="eastAsia" w:ascii="宋体" w:hAnsi="宋体" w:cs="宋体"/>
                      <w:color w:val="000000" w:themeColor="text1"/>
                      <w:kern w:val="0"/>
                      <w:sz w:val="21"/>
                      <w:szCs w:val="21"/>
                      <w:lang w:val="en-US" w:eastAsia="zh-CN" w:bidi="ar"/>
                      <w14:textFill>
                        <w14:solidFill>
                          <w14:schemeClr w14:val="tx1"/>
                        </w14:solidFill>
                      </w14:textFill>
                    </w:rPr>
                    <w:t>水质</w:t>
                  </w:r>
                  <w:r>
                    <w:rPr>
                      <w:rFonts w:hint="eastAsia" w:ascii="宋体" w:hAnsi="宋体" w:cs="宋体"/>
                      <w:color w:val="000000" w:themeColor="text1"/>
                      <w:kern w:val="0"/>
                      <w:sz w:val="21"/>
                      <w:szCs w:val="21"/>
                      <w:lang w:bidi="ar"/>
                      <w14:textFill>
                        <w14:solidFill>
                          <w14:schemeClr w14:val="tx1"/>
                        </w14:solidFill>
                      </w14:textFill>
                    </w:rPr>
                    <w:t>监控井</w:t>
                  </w:r>
                  <w:r>
                    <w:rPr>
                      <w:rFonts w:hint="eastAsia" w:ascii="宋体" w:hAnsi="宋体" w:cs="宋体"/>
                      <w:color w:val="000000" w:themeColor="text1"/>
                      <w:kern w:val="0"/>
                      <w:sz w:val="21"/>
                      <w:szCs w:val="21"/>
                      <w:lang w:eastAsia="zh-CN" w:bidi="ar"/>
                      <w14:textFill>
                        <w14:solidFill>
                          <w14:schemeClr w14:val="tx1"/>
                        </w14:solidFill>
                      </w14:textFill>
                    </w:rPr>
                    <w:t>、</w:t>
                  </w:r>
                  <w:r>
                    <w:rPr>
                      <w:rFonts w:hint="eastAsia" w:ascii="宋体" w:hAnsi="宋体" w:cs="宋体"/>
                      <w:color w:val="000000" w:themeColor="text1"/>
                      <w:kern w:val="0"/>
                      <w:sz w:val="21"/>
                      <w:szCs w:val="21"/>
                      <w:lang w:val="en-US" w:eastAsia="zh-CN" w:bidi="ar"/>
                      <w14:textFill>
                        <w14:solidFill>
                          <w14:schemeClr w14:val="tx1"/>
                        </w14:solidFill>
                      </w14:textFill>
                    </w:rPr>
                    <w:t>地下水收集井</w:t>
                  </w:r>
                </w:p>
              </w:tc>
              <w:tc>
                <w:tcPr>
                  <w:tcW w:w="1890" w:type="dxa"/>
                  <w:vAlign w:val="center"/>
                </w:tcPr>
                <w:p w14:paraId="0513D582">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pH、氟化物、氯化物、硫酸盐、硝酸盐、亚硝酸盐、铜、锌、汞、砷、硒、镉、铬、铅</w:t>
                  </w:r>
                </w:p>
              </w:tc>
              <w:tc>
                <w:tcPr>
                  <w:tcW w:w="1215" w:type="dxa"/>
                  <w:vAlign w:val="center"/>
                </w:tcPr>
                <w:p w14:paraId="64F28AAE">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每年在丰水期、枯水期各监测一次</w:t>
                  </w:r>
                </w:p>
              </w:tc>
              <w:tc>
                <w:tcPr>
                  <w:tcW w:w="2544" w:type="dxa"/>
                  <w:vAlign w:val="center"/>
                </w:tcPr>
                <w:p w14:paraId="47BF26BA">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《地下水质量标准》（GB/T14848-217）Ⅲ类标准</w:t>
                  </w:r>
                </w:p>
              </w:tc>
            </w:tr>
            <w:tr w14:paraId="2319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5391AC88">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1694AEEE">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生态修复材料</w:t>
                  </w:r>
                </w:p>
              </w:tc>
              <w:tc>
                <w:tcPr>
                  <w:tcW w:w="945" w:type="dxa"/>
                  <w:vAlign w:val="center"/>
                </w:tcPr>
                <w:p w14:paraId="6107ABE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生态修复材料来源地</w:t>
                  </w:r>
                </w:p>
              </w:tc>
              <w:tc>
                <w:tcPr>
                  <w:tcW w:w="1890" w:type="dxa"/>
                  <w:vAlign w:val="center"/>
                </w:tcPr>
                <w:p w14:paraId="7E5B067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pH、氟化物、磷酸盐、总汞、总镉、总铬、六价铬、总砷、总铅、总镍、总锌、总铍、总银、烷基汞</w:t>
                  </w:r>
                </w:p>
              </w:tc>
              <w:tc>
                <w:tcPr>
                  <w:tcW w:w="1215" w:type="dxa"/>
                  <w:vAlign w:val="center"/>
                </w:tcPr>
                <w:p w14:paraId="05144154">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每一批次均需要检测</w:t>
                  </w:r>
                </w:p>
              </w:tc>
              <w:tc>
                <w:tcPr>
                  <w:tcW w:w="2544" w:type="dxa"/>
                  <w:vAlign w:val="center"/>
                </w:tcPr>
                <w:p w14:paraId="751AE03F">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满足《改性磷石膏用于矿山废弃地生态修复回填技术规范》（DB53/T1269-2024）、《磷石膏的处理处置规范》（GB/T 32124-2024）</w:t>
                  </w:r>
                  <w:r>
                    <w:rPr>
                      <w:rFonts w:hint="eastAsia"/>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《磷石膏利用和无害化贮存污染控制技术规范》（HJ1415—2025）</w:t>
                  </w:r>
                  <w:r>
                    <w:rPr>
                      <w:rFonts w:hint="eastAsia"/>
                      <w:color w:val="000000" w:themeColor="text1"/>
                      <w:sz w:val="21"/>
                      <w:szCs w:val="21"/>
                      <w14:textFill>
                        <w14:solidFill>
                          <w14:schemeClr w14:val="tx1"/>
                        </w14:solidFill>
                      </w14:textFill>
                    </w:rPr>
                    <w:t>相关要求。</w:t>
                  </w:r>
                </w:p>
              </w:tc>
            </w:tr>
            <w:tr w14:paraId="4681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2D3E3625">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46AFFC50">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耕植土</w:t>
                  </w:r>
                </w:p>
              </w:tc>
              <w:tc>
                <w:tcPr>
                  <w:tcW w:w="945" w:type="dxa"/>
                  <w:vAlign w:val="center"/>
                </w:tcPr>
                <w:p w14:paraId="686F5EDA">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耕植土</w:t>
                  </w:r>
                </w:p>
              </w:tc>
              <w:tc>
                <w:tcPr>
                  <w:tcW w:w="1890" w:type="dxa"/>
                  <w:vAlign w:val="center"/>
                </w:tcPr>
                <w:p w14:paraId="1396D094">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pH、氟化物</w:t>
                  </w:r>
                </w:p>
              </w:tc>
              <w:tc>
                <w:tcPr>
                  <w:tcW w:w="1215" w:type="dxa"/>
                  <w:vAlign w:val="center"/>
                </w:tcPr>
                <w:p w14:paraId="1BCC6927">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每一批次均需要检测</w:t>
                  </w:r>
                </w:p>
              </w:tc>
              <w:tc>
                <w:tcPr>
                  <w:tcW w:w="2544" w:type="dxa"/>
                  <w:vAlign w:val="center"/>
                </w:tcPr>
                <w:p w14:paraId="0BEAB72A">
                  <w:pPr>
                    <w:widowControl/>
                    <w:spacing w:line="240" w:lineRule="auto"/>
                    <w:ind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满足《土壤环境质量农用地土</w:t>
                  </w:r>
                  <w:r>
                    <w:rPr>
                      <w:rFonts w:hint="eastAsia" w:ascii="宋体" w:hAnsi="宋体" w:cs="宋体"/>
                      <w:color w:val="000000" w:themeColor="text1"/>
                      <w:kern w:val="0"/>
                      <w:sz w:val="21"/>
                      <w:szCs w:val="21"/>
                      <w:lang w:eastAsia="zh-CN" w:bidi="ar"/>
                      <w14:textFill>
                        <w14:solidFill>
                          <w14:schemeClr w14:val="tx1"/>
                        </w14:solidFill>
                      </w14:textFill>
                    </w:rPr>
                    <w:t>壤</w:t>
                  </w:r>
                  <w:r>
                    <w:rPr>
                      <w:rFonts w:hint="eastAsia" w:ascii="宋体" w:hAnsi="宋体" w:cs="宋体"/>
                      <w:color w:val="000000" w:themeColor="text1"/>
                      <w:kern w:val="0"/>
                      <w:sz w:val="21"/>
                      <w:szCs w:val="21"/>
                      <w:lang w:bidi="ar"/>
                      <w14:textFill>
                        <w14:solidFill>
                          <w14:schemeClr w14:val="tx1"/>
                        </w14:solidFill>
                      </w14:textFill>
                    </w:rPr>
                    <w:t>污染风险管控标准（试行）》（</w:t>
                  </w:r>
                  <w:r>
                    <w:rPr>
                      <w:rFonts w:ascii="宋体" w:hAnsi="宋体" w:cs="宋体"/>
                      <w:color w:val="000000" w:themeColor="text1"/>
                      <w:kern w:val="0"/>
                      <w:sz w:val="21"/>
                      <w:szCs w:val="21"/>
                      <w:lang w:bidi="ar"/>
                      <w14:textFill>
                        <w14:solidFill>
                          <w14:schemeClr w14:val="tx1"/>
                        </w14:solidFill>
                      </w14:textFill>
                    </w:rPr>
                    <w:t>GB15618-2018</w:t>
                  </w:r>
                  <w:r>
                    <w:rPr>
                      <w:rFonts w:hint="eastAsia" w:ascii="宋体" w:hAnsi="宋体" w:cs="宋体"/>
                      <w:color w:val="000000" w:themeColor="text1"/>
                      <w:kern w:val="0"/>
                      <w:sz w:val="21"/>
                      <w:szCs w:val="21"/>
                      <w:lang w:bidi="ar"/>
                      <w14:textFill>
                        <w14:solidFill>
                          <w14:schemeClr w14:val="tx1"/>
                        </w14:solidFill>
                      </w14:textFill>
                    </w:rPr>
                    <w:t>）中标准限值。</w:t>
                  </w:r>
                </w:p>
              </w:tc>
            </w:tr>
            <w:tr w14:paraId="2088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738C0BE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5EB1D876">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土壤</w:t>
                  </w:r>
                </w:p>
              </w:tc>
              <w:tc>
                <w:tcPr>
                  <w:tcW w:w="945" w:type="dxa"/>
                  <w:vAlign w:val="center"/>
                </w:tcPr>
                <w:p w14:paraId="67CA1995">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设置4个监测点</w:t>
                  </w:r>
                </w:p>
              </w:tc>
              <w:tc>
                <w:tcPr>
                  <w:tcW w:w="1890" w:type="dxa"/>
                  <w:vAlign w:val="center"/>
                </w:tcPr>
                <w:p w14:paraId="4F44467D">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pH、氟化物、铜、铅、锌、镉、砷、汞</w:t>
                  </w:r>
                </w:p>
              </w:tc>
              <w:tc>
                <w:tcPr>
                  <w:tcW w:w="1215" w:type="dxa"/>
                  <w:vAlign w:val="center"/>
                </w:tcPr>
                <w:p w14:paraId="09510FB1">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每年1次</w:t>
                  </w:r>
                </w:p>
              </w:tc>
              <w:tc>
                <w:tcPr>
                  <w:tcW w:w="2544" w:type="dxa"/>
                  <w:vAlign w:val="center"/>
                </w:tcPr>
                <w:p w14:paraId="05D3AA7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满足《土壤环境质量建设用地土壤污染风险管控标准（试行）》（</w:t>
                  </w:r>
                  <w:r>
                    <w:rPr>
                      <w:color w:val="000000" w:themeColor="text1"/>
                      <w:sz w:val="21"/>
                      <w:szCs w:val="21"/>
                      <w:lang w:val="en-US"/>
                      <w14:textFill>
                        <w14:solidFill>
                          <w14:schemeClr w14:val="tx1"/>
                        </w14:solidFill>
                      </w14:textFill>
                    </w:rPr>
                    <w:t>GB36600-2018</w:t>
                  </w:r>
                  <w:r>
                    <w:rPr>
                      <w:rFonts w:hint="eastAsia"/>
                      <w:color w:val="000000" w:themeColor="text1"/>
                      <w:sz w:val="21"/>
                      <w:szCs w:val="21"/>
                      <w:lang w:val="en-US"/>
                      <w14:textFill>
                        <w14:solidFill>
                          <w14:schemeClr w14:val="tx1"/>
                        </w14:solidFill>
                      </w14:textFill>
                    </w:rPr>
                    <w:t>）和《土壤环境质量农用地土壤污染风险管控标准（试行）》</w:t>
                  </w:r>
                </w:p>
                <w:p w14:paraId="243F03FA">
                  <w:pPr>
                    <w:pStyle w:val="72"/>
                    <w:adjustRightInd w:val="0"/>
                    <w:spacing w:line="240" w:lineRule="auto"/>
                    <w:ind w:firstLine="0" w:firstLineChars="0"/>
                    <w:jc w:val="center"/>
                    <w:rPr>
                      <w:rFonts w:hint="eastAsia" w:ascii="宋体" w:hAnsi="宋体" w:cs="宋体"/>
                      <w:color w:val="000000" w:themeColor="text1"/>
                      <w:kern w:val="0"/>
                      <w:sz w:val="21"/>
                      <w:szCs w:val="21"/>
                      <w:lang w:val="en-US" w:bidi="ar"/>
                      <w14:textFill>
                        <w14:solidFill>
                          <w14:schemeClr w14:val="tx1"/>
                        </w14:solidFill>
                      </w14:textFill>
                    </w:rPr>
                  </w:pP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）中标准限值</w:t>
                  </w:r>
                </w:p>
              </w:tc>
            </w:tr>
            <w:tr w14:paraId="7FA2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restart"/>
                  <w:vAlign w:val="center"/>
                </w:tcPr>
                <w:p w14:paraId="28125D34">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运营期</w:t>
                  </w:r>
                </w:p>
              </w:tc>
              <w:tc>
                <w:tcPr>
                  <w:tcW w:w="900" w:type="dxa"/>
                  <w:vAlign w:val="center"/>
                </w:tcPr>
                <w:p w14:paraId="638E59B9">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地下水</w:t>
                  </w:r>
                </w:p>
              </w:tc>
              <w:tc>
                <w:tcPr>
                  <w:tcW w:w="945" w:type="dxa"/>
                  <w:vAlign w:val="center"/>
                </w:tcPr>
                <w:p w14:paraId="29C052E5">
                  <w:pPr>
                    <w:pStyle w:val="6"/>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firstLineChars="0"/>
                    <w:textAlignment w:val="auto"/>
                    <w:rPr>
                      <w:color w:val="000000" w:themeColor="text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地</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下水水质监控井、地下水收集井</w:t>
                  </w:r>
                </w:p>
                <w:p w14:paraId="5238D21D">
                  <w:pPr>
                    <w:pStyle w:val="6"/>
                    <w:ind w:firstLine="602"/>
                    <w:rPr>
                      <w:color w:val="000000" w:themeColor="text1"/>
                      <w14:textFill>
                        <w14:solidFill>
                          <w14:schemeClr w14:val="tx1"/>
                        </w14:solidFill>
                      </w14:textFill>
                    </w:rPr>
                  </w:pPr>
                </w:p>
              </w:tc>
              <w:tc>
                <w:tcPr>
                  <w:tcW w:w="1890" w:type="dxa"/>
                  <w:vAlign w:val="center"/>
                </w:tcPr>
                <w:p w14:paraId="68E181D7">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pH、氟化物、氯化物、硫酸盐、硝酸盐、亚硝酸盐、铜、锌、汞、砷、硒、镉、铬、铅、总磷</w:t>
                  </w:r>
                </w:p>
              </w:tc>
              <w:tc>
                <w:tcPr>
                  <w:tcW w:w="1215" w:type="dxa"/>
                  <w:vAlign w:val="center"/>
                </w:tcPr>
                <w:p w14:paraId="2E3F171C">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每年在丰水期、枯水期各监测一次，直到相关指标连续3年内，年均检测指标持续稳定，特征指标不呈上升趋势</w:t>
                  </w:r>
                </w:p>
              </w:tc>
              <w:tc>
                <w:tcPr>
                  <w:tcW w:w="2544" w:type="dxa"/>
                  <w:vAlign w:val="center"/>
                </w:tcPr>
                <w:p w14:paraId="4566464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《地下水质量标准》（GB/T14848-217）Ⅲ类标准</w:t>
                  </w:r>
                </w:p>
              </w:tc>
            </w:tr>
            <w:tr w14:paraId="10D2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1952E303">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1BDBAE0D">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地表水</w:t>
                  </w:r>
                </w:p>
              </w:tc>
              <w:tc>
                <w:tcPr>
                  <w:tcW w:w="945" w:type="dxa"/>
                  <w:vAlign w:val="center"/>
                </w:tcPr>
                <w:p w14:paraId="55B0F8E5">
                  <w:pPr>
                    <w:widowControl/>
                    <w:spacing w:line="240" w:lineRule="auto"/>
                    <w:ind w:firstLine="0" w:firstLineChars="0"/>
                    <w:jc w:val="center"/>
                    <w:rPr>
                      <w:rFonts w:hint="eastAsia" w:ascii="宋体" w:hAnsi="宋体" w:eastAsia="宋体" w:cs="宋体"/>
                      <w:color w:val="000000" w:themeColor="text1"/>
                      <w:kern w:val="0"/>
                      <w:sz w:val="21"/>
                      <w:szCs w:val="21"/>
                      <w:lang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龙潭河</w:t>
                  </w:r>
                </w:p>
              </w:tc>
              <w:tc>
                <w:tcPr>
                  <w:tcW w:w="1890" w:type="dxa"/>
                  <w:vAlign w:val="center"/>
                </w:tcPr>
                <w:p w14:paraId="014950AC">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总磷、氟化物、pH、化学需氧量、氨氮、铜、锌、砷、汞、镉、铬、铅</w:t>
                  </w:r>
                </w:p>
              </w:tc>
              <w:tc>
                <w:tcPr>
                  <w:tcW w:w="1215" w:type="dxa"/>
                  <w:vAlign w:val="center"/>
                </w:tcPr>
                <w:p w14:paraId="74A8840A">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每季度1次，</w:t>
                  </w:r>
                  <w:r>
                    <w:rPr>
                      <w:rFonts w:hint="eastAsia"/>
                      <w:color w:val="000000" w:themeColor="text1"/>
                      <w:sz w:val="21"/>
                      <w:szCs w:val="21"/>
                      <w14:textFill>
                        <w14:solidFill>
                          <w14:schemeClr w14:val="tx1"/>
                        </w14:solidFill>
                      </w14:textFill>
                    </w:rPr>
                    <w:t>直到相关指标连续3年内，年均检测指标持续稳定，特征指标不呈上升趋势</w:t>
                  </w:r>
                </w:p>
              </w:tc>
              <w:tc>
                <w:tcPr>
                  <w:tcW w:w="2544" w:type="dxa"/>
                  <w:vAlign w:val="center"/>
                </w:tcPr>
                <w:p w14:paraId="7FDE5E41">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《地表水环境质量标准》（GB3838-2002）</w:t>
                  </w:r>
                  <w:r>
                    <w:rPr>
                      <w:rFonts w:hint="eastAsia" w:ascii="方正仿宋_GB2312" w:hAnsi="方正仿宋_GB2312" w:eastAsia="方正仿宋_GB2312" w:cs="方正仿宋_GB2312"/>
                      <w:color w:val="000000" w:themeColor="text1"/>
                      <w14:textFill>
                        <w14:solidFill>
                          <w14:schemeClr w14:val="tx1"/>
                        </w14:solidFill>
                      </w14:textFill>
                    </w:rPr>
                    <w:t>Ⅲ</w:t>
                  </w:r>
                  <w:r>
                    <w:rPr>
                      <w:rFonts w:hint="eastAsia" w:ascii="宋体" w:hAnsi="宋体" w:cs="宋体"/>
                      <w:color w:val="000000" w:themeColor="text1"/>
                      <w:kern w:val="0"/>
                      <w:sz w:val="21"/>
                      <w:szCs w:val="21"/>
                      <w:lang w:bidi="ar"/>
                      <w14:textFill>
                        <w14:solidFill>
                          <w14:schemeClr w14:val="tx1"/>
                        </w14:solidFill>
                      </w14:textFill>
                    </w:rPr>
                    <w:t>类标准</w:t>
                  </w:r>
                </w:p>
              </w:tc>
            </w:tr>
            <w:tr w14:paraId="6DD7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trPr>
              <w:tc>
                <w:tcPr>
                  <w:tcW w:w="747" w:type="dxa"/>
                  <w:vMerge w:val="continue"/>
                  <w:vAlign w:val="center"/>
                </w:tcPr>
                <w:p w14:paraId="0432E96B">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p>
              </w:tc>
              <w:tc>
                <w:tcPr>
                  <w:tcW w:w="900" w:type="dxa"/>
                  <w:vAlign w:val="center"/>
                </w:tcPr>
                <w:p w14:paraId="3031714F">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土壤</w:t>
                  </w:r>
                </w:p>
              </w:tc>
              <w:tc>
                <w:tcPr>
                  <w:tcW w:w="945" w:type="dxa"/>
                  <w:vAlign w:val="center"/>
                </w:tcPr>
                <w:p w14:paraId="73D4A974">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设置4个监测点</w:t>
                  </w:r>
                </w:p>
              </w:tc>
              <w:tc>
                <w:tcPr>
                  <w:tcW w:w="1890" w:type="dxa"/>
                  <w:vAlign w:val="center"/>
                </w:tcPr>
                <w:p w14:paraId="4075CB77">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pH、氟化物、铜、铅、锌、镉、砷、汞</w:t>
                  </w:r>
                </w:p>
              </w:tc>
              <w:tc>
                <w:tcPr>
                  <w:tcW w:w="1215" w:type="dxa"/>
                  <w:vAlign w:val="center"/>
                </w:tcPr>
                <w:p w14:paraId="020B65AE">
                  <w:pPr>
                    <w:widowControl/>
                    <w:spacing w:line="240" w:lineRule="auto"/>
                    <w:ind w:firstLine="0" w:firstLineChars="0"/>
                    <w:jc w:val="center"/>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每年1次，</w:t>
                  </w:r>
                  <w:r>
                    <w:rPr>
                      <w:rFonts w:hint="eastAsia"/>
                      <w:color w:val="000000" w:themeColor="text1"/>
                      <w:sz w:val="21"/>
                      <w:szCs w:val="21"/>
                      <w14:textFill>
                        <w14:solidFill>
                          <w14:schemeClr w14:val="tx1"/>
                        </w14:solidFill>
                      </w14:textFill>
                    </w:rPr>
                    <w:t>直到相关指标连续3年内，年均检测指标持续稳定，特征指标不呈上升趋势</w:t>
                  </w:r>
                </w:p>
              </w:tc>
              <w:tc>
                <w:tcPr>
                  <w:tcW w:w="2544" w:type="dxa"/>
                  <w:vAlign w:val="center"/>
                </w:tcPr>
                <w:p w14:paraId="0A4888B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满足《土壤环境质量建设用地土壤污染风险管控标准（试行）》（</w:t>
                  </w:r>
                  <w:r>
                    <w:rPr>
                      <w:color w:val="000000" w:themeColor="text1"/>
                      <w:sz w:val="21"/>
                      <w:szCs w:val="21"/>
                      <w:lang w:val="en-US"/>
                      <w14:textFill>
                        <w14:solidFill>
                          <w14:schemeClr w14:val="tx1"/>
                        </w14:solidFill>
                      </w14:textFill>
                    </w:rPr>
                    <w:t>GB36600-2018</w:t>
                  </w:r>
                  <w:r>
                    <w:rPr>
                      <w:rFonts w:hint="eastAsia"/>
                      <w:color w:val="000000" w:themeColor="text1"/>
                      <w:sz w:val="21"/>
                      <w:szCs w:val="21"/>
                      <w:lang w:val="en-US"/>
                      <w14:textFill>
                        <w14:solidFill>
                          <w14:schemeClr w14:val="tx1"/>
                        </w14:solidFill>
                      </w14:textFill>
                    </w:rPr>
                    <w:t>）和《土壤环境质量农用地土壤污染风险管控标准（试行）》</w:t>
                  </w:r>
                </w:p>
                <w:p w14:paraId="1BB0EF42">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）相关要求</w:t>
                  </w:r>
                </w:p>
              </w:tc>
            </w:tr>
          </w:tbl>
          <w:p w14:paraId="7D464C62">
            <w:pPr>
              <w:pStyle w:val="72"/>
              <w:adjustRightInd w:val="0"/>
              <w:ind w:firstLine="496"/>
              <w:jc w:val="center"/>
              <w:rPr>
                <w:color w:val="000000" w:themeColor="text1"/>
                <w:lang w:val="en-US"/>
                <w14:textFill>
                  <w14:solidFill>
                    <w14:schemeClr w14:val="tx1"/>
                  </w14:solidFill>
                </w14:textFill>
              </w:rPr>
            </w:pPr>
          </w:p>
        </w:tc>
      </w:tr>
      <w:tr w14:paraId="377E1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088D180D">
            <w:pPr>
              <w:adjustRightInd w:val="0"/>
              <w:snapToGrid w:val="0"/>
              <w:spacing w:line="240" w:lineRule="auto"/>
              <w:ind w:firstLine="0" w:firstLineChars="0"/>
              <w:jc w:val="center"/>
              <w:rPr>
                <w:bCs/>
                <w:color w:val="000000" w:themeColor="text1"/>
                <w:spacing w:val="10"/>
                <w:szCs w:val="21"/>
                <w14:textFill>
                  <w14:solidFill>
                    <w14:schemeClr w14:val="tx1"/>
                  </w14:solidFill>
                </w14:textFill>
              </w:rPr>
            </w:pPr>
            <w:r>
              <w:rPr>
                <w:rFonts w:hint="eastAsia"/>
                <w:bCs/>
                <w:color w:val="000000" w:themeColor="text1"/>
                <w:szCs w:val="21"/>
                <w14:textFill>
                  <w14:solidFill>
                    <w14:schemeClr w14:val="tx1"/>
                  </w14:solidFill>
                </w14:textFill>
              </w:rPr>
              <w:t>环保投资</w:t>
            </w:r>
          </w:p>
        </w:tc>
        <w:tc>
          <w:tcPr>
            <w:tcW w:w="8457" w:type="dxa"/>
          </w:tcPr>
          <w:p w14:paraId="27E04F97">
            <w:pPr>
              <w:widowControl/>
              <w:adjustRightInd w:val="0"/>
              <w:snapToGrid w:val="0"/>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项目总投资6373.87万元，其中环保投资</w:t>
            </w:r>
            <w:r>
              <w:rPr>
                <w:rFonts w:hint="eastAsia"/>
                <w:color w:val="000000" w:themeColor="text1"/>
                <w:kern w:val="0"/>
                <w:lang w:eastAsia="zh-CN" w:bidi="ar"/>
                <w14:textFill>
                  <w14:solidFill>
                    <w14:schemeClr w14:val="tx1"/>
                  </w14:solidFill>
                </w14:textFill>
              </w:rPr>
              <w:t>1164.5</w:t>
            </w:r>
            <w:r>
              <w:rPr>
                <w:rFonts w:hint="eastAsia"/>
                <w:color w:val="000000" w:themeColor="text1"/>
                <w:kern w:val="0"/>
                <w:lang w:bidi="ar"/>
                <w14:textFill>
                  <w14:solidFill>
                    <w14:schemeClr w14:val="tx1"/>
                  </w14:solidFill>
                </w14:textFill>
              </w:rPr>
              <w:t>万元，占总投资的1</w:t>
            </w:r>
            <w:r>
              <w:rPr>
                <w:rFonts w:hint="eastAsia"/>
                <w:color w:val="000000" w:themeColor="text1"/>
                <w:kern w:val="0"/>
                <w:lang w:val="en-US" w:eastAsia="zh-CN" w:bidi="ar"/>
                <w14:textFill>
                  <w14:solidFill>
                    <w14:schemeClr w14:val="tx1"/>
                  </w14:solidFill>
                </w14:textFill>
              </w:rPr>
              <w:t>8.27</w:t>
            </w:r>
            <w:r>
              <w:rPr>
                <w:rFonts w:hint="eastAsia"/>
                <w:color w:val="000000" w:themeColor="text1"/>
                <w:kern w:val="0"/>
                <w:lang w:bidi="ar"/>
                <w14:textFill>
                  <w14:solidFill>
                    <w14:schemeClr w14:val="tx1"/>
                  </w14:solidFill>
                </w14:textFill>
              </w:rPr>
              <w:t>%，环保投资明细见下表。</w:t>
            </w:r>
          </w:p>
          <w:p w14:paraId="45D4A358">
            <w:pPr>
              <w:pStyle w:val="72"/>
              <w:adjustRightInd w:val="0"/>
              <w:spacing w:line="240" w:lineRule="auto"/>
              <w:ind w:firstLine="0" w:firstLineChars="0"/>
              <w:jc w:val="center"/>
              <w:rPr>
                <w:b/>
                <w:color w:val="000000" w:themeColor="text1"/>
                <w:spacing w:val="0"/>
                <w:kern w:val="2"/>
                <w:sz w:val="24"/>
                <w:szCs w:val="24"/>
                <w:lang w:val="en-US"/>
                <w14:textFill>
                  <w14:solidFill>
                    <w14:schemeClr w14:val="tx1"/>
                  </w14:solidFill>
                </w14:textFill>
              </w:rPr>
            </w:pPr>
            <w:r>
              <w:rPr>
                <w:rFonts w:hint="eastAsia"/>
                <w:b/>
                <w:bCs/>
                <w:color w:val="000000" w:themeColor="text1"/>
                <w:spacing w:val="0"/>
                <w:kern w:val="0"/>
                <w:sz w:val="24"/>
                <w:szCs w:val="24"/>
                <w:lang w:val="en-US" w:bidi="ar"/>
                <w14:textFill>
                  <w14:solidFill>
                    <w14:schemeClr w14:val="tx1"/>
                  </w14:solidFill>
                </w14:textFill>
              </w:rPr>
              <w:t>表5-</w:t>
            </w:r>
            <w:r>
              <w:rPr>
                <w:rFonts w:hint="eastAsia"/>
                <w:b/>
                <w:bCs/>
                <w:color w:val="000000" w:themeColor="text1"/>
                <w:spacing w:val="0"/>
                <w:kern w:val="0"/>
                <w:sz w:val="24"/>
                <w:szCs w:val="24"/>
                <w:lang w:val="en-US" w:eastAsia="zh-CN" w:bidi="ar"/>
                <w14:textFill>
                  <w14:solidFill>
                    <w14:schemeClr w14:val="tx1"/>
                  </w14:solidFill>
                </w14:textFill>
              </w:rPr>
              <w:t xml:space="preserve">5  </w:t>
            </w:r>
            <w:r>
              <w:rPr>
                <w:rFonts w:hint="eastAsia"/>
                <w:b/>
                <w:bCs/>
                <w:color w:val="000000" w:themeColor="text1"/>
                <w:spacing w:val="0"/>
                <w:kern w:val="0"/>
                <w:sz w:val="24"/>
                <w:szCs w:val="24"/>
                <w:lang w:val="en-US" w:bidi="ar"/>
                <w14:textFill>
                  <w14:solidFill>
                    <w14:schemeClr w14:val="tx1"/>
                  </w14:solidFill>
                </w14:textFill>
              </w:rPr>
              <w:t>项目环保投资估算表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55"/>
              <w:gridCol w:w="5955"/>
              <w:gridCol w:w="1014"/>
            </w:tblGrid>
            <w:tr w14:paraId="014C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4C3D442C">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时段</w:t>
                  </w:r>
                </w:p>
              </w:tc>
              <w:tc>
                <w:tcPr>
                  <w:tcW w:w="855" w:type="dxa"/>
                  <w:vAlign w:val="center"/>
                </w:tcPr>
                <w:p w14:paraId="0AECAA59">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类别</w:t>
                  </w:r>
                </w:p>
              </w:tc>
              <w:tc>
                <w:tcPr>
                  <w:tcW w:w="5955" w:type="dxa"/>
                  <w:vAlign w:val="center"/>
                </w:tcPr>
                <w:p w14:paraId="36D84CAD">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环保治理措施</w:t>
                  </w:r>
                </w:p>
              </w:tc>
              <w:tc>
                <w:tcPr>
                  <w:tcW w:w="1014" w:type="dxa"/>
                  <w:vAlign w:val="center"/>
                </w:tcPr>
                <w:p w14:paraId="21865EEF">
                  <w:pPr>
                    <w:pStyle w:val="72"/>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投资（万元）</w:t>
                  </w:r>
                </w:p>
              </w:tc>
            </w:tr>
            <w:tr w14:paraId="2ADC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restart"/>
                  <w:vAlign w:val="center"/>
                </w:tcPr>
                <w:p w14:paraId="0A2E3C9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施工期</w:t>
                  </w:r>
                </w:p>
              </w:tc>
              <w:tc>
                <w:tcPr>
                  <w:tcW w:w="855" w:type="dxa"/>
                  <w:vMerge w:val="restart"/>
                  <w:vAlign w:val="center"/>
                </w:tcPr>
                <w:p w14:paraId="0F7279C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废气</w:t>
                  </w:r>
                </w:p>
              </w:tc>
              <w:tc>
                <w:tcPr>
                  <w:tcW w:w="5955" w:type="dxa"/>
                  <w:vAlign w:val="center"/>
                </w:tcPr>
                <w:p w14:paraId="09310DA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洒水降尘、篷布遮盖、控制车速、洒水车1辆</w:t>
                  </w:r>
                </w:p>
              </w:tc>
              <w:tc>
                <w:tcPr>
                  <w:tcW w:w="1014" w:type="dxa"/>
                  <w:vAlign w:val="center"/>
                </w:tcPr>
                <w:p w14:paraId="7918653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6</w:t>
                  </w:r>
                </w:p>
              </w:tc>
            </w:tr>
            <w:tr w14:paraId="7A02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6C100F5F">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11CB5A7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5F432B5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每季度对项目区大气环境进行监测</w:t>
                  </w:r>
                </w:p>
              </w:tc>
              <w:tc>
                <w:tcPr>
                  <w:tcW w:w="1014" w:type="dxa"/>
                  <w:vAlign w:val="center"/>
                </w:tcPr>
                <w:p w14:paraId="641E361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5</w:t>
                  </w:r>
                </w:p>
              </w:tc>
            </w:tr>
            <w:tr w14:paraId="214F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09CC4AC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restart"/>
                  <w:vAlign w:val="center"/>
                </w:tcPr>
                <w:p w14:paraId="70AC8582">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废水</w:t>
                  </w:r>
                </w:p>
              </w:tc>
              <w:tc>
                <w:tcPr>
                  <w:tcW w:w="5955" w:type="dxa"/>
                  <w:vAlign w:val="center"/>
                </w:tcPr>
                <w:p w14:paraId="6190D5D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建1座3m³临时沉淀池收集施工人员洗手废水和施工废水</w:t>
                  </w:r>
                </w:p>
              </w:tc>
              <w:tc>
                <w:tcPr>
                  <w:tcW w:w="1014" w:type="dxa"/>
                  <w:vAlign w:val="center"/>
                </w:tcPr>
                <w:p w14:paraId="248FDD7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4</w:t>
                  </w:r>
                </w:p>
              </w:tc>
            </w:tr>
            <w:tr w14:paraId="5B04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73B7BBA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23287DB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1B009EF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地下水导排系统及</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lang w:val="en-US"/>
                      <w14:textFill>
                        <w14:solidFill>
                          <w14:schemeClr w14:val="tx1"/>
                        </w14:solidFill>
                      </w14:textFill>
                    </w:rPr>
                    <w:t>座地下水收集井</w:t>
                  </w:r>
                </w:p>
              </w:tc>
              <w:tc>
                <w:tcPr>
                  <w:tcW w:w="1014" w:type="dxa"/>
                  <w:vAlign w:val="center"/>
                </w:tcPr>
                <w:p w14:paraId="0B6F2F1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4.48</w:t>
                  </w:r>
                </w:p>
              </w:tc>
            </w:tr>
            <w:tr w14:paraId="64C2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201E68E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162CE1B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7F7AF8E9">
                  <w:pPr>
                    <w:pStyle w:val="72"/>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14:textFill>
                        <w14:solidFill>
                          <w14:schemeClr w14:val="tx1"/>
                        </w14:solidFill>
                      </w14:textFill>
                    </w:rPr>
                    <w:t>渗滤液导排系统及</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lang w:val="en-US"/>
                      <w14:textFill>
                        <w14:solidFill>
                          <w14:schemeClr w14:val="tx1"/>
                        </w14:solidFill>
                      </w14:textFill>
                    </w:rPr>
                    <w:t>座渗滤液收集</w:t>
                  </w:r>
                  <w:r>
                    <w:rPr>
                      <w:rFonts w:hint="eastAsia"/>
                      <w:color w:val="000000" w:themeColor="text1"/>
                      <w:sz w:val="21"/>
                      <w:szCs w:val="21"/>
                      <w:lang w:val="en-US" w:eastAsia="zh-CN"/>
                      <w14:textFill>
                        <w14:solidFill>
                          <w14:schemeClr w14:val="tx1"/>
                        </w14:solidFill>
                      </w14:textFill>
                    </w:rPr>
                    <w:t>池</w:t>
                  </w:r>
                </w:p>
              </w:tc>
              <w:tc>
                <w:tcPr>
                  <w:tcW w:w="1014" w:type="dxa"/>
                  <w:vAlign w:val="center"/>
                </w:tcPr>
                <w:p w14:paraId="7D6CE75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4.5</w:t>
                  </w:r>
                </w:p>
              </w:tc>
            </w:tr>
            <w:tr w14:paraId="7BD5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727B8C8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2A32AE4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0200641B">
                  <w:pPr>
                    <w:pStyle w:val="72"/>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lang w:val="en-US"/>
                      <w14:textFill>
                        <w14:solidFill>
                          <w14:schemeClr w14:val="tx1"/>
                        </w14:solidFill>
                      </w14:textFill>
                    </w:rPr>
                    <w:t>座</w:t>
                  </w:r>
                  <w:r>
                    <w:rPr>
                      <w:rFonts w:hint="eastAsia"/>
                      <w:color w:val="000000" w:themeColor="text1"/>
                      <w:sz w:val="21"/>
                      <w:szCs w:val="21"/>
                      <w:lang w:val="en-US" w:eastAsia="zh-CN"/>
                      <w14:textFill>
                        <w14:solidFill>
                          <w14:schemeClr w14:val="tx1"/>
                        </w14:solidFill>
                      </w14:textFill>
                    </w:rPr>
                    <w:t>雨水收集池</w:t>
                  </w:r>
                </w:p>
              </w:tc>
              <w:tc>
                <w:tcPr>
                  <w:tcW w:w="1014" w:type="dxa"/>
                  <w:vAlign w:val="center"/>
                </w:tcPr>
                <w:p w14:paraId="7D9CB25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5</w:t>
                  </w:r>
                </w:p>
              </w:tc>
            </w:tr>
            <w:tr w14:paraId="79E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7532422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6EC4249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42DF14B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截排水沟及1座沉砂池</w:t>
                  </w:r>
                </w:p>
              </w:tc>
              <w:tc>
                <w:tcPr>
                  <w:tcW w:w="1014" w:type="dxa"/>
                  <w:vAlign w:val="center"/>
                </w:tcPr>
                <w:p w14:paraId="552FE7B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95.27</w:t>
                  </w:r>
                </w:p>
              </w:tc>
            </w:tr>
            <w:tr w14:paraId="3031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53E0B26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6219538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20BE2DC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防渗工程</w:t>
                  </w:r>
                </w:p>
              </w:tc>
              <w:tc>
                <w:tcPr>
                  <w:tcW w:w="1014" w:type="dxa"/>
                  <w:vAlign w:val="center"/>
                </w:tcPr>
                <w:p w14:paraId="65B708D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433.25</w:t>
                  </w:r>
                </w:p>
              </w:tc>
            </w:tr>
            <w:tr w14:paraId="6CA8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6C497BE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607A62D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6E28C65F">
                  <w:pPr>
                    <w:pStyle w:val="72"/>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备用饮用水替代工程</w:t>
                  </w:r>
                </w:p>
              </w:tc>
              <w:tc>
                <w:tcPr>
                  <w:tcW w:w="1014" w:type="dxa"/>
                  <w:vAlign w:val="center"/>
                </w:tcPr>
                <w:p w14:paraId="02B86A35">
                  <w:pPr>
                    <w:pStyle w:val="72"/>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p>
              </w:tc>
            </w:tr>
            <w:tr w14:paraId="0A06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50B38F4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restart"/>
                  <w:vAlign w:val="center"/>
                </w:tcPr>
                <w:p w14:paraId="44E0E0E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噪声</w:t>
                  </w:r>
                </w:p>
              </w:tc>
              <w:tc>
                <w:tcPr>
                  <w:tcW w:w="5955" w:type="dxa"/>
                  <w:vAlign w:val="center"/>
                </w:tcPr>
                <w:p w14:paraId="6B9C460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选用低噪声设备、合理布局、合理施工、加强设备维护</w:t>
                  </w:r>
                </w:p>
              </w:tc>
              <w:tc>
                <w:tcPr>
                  <w:tcW w:w="1014" w:type="dxa"/>
                  <w:vAlign w:val="center"/>
                </w:tcPr>
                <w:p w14:paraId="50D9EE98">
                  <w:pPr>
                    <w:pStyle w:val="72"/>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14:paraId="59B3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24CC61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6981DD4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3404A6E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每季度进行噪声监测</w:t>
                  </w:r>
                </w:p>
              </w:tc>
              <w:tc>
                <w:tcPr>
                  <w:tcW w:w="1014" w:type="dxa"/>
                  <w:vAlign w:val="center"/>
                </w:tcPr>
                <w:p w14:paraId="6F574F5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2</w:t>
                  </w:r>
                </w:p>
              </w:tc>
            </w:tr>
            <w:tr w14:paraId="79BB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18785DC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restart"/>
                  <w:vAlign w:val="center"/>
                </w:tcPr>
                <w:p w14:paraId="6E89144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固体废物</w:t>
                  </w:r>
                </w:p>
              </w:tc>
              <w:tc>
                <w:tcPr>
                  <w:tcW w:w="5955" w:type="dxa"/>
                  <w:vAlign w:val="center"/>
                </w:tcPr>
                <w:p w14:paraId="2F825EB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土石方全部用于场地回填</w:t>
                  </w:r>
                </w:p>
              </w:tc>
              <w:tc>
                <w:tcPr>
                  <w:tcW w:w="1014" w:type="dxa"/>
                  <w:vMerge w:val="restart"/>
                  <w:vAlign w:val="center"/>
                </w:tcPr>
                <w:p w14:paraId="55F1109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3</w:t>
                  </w:r>
                </w:p>
              </w:tc>
            </w:tr>
            <w:tr w14:paraId="3644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18CDAFD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59CB9C3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1DE0AAB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施工人员生活垃圾集中收集后，定期运至就近村庄垃圾收集点</w:t>
                  </w:r>
                </w:p>
              </w:tc>
              <w:tc>
                <w:tcPr>
                  <w:tcW w:w="1014" w:type="dxa"/>
                  <w:vMerge w:val="continue"/>
                  <w:vAlign w:val="center"/>
                </w:tcPr>
                <w:p w14:paraId="4E5B371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r>
            <w:tr w14:paraId="4D25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8DB537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restart"/>
                  <w:vAlign w:val="center"/>
                </w:tcPr>
                <w:p w14:paraId="3AA89C0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其他</w:t>
                  </w:r>
                </w:p>
              </w:tc>
              <w:tc>
                <w:tcPr>
                  <w:tcW w:w="5955" w:type="dxa"/>
                  <w:vAlign w:val="center"/>
                </w:tcPr>
                <w:p w14:paraId="0831423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对每一批无害化处理后的改性磷石膏进行检测</w:t>
                  </w:r>
                </w:p>
              </w:tc>
              <w:tc>
                <w:tcPr>
                  <w:tcW w:w="1014" w:type="dxa"/>
                  <w:vMerge w:val="restart"/>
                  <w:vAlign w:val="center"/>
                </w:tcPr>
                <w:p w14:paraId="114D9C08">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25</w:t>
                  </w:r>
                </w:p>
              </w:tc>
            </w:tr>
            <w:tr w14:paraId="04AA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2961E95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1B403E3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508310A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对每一批进场耕植土进行检测</w:t>
                  </w:r>
                </w:p>
              </w:tc>
              <w:tc>
                <w:tcPr>
                  <w:tcW w:w="1014" w:type="dxa"/>
                  <w:vMerge w:val="continue"/>
                  <w:vAlign w:val="center"/>
                </w:tcPr>
                <w:p w14:paraId="0A592FE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r>
            <w:tr w14:paraId="263A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3419EB9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768AB17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3DA85539">
                  <w:pPr>
                    <w:pStyle w:val="72"/>
                    <w:adjustRightInd w:val="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加强工程施工质量管理，对项目工程质量、防渗工程开展施工监理，确保防渗工程满足设计要求。</w:t>
                  </w:r>
                </w:p>
              </w:tc>
              <w:tc>
                <w:tcPr>
                  <w:tcW w:w="1014" w:type="dxa"/>
                  <w:vMerge w:val="continue"/>
                  <w:vAlign w:val="center"/>
                </w:tcPr>
                <w:p w14:paraId="4D1E337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r>
            <w:tr w14:paraId="51DA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0EF9760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7F18B65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3F2F205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回填区设置渗漏监控系统，设置位移监测设施</w:t>
                  </w:r>
                </w:p>
              </w:tc>
              <w:tc>
                <w:tcPr>
                  <w:tcW w:w="1014" w:type="dxa"/>
                  <w:vAlign w:val="center"/>
                </w:tcPr>
                <w:p w14:paraId="077FC6B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20</w:t>
                  </w:r>
                </w:p>
              </w:tc>
            </w:tr>
            <w:tr w14:paraId="4FC7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50D050EF">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Align w:val="center"/>
                </w:tcPr>
                <w:p w14:paraId="09FC5A7F">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w:t>
                  </w:r>
                </w:p>
              </w:tc>
              <w:tc>
                <w:tcPr>
                  <w:tcW w:w="5955" w:type="dxa"/>
                  <w:vAlign w:val="center"/>
                </w:tcPr>
                <w:p w14:paraId="511AF96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恢复旱地、林地、草地，管理、维护；定期浇灌、基肥及追肥；连续抚育3年，每年1次，适时补植，种植后人工巡护</w:t>
                  </w:r>
                </w:p>
              </w:tc>
              <w:tc>
                <w:tcPr>
                  <w:tcW w:w="1014" w:type="dxa"/>
                  <w:vAlign w:val="center"/>
                </w:tcPr>
                <w:p w14:paraId="29DD002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80</w:t>
                  </w:r>
                </w:p>
              </w:tc>
            </w:tr>
            <w:tr w14:paraId="49E4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59501B9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Align w:val="center"/>
                </w:tcPr>
                <w:p w14:paraId="662D6459">
                  <w:pPr>
                    <w:pStyle w:val="72"/>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环境监理</w:t>
                  </w:r>
                </w:p>
              </w:tc>
              <w:tc>
                <w:tcPr>
                  <w:tcW w:w="5955" w:type="dxa"/>
                  <w:vAlign w:val="center"/>
                </w:tcPr>
                <w:p w14:paraId="2A1B8BE2">
                  <w:pPr>
                    <w:pStyle w:val="72"/>
                    <w:adjustRightInd w:val="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加强工程施工质量管理，对项目工程质量、防渗工程开展施工监理，确保防渗工程满足设计要求。</w:t>
                  </w:r>
                </w:p>
              </w:tc>
              <w:tc>
                <w:tcPr>
                  <w:tcW w:w="1014" w:type="dxa"/>
                  <w:vAlign w:val="center"/>
                </w:tcPr>
                <w:p w14:paraId="4C80F9A1">
                  <w:pPr>
                    <w:pStyle w:val="72"/>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14:paraId="2DA4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restart"/>
                  <w:vAlign w:val="center"/>
                </w:tcPr>
                <w:p w14:paraId="48D8CF2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运营期</w:t>
                  </w:r>
                </w:p>
              </w:tc>
              <w:tc>
                <w:tcPr>
                  <w:tcW w:w="855" w:type="dxa"/>
                  <w:vMerge w:val="restart"/>
                  <w:vAlign w:val="center"/>
                </w:tcPr>
                <w:p w14:paraId="557E916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环境监测管理</w:t>
                  </w:r>
                </w:p>
              </w:tc>
              <w:tc>
                <w:tcPr>
                  <w:tcW w:w="5955" w:type="dxa"/>
                  <w:vAlign w:val="center"/>
                </w:tcPr>
                <w:p w14:paraId="18AA195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项目区附近地下水跟踪监测点</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lang w:val="en-US"/>
                      <w14:textFill>
                        <w14:solidFill>
                          <w14:schemeClr w14:val="tx1"/>
                        </w14:solidFill>
                      </w14:textFill>
                    </w:rPr>
                    <w:t>个，</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lang w:val="en-US"/>
                      <w14:textFill>
                        <w14:solidFill>
                          <w14:schemeClr w14:val="tx1"/>
                        </w14:solidFill>
                      </w14:textFill>
                    </w:rPr>
                    <w:t>个地下水</w:t>
                  </w:r>
                  <w:r>
                    <w:rPr>
                      <w:rFonts w:hint="eastAsia"/>
                      <w:color w:val="000000" w:themeColor="text1"/>
                      <w:sz w:val="21"/>
                      <w:szCs w:val="21"/>
                      <w:lang w:val="en-US" w:eastAsia="zh-CN"/>
                      <w14:textFill>
                        <w14:solidFill>
                          <w14:schemeClr w14:val="tx1"/>
                        </w14:solidFill>
                      </w14:textFill>
                    </w:rPr>
                    <w:t>收集</w:t>
                  </w:r>
                  <w:r>
                    <w:rPr>
                      <w:rFonts w:hint="eastAsia"/>
                      <w:color w:val="000000" w:themeColor="text1"/>
                      <w:sz w:val="21"/>
                      <w:szCs w:val="21"/>
                      <w:lang w:val="en-US"/>
                      <w14:textFill>
                        <w14:solidFill>
                          <w14:schemeClr w14:val="tx1"/>
                        </w14:solidFill>
                      </w14:textFill>
                    </w:rPr>
                    <w:t>井。渗滤液收集井跟踪监测。管理、维护：定期浇灌、基肥及追肥；连续抚3年，每三个月一次，适时补植，种植后人工巡护。</w:t>
                  </w:r>
                </w:p>
              </w:tc>
              <w:tc>
                <w:tcPr>
                  <w:tcW w:w="1014" w:type="dxa"/>
                  <w:vAlign w:val="center"/>
                </w:tcPr>
                <w:p w14:paraId="2D1718E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90</w:t>
                  </w:r>
                </w:p>
              </w:tc>
            </w:tr>
            <w:tr w14:paraId="7ABE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6F34A1B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855" w:type="dxa"/>
                  <w:vMerge w:val="continue"/>
                  <w:vAlign w:val="center"/>
                </w:tcPr>
                <w:p w14:paraId="5B23E0F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5955" w:type="dxa"/>
                  <w:vAlign w:val="center"/>
                </w:tcPr>
                <w:p w14:paraId="2A32A1D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地下水应急预留资金</w:t>
                  </w:r>
                </w:p>
              </w:tc>
              <w:tc>
                <w:tcPr>
                  <w:tcW w:w="1014" w:type="dxa"/>
                  <w:vAlign w:val="center"/>
                </w:tcPr>
                <w:p w14:paraId="419E1B9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80</w:t>
                  </w:r>
                </w:p>
              </w:tc>
            </w:tr>
            <w:tr w14:paraId="695F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7" w:type="dxa"/>
                  <w:gridSpan w:val="3"/>
                  <w:vAlign w:val="center"/>
                </w:tcPr>
                <w:p w14:paraId="04945E2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合计</w:t>
                  </w:r>
                </w:p>
              </w:tc>
              <w:tc>
                <w:tcPr>
                  <w:tcW w:w="1014" w:type="dxa"/>
                  <w:vAlign w:val="center"/>
                </w:tcPr>
                <w:p w14:paraId="240E8A62">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r>
                    <w:rPr>
                      <w:rFonts w:hint="eastAsia"/>
                      <w:color w:val="000000" w:themeColor="text1"/>
                      <w:sz w:val="21"/>
                      <w:szCs w:val="21"/>
                      <w:lang w:val="en-US"/>
                      <w14:textFill>
                        <w14:solidFill>
                          <w14:schemeClr w14:val="tx1"/>
                        </w14:solidFill>
                      </w14:textFill>
                    </w:rPr>
                    <w:t>64.5</w:t>
                  </w:r>
                </w:p>
              </w:tc>
            </w:tr>
          </w:tbl>
          <w:p w14:paraId="18C364C9">
            <w:pPr>
              <w:pStyle w:val="23"/>
              <w:rPr>
                <w:rFonts w:hint="eastAsia"/>
                <w:color w:val="000000" w:themeColor="text1"/>
                <w:kern w:val="0"/>
                <w:lang w:bidi="ar"/>
                <w14:textFill>
                  <w14:solidFill>
                    <w14:schemeClr w14:val="tx1"/>
                  </w14:solidFill>
                </w14:textFill>
              </w:rPr>
            </w:pPr>
          </w:p>
          <w:p w14:paraId="6690F2A9">
            <w:pPr>
              <w:pStyle w:val="24"/>
              <w:rPr>
                <w:rFonts w:hint="eastAsia"/>
                <w:color w:val="000000" w:themeColor="text1"/>
                <w:kern w:val="0"/>
                <w:lang w:bidi="ar"/>
                <w14:textFill>
                  <w14:solidFill>
                    <w14:schemeClr w14:val="tx1"/>
                  </w14:solidFill>
                </w14:textFill>
              </w:rPr>
            </w:pPr>
          </w:p>
          <w:p w14:paraId="6309BC9B">
            <w:pPr>
              <w:pStyle w:val="26"/>
              <w:rPr>
                <w:rFonts w:hint="eastAsia"/>
                <w:color w:val="000000" w:themeColor="text1"/>
                <w:kern w:val="0"/>
                <w:lang w:bidi="ar"/>
                <w14:textFill>
                  <w14:solidFill>
                    <w14:schemeClr w14:val="tx1"/>
                  </w14:solidFill>
                </w14:textFill>
              </w:rPr>
            </w:pPr>
          </w:p>
          <w:p w14:paraId="7C7204B8">
            <w:pPr>
              <w:pStyle w:val="27"/>
              <w:rPr>
                <w:rFonts w:hint="eastAsia"/>
                <w:color w:val="000000" w:themeColor="text1"/>
                <w:kern w:val="0"/>
                <w:lang w:bidi="ar"/>
                <w14:textFill>
                  <w14:solidFill>
                    <w14:schemeClr w14:val="tx1"/>
                  </w14:solidFill>
                </w14:textFill>
              </w:rPr>
            </w:pPr>
          </w:p>
          <w:p w14:paraId="3702DB4D">
            <w:pPr>
              <w:pStyle w:val="28"/>
              <w:rPr>
                <w:rFonts w:hint="eastAsia"/>
                <w:color w:val="000000" w:themeColor="text1"/>
                <w:kern w:val="0"/>
                <w:lang w:bidi="ar"/>
                <w14:textFill>
                  <w14:solidFill>
                    <w14:schemeClr w14:val="tx1"/>
                  </w14:solidFill>
                </w14:textFill>
              </w:rPr>
            </w:pPr>
          </w:p>
          <w:p w14:paraId="1D791026">
            <w:pPr>
              <w:rPr>
                <w:rFonts w:hint="eastAsia"/>
                <w:color w:val="000000" w:themeColor="text1"/>
                <w:kern w:val="0"/>
                <w:lang w:bidi="ar"/>
                <w14:textFill>
                  <w14:solidFill>
                    <w14:schemeClr w14:val="tx1"/>
                  </w14:solidFill>
                </w14:textFill>
              </w:rPr>
            </w:pPr>
          </w:p>
          <w:p w14:paraId="4B06D944">
            <w:pPr>
              <w:rPr>
                <w:rFonts w:hint="eastAsia"/>
                <w:color w:val="000000" w:themeColor="text1"/>
                <w:kern w:val="0"/>
                <w:lang w:bidi="ar"/>
                <w14:textFill>
                  <w14:solidFill>
                    <w14:schemeClr w14:val="tx1"/>
                  </w14:solidFill>
                </w14:textFill>
              </w:rPr>
            </w:pPr>
          </w:p>
          <w:p w14:paraId="46D9F2AB">
            <w:pPr>
              <w:rPr>
                <w:rFonts w:hint="eastAsia"/>
                <w:color w:val="000000" w:themeColor="text1"/>
                <w:kern w:val="0"/>
                <w:lang w:bidi="ar"/>
                <w14:textFill>
                  <w14:solidFill>
                    <w14:schemeClr w14:val="tx1"/>
                  </w14:solidFill>
                </w14:textFill>
              </w:rPr>
            </w:pPr>
          </w:p>
          <w:p w14:paraId="546CCD7F">
            <w:pPr>
              <w:rPr>
                <w:rFonts w:hint="eastAsia"/>
                <w:color w:val="000000" w:themeColor="text1"/>
                <w:kern w:val="0"/>
                <w:lang w:bidi="ar"/>
                <w14:textFill>
                  <w14:solidFill>
                    <w14:schemeClr w14:val="tx1"/>
                  </w14:solidFill>
                </w14:textFill>
              </w:rPr>
            </w:pPr>
          </w:p>
          <w:p w14:paraId="50FAC377">
            <w:pPr>
              <w:rPr>
                <w:rFonts w:hint="eastAsia"/>
                <w:color w:val="000000" w:themeColor="text1"/>
                <w:kern w:val="0"/>
                <w:lang w:bidi="ar"/>
                <w14:textFill>
                  <w14:solidFill>
                    <w14:schemeClr w14:val="tx1"/>
                  </w14:solidFill>
                </w14:textFill>
              </w:rPr>
            </w:pPr>
          </w:p>
          <w:p w14:paraId="3238AC48">
            <w:pPr>
              <w:rPr>
                <w:rFonts w:hint="eastAsia"/>
                <w:color w:val="000000" w:themeColor="text1"/>
                <w:kern w:val="0"/>
                <w:lang w:bidi="ar"/>
                <w14:textFill>
                  <w14:solidFill>
                    <w14:schemeClr w14:val="tx1"/>
                  </w14:solidFill>
                </w14:textFill>
              </w:rPr>
            </w:pPr>
          </w:p>
          <w:p w14:paraId="0469CB92">
            <w:pPr>
              <w:rPr>
                <w:rFonts w:hint="eastAsia"/>
                <w:color w:val="000000" w:themeColor="text1"/>
                <w:kern w:val="0"/>
                <w:lang w:bidi="ar"/>
                <w14:textFill>
                  <w14:solidFill>
                    <w14:schemeClr w14:val="tx1"/>
                  </w14:solidFill>
                </w14:textFill>
              </w:rPr>
            </w:pPr>
          </w:p>
          <w:p w14:paraId="39F60EBD">
            <w:pPr>
              <w:rPr>
                <w:rFonts w:hint="eastAsia"/>
                <w:color w:val="000000" w:themeColor="text1"/>
                <w:kern w:val="0"/>
                <w:lang w:bidi="ar"/>
                <w14:textFill>
                  <w14:solidFill>
                    <w14:schemeClr w14:val="tx1"/>
                  </w14:solidFill>
                </w14:textFill>
              </w:rPr>
            </w:pPr>
          </w:p>
          <w:p w14:paraId="69209D5C">
            <w:pPr>
              <w:rPr>
                <w:rFonts w:hint="eastAsia"/>
                <w:color w:val="000000" w:themeColor="text1"/>
                <w:kern w:val="0"/>
                <w:lang w:bidi="ar"/>
                <w14:textFill>
                  <w14:solidFill>
                    <w14:schemeClr w14:val="tx1"/>
                  </w14:solidFill>
                </w14:textFill>
              </w:rPr>
            </w:pPr>
          </w:p>
          <w:p w14:paraId="2EE26068">
            <w:pPr>
              <w:rPr>
                <w:rFonts w:hint="eastAsia"/>
                <w:color w:val="000000" w:themeColor="text1"/>
                <w:kern w:val="0"/>
                <w:lang w:bidi="ar"/>
                <w14:textFill>
                  <w14:solidFill>
                    <w14:schemeClr w14:val="tx1"/>
                  </w14:solidFill>
                </w14:textFill>
              </w:rPr>
            </w:pPr>
          </w:p>
          <w:p w14:paraId="0BD76F17">
            <w:pPr>
              <w:rPr>
                <w:rFonts w:hint="eastAsia"/>
                <w:color w:val="000000" w:themeColor="text1"/>
                <w:kern w:val="0"/>
                <w:lang w:bidi="ar"/>
                <w14:textFill>
                  <w14:solidFill>
                    <w14:schemeClr w14:val="tx1"/>
                  </w14:solidFill>
                </w14:textFill>
              </w:rPr>
            </w:pPr>
          </w:p>
          <w:p w14:paraId="2BA61014">
            <w:pPr>
              <w:rPr>
                <w:rFonts w:hint="eastAsia"/>
                <w:color w:val="000000" w:themeColor="text1"/>
                <w:kern w:val="0"/>
                <w:lang w:bidi="ar"/>
                <w14:textFill>
                  <w14:solidFill>
                    <w14:schemeClr w14:val="tx1"/>
                  </w14:solidFill>
                </w14:textFill>
              </w:rPr>
            </w:pPr>
          </w:p>
          <w:p w14:paraId="5211434B">
            <w:pPr>
              <w:rPr>
                <w:rFonts w:hint="eastAsia"/>
                <w:color w:val="000000" w:themeColor="text1"/>
                <w:kern w:val="0"/>
                <w:lang w:bidi="ar"/>
                <w14:textFill>
                  <w14:solidFill>
                    <w14:schemeClr w14:val="tx1"/>
                  </w14:solidFill>
                </w14:textFill>
              </w:rPr>
            </w:pPr>
          </w:p>
          <w:p w14:paraId="31521BB6">
            <w:pPr>
              <w:rPr>
                <w:rFonts w:hint="eastAsia"/>
                <w:color w:val="000000" w:themeColor="text1"/>
                <w:kern w:val="0"/>
                <w:lang w:bidi="ar"/>
                <w14:textFill>
                  <w14:solidFill>
                    <w14:schemeClr w14:val="tx1"/>
                  </w14:solidFill>
                </w14:textFill>
              </w:rPr>
            </w:pPr>
          </w:p>
          <w:p w14:paraId="64F46A3D">
            <w:pPr>
              <w:rPr>
                <w:rFonts w:hint="eastAsia"/>
                <w:color w:val="000000" w:themeColor="text1"/>
                <w:kern w:val="0"/>
                <w:lang w:bidi="ar"/>
                <w14:textFill>
                  <w14:solidFill>
                    <w14:schemeClr w14:val="tx1"/>
                  </w14:solidFill>
                </w14:textFill>
              </w:rPr>
            </w:pPr>
          </w:p>
          <w:p w14:paraId="4167DE8C">
            <w:pPr>
              <w:rPr>
                <w:rFonts w:hint="eastAsia"/>
                <w:color w:val="000000" w:themeColor="text1"/>
                <w:kern w:val="0"/>
                <w:lang w:bidi="ar"/>
                <w14:textFill>
                  <w14:solidFill>
                    <w14:schemeClr w14:val="tx1"/>
                  </w14:solidFill>
                </w14:textFill>
              </w:rPr>
            </w:pPr>
          </w:p>
          <w:p w14:paraId="3065178C">
            <w:pPr>
              <w:rPr>
                <w:rFonts w:hint="eastAsia"/>
                <w:color w:val="000000" w:themeColor="text1"/>
                <w:kern w:val="0"/>
                <w:lang w:bidi="ar"/>
                <w14:textFill>
                  <w14:solidFill>
                    <w14:schemeClr w14:val="tx1"/>
                  </w14:solidFill>
                </w14:textFill>
              </w:rPr>
            </w:pPr>
          </w:p>
          <w:p w14:paraId="191565F5">
            <w:pPr>
              <w:rPr>
                <w:rFonts w:hint="eastAsia"/>
                <w:color w:val="000000" w:themeColor="text1"/>
                <w:kern w:val="0"/>
                <w:lang w:bidi="ar"/>
                <w14:textFill>
                  <w14:solidFill>
                    <w14:schemeClr w14:val="tx1"/>
                  </w14:solidFill>
                </w14:textFill>
              </w:rPr>
            </w:pPr>
          </w:p>
          <w:p w14:paraId="40F64C42">
            <w:pPr>
              <w:rPr>
                <w:rFonts w:hint="eastAsia"/>
                <w:color w:val="000000" w:themeColor="text1"/>
                <w:kern w:val="0"/>
                <w:lang w:bidi="ar"/>
                <w14:textFill>
                  <w14:solidFill>
                    <w14:schemeClr w14:val="tx1"/>
                  </w14:solidFill>
                </w14:textFill>
              </w:rPr>
            </w:pPr>
          </w:p>
          <w:p w14:paraId="0C7C11E0">
            <w:pPr>
              <w:pStyle w:val="23"/>
              <w:rPr>
                <w:rFonts w:hint="eastAsia"/>
                <w:color w:val="000000" w:themeColor="text1"/>
                <w:kern w:val="0"/>
                <w:lang w:bidi="ar"/>
                <w14:textFill>
                  <w14:solidFill>
                    <w14:schemeClr w14:val="tx1"/>
                  </w14:solidFill>
                </w14:textFill>
              </w:rPr>
            </w:pPr>
          </w:p>
          <w:p w14:paraId="786AACC8">
            <w:pPr>
              <w:pStyle w:val="24"/>
              <w:rPr>
                <w:rFonts w:hint="eastAsia"/>
                <w:color w:val="000000" w:themeColor="text1"/>
                <w:kern w:val="0"/>
                <w:lang w:bidi="ar"/>
                <w14:textFill>
                  <w14:solidFill>
                    <w14:schemeClr w14:val="tx1"/>
                  </w14:solidFill>
                </w14:textFill>
              </w:rPr>
            </w:pPr>
          </w:p>
          <w:p w14:paraId="35EE94A2">
            <w:pPr>
              <w:pStyle w:val="26"/>
              <w:rPr>
                <w:rFonts w:hint="eastAsia"/>
                <w:color w:val="000000" w:themeColor="text1"/>
                <w14:textFill>
                  <w14:solidFill>
                    <w14:schemeClr w14:val="tx1"/>
                  </w14:solidFill>
                </w14:textFill>
              </w:rPr>
            </w:pPr>
          </w:p>
          <w:p w14:paraId="1C96C9FF">
            <w:pPr>
              <w:pStyle w:val="23"/>
              <w:rPr>
                <w:rFonts w:hint="eastAsia"/>
                <w:color w:val="000000" w:themeColor="text1"/>
                <w:kern w:val="0"/>
                <w:lang w:bidi="ar"/>
                <w14:textFill>
                  <w14:solidFill>
                    <w14:schemeClr w14:val="tx1"/>
                  </w14:solidFill>
                </w14:textFill>
              </w:rPr>
            </w:pPr>
          </w:p>
          <w:p w14:paraId="1F91CD4F">
            <w:pPr>
              <w:pStyle w:val="72"/>
              <w:ind w:firstLine="0" w:firstLineChars="0"/>
              <w:jc w:val="center"/>
              <w:rPr>
                <w:color w:val="000000" w:themeColor="text1"/>
                <w:lang w:val="en-US"/>
                <w14:textFill>
                  <w14:solidFill>
                    <w14:schemeClr w14:val="tx1"/>
                  </w14:solidFill>
                </w14:textFill>
              </w:rPr>
            </w:pPr>
          </w:p>
        </w:tc>
      </w:tr>
    </w:tbl>
    <w:p w14:paraId="7A634EF6">
      <w:pPr>
        <w:ind w:firstLine="480"/>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4ED933DE">
      <w:pPr>
        <w:pStyle w:val="37"/>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bookmarkStart w:id="59" w:name="_Toc15034"/>
      <w:bookmarkStart w:id="60" w:name="_Toc21979"/>
      <w:r>
        <w:rPr>
          <w:rFonts w:hint="eastAsia" w:ascii="Times New Roman" w:hAnsi="Times New Roman"/>
          <w:snapToGrid w:val="0"/>
          <w:color w:val="000000" w:themeColor="text1"/>
          <w:sz w:val="30"/>
          <w:szCs w:val="30"/>
          <w14:textFill>
            <w14:solidFill>
              <w14:schemeClr w14:val="tx1"/>
            </w14:solidFill>
          </w14:textFill>
        </w:rPr>
        <w:t>六、生态环境保护措施监督检查清单</w:t>
      </w:r>
      <w:bookmarkEnd w:id="59"/>
      <w:bookmarkEnd w:id="60"/>
    </w:p>
    <w:tbl>
      <w:tblPr>
        <w:tblStyle w:val="40"/>
        <w:tblW w:w="51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38"/>
        <w:gridCol w:w="2835"/>
        <w:gridCol w:w="1738"/>
        <w:gridCol w:w="1512"/>
      </w:tblGrid>
      <w:tr w14:paraId="371B9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Merge w:val="restart"/>
            <w:tcBorders>
              <w:tl2br w:val="single" w:color="auto" w:sz="4" w:space="0"/>
            </w:tcBorders>
            <w:vAlign w:val="center"/>
          </w:tcPr>
          <w:p w14:paraId="7DA7B944">
            <w:pPr>
              <w:pStyle w:val="37"/>
              <w:adjustRightInd w:val="0"/>
              <w:snapToGrid w:val="0"/>
              <w:spacing w:before="0" w:beforeAutospacing="0" w:after="0" w:afterAutospacing="0" w:line="240" w:lineRule="auto"/>
              <w:ind w:firstLine="0" w:firstLineChars="0"/>
              <w:jc w:val="right"/>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内容</w:t>
            </w:r>
          </w:p>
          <w:p w14:paraId="267B5BF1">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p>
          <w:p w14:paraId="6582F84D">
            <w:pPr>
              <w:pStyle w:val="37"/>
              <w:adjustRightInd w:val="0"/>
              <w:snapToGrid w:val="0"/>
              <w:spacing w:before="0" w:beforeAutospacing="0" w:after="0" w:afterAutospacing="0" w:line="240" w:lineRule="auto"/>
              <w:ind w:firstLine="0" w:firstLineChars="0"/>
              <w:jc w:val="both"/>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要素</w:t>
            </w:r>
          </w:p>
        </w:tc>
        <w:tc>
          <w:tcPr>
            <w:tcW w:w="3608" w:type="pct"/>
            <w:gridSpan w:val="2"/>
            <w:vAlign w:val="center"/>
          </w:tcPr>
          <w:p w14:paraId="6C7C9450">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施工期</w:t>
            </w:r>
          </w:p>
        </w:tc>
        <w:tc>
          <w:tcPr>
            <w:tcW w:w="1120" w:type="pct"/>
            <w:gridSpan w:val="2"/>
            <w:vAlign w:val="center"/>
          </w:tcPr>
          <w:p w14:paraId="0252A1F3">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运营期</w:t>
            </w:r>
          </w:p>
        </w:tc>
      </w:tr>
      <w:tr w14:paraId="78BCB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Merge w:val="continue"/>
            <w:vAlign w:val="center"/>
          </w:tcPr>
          <w:p w14:paraId="384378D7">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p>
        </w:tc>
        <w:tc>
          <w:tcPr>
            <w:tcW w:w="2631" w:type="pct"/>
            <w:vAlign w:val="center"/>
          </w:tcPr>
          <w:p w14:paraId="0F7FAE12">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环境保护措施</w:t>
            </w:r>
          </w:p>
        </w:tc>
        <w:tc>
          <w:tcPr>
            <w:tcW w:w="976" w:type="pct"/>
            <w:vAlign w:val="center"/>
          </w:tcPr>
          <w:p w14:paraId="30459379">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验收要求</w:t>
            </w:r>
          </w:p>
        </w:tc>
        <w:tc>
          <w:tcPr>
            <w:tcW w:w="599" w:type="pct"/>
            <w:vAlign w:val="center"/>
          </w:tcPr>
          <w:p w14:paraId="783765DD">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环境保护措施</w:t>
            </w:r>
          </w:p>
        </w:tc>
        <w:tc>
          <w:tcPr>
            <w:tcW w:w="520" w:type="pct"/>
            <w:vAlign w:val="center"/>
          </w:tcPr>
          <w:p w14:paraId="004BD87C">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验收要求</w:t>
            </w:r>
          </w:p>
        </w:tc>
      </w:tr>
      <w:tr w14:paraId="1D51D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79D141C4">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陆生生态</w:t>
            </w:r>
          </w:p>
        </w:tc>
        <w:tc>
          <w:tcPr>
            <w:tcW w:w="2631" w:type="pct"/>
            <w:vAlign w:val="center"/>
          </w:tcPr>
          <w:p w14:paraId="6BD501A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通过工程和生态的方法恢复开采区的植被，项目区内将种植冬樱花、三角梅等。</w:t>
            </w:r>
          </w:p>
        </w:tc>
        <w:tc>
          <w:tcPr>
            <w:tcW w:w="976" w:type="pct"/>
            <w:vAlign w:val="center"/>
          </w:tcPr>
          <w:p w14:paraId="65AD2A79">
            <w:pPr>
              <w:pStyle w:val="8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项目完成后，</w:t>
            </w:r>
            <w:r>
              <w:rPr>
                <w:rFonts w:hint="eastAsia"/>
                <w:color w:val="000000" w:themeColor="text1"/>
                <w14:textFill>
                  <w14:solidFill>
                    <w14:schemeClr w14:val="tx1"/>
                  </w14:solidFill>
                </w14:textFill>
              </w:rPr>
              <w:t>恢复旱地</w:t>
            </w:r>
            <w:r>
              <w:rPr>
                <w:rFonts w:hint="eastAsia"/>
                <w:color w:val="000000" w:themeColor="text1"/>
                <w:lang w:val="en-US" w:eastAsia="zh-CN"/>
                <w14:textFill>
                  <w14:solidFill>
                    <w14:schemeClr w14:val="tx1"/>
                  </w14:solidFill>
                </w14:textFill>
              </w:rPr>
              <w:t>3.5084</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，乔木林地</w:t>
            </w:r>
            <w:r>
              <w:rPr>
                <w:rFonts w:hint="eastAsia"/>
                <w:color w:val="000000" w:themeColor="text1"/>
                <w:lang w:val="en-US" w:eastAsia="zh-CN"/>
                <w14:textFill>
                  <w14:solidFill>
                    <w14:schemeClr w14:val="tx1"/>
                  </w14:solidFill>
                </w14:textFill>
              </w:rPr>
              <w:t>0.3696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，灌木林地</w:t>
            </w:r>
            <w:r>
              <w:rPr>
                <w:rFonts w:hint="eastAsia"/>
                <w:color w:val="000000" w:themeColor="text1"/>
                <w:lang w:val="en-US" w:eastAsia="zh-CN"/>
                <w14:textFill>
                  <w14:solidFill>
                    <w14:schemeClr w14:val="tx1"/>
                  </w14:solidFill>
                </w14:textFill>
              </w:rPr>
              <w:t>2.3506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其他草地0.0846</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p>
        </w:tc>
        <w:tc>
          <w:tcPr>
            <w:tcW w:w="599" w:type="pct"/>
            <w:vAlign w:val="center"/>
          </w:tcPr>
          <w:p w14:paraId="3F4356D3">
            <w:pPr>
              <w:pStyle w:val="72"/>
              <w:adjustRightInd w:val="0"/>
              <w:spacing w:line="240" w:lineRule="auto"/>
              <w:ind w:firstLine="0" w:firstLineChars="0"/>
              <w:jc w:val="both"/>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修复区植被养护和管理</w:t>
            </w:r>
          </w:p>
        </w:tc>
        <w:tc>
          <w:tcPr>
            <w:tcW w:w="520" w:type="pct"/>
            <w:vAlign w:val="center"/>
          </w:tcPr>
          <w:p w14:paraId="1566A19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维护好项目各域植被恢复及养护效果，保护周围野生动植物</w:t>
            </w:r>
          </w:p>
        </w:tc>
      </w:tr>
      <w:tr w14:paraId="6C989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6779744E">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水生生态</w:t>
            </w:r>
          </w:p>
        </w:tc>
        <w:tc>
          <w:tcPr>
            <w:tcW w:w="2631" w:type="pct"/>
            <w:vAlign w:val="center"/>
          </w:tcPr>
          <w:p w14:paraId="396FD37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976" w:type="pct"/>
            <w:vAlign w:val="center"/>
          </w:tcPr>
          <w:p w14:paraId="1211459E">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w:t>
            </w:r>
          </w:p>
        </w:tc>
        <w:tc>
          <w:tcPr>
            <w:tcW w:w="599" w:type="pct"/>
            <w:vAlign w:val="center"/>
          </w:tcPr>
          <w:p w14:paraId="3BA884C2">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w:t>
            </w:r>
          </w:p>
        </w:tc>
        <w:tc>
          <w:tcPr>
            <w:tcW w:w="520" w:type="pct"/>
            <w:vAlign w:val="center"/>
          </w:tcPr>
          <w:p w14:paraId="4AF9CF75">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w:t>
            </w:r>
          </w:p>
        </w:tc>
      </w:tr>
      <w:tr w14:paraId="0C601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342D6813">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地表水环境</w:t>
            </w:r>
          </w:p>
        </w:tc>
        <w:tc>
          <w:tcPr>
            <w:tcW w:w="2631" w:type="pct"/>
            <w:vAlign w:val="center"/>
          </w:tcPr>
          <w:p w14:paraId="4CFE678F">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①</w:t>
            </w:r>
            <w:r>
              <w:rPr>
                <w:rFonts w:hint="eastAsia"/>
                <w:b/>
                <w:bCs/>
                <w:color w:val="000000" w:themeColor="text1"/>
                <w:sz w:val="21"/>
                <w:szCs w:val="21"/>
                <w:lang w:val="en-US" w:eastAsia="zh-CN"/>
                <w14:textFill>
                  <w14:solidFill>
                    <w14:schemeClr w14:val="tx1"/>
                  </w14:solidFill>
                </w14:textFill>
              </w:rPr>
              <w:t>施工废水：</w:t>
            </w:r>
            <w:r>
              <w:rPr>
                <w:rFonts w:hint="eastAsia"/>
                <w:color w:val="000000" w:themeColor="text1"/>
                <w:sz w:val="21"/>
                <w:szCs w:val="21"/>
                <w:lang w:val="en-US" w:eastAsia="zh-CN"/>
                <w14:textFill>
                  <w14:solidFill>
                    <w14:schemeClr w14:val="tx1"/>
                  </w14:solidFill>
                </w14:textFill>
              </w:rPr>
              <w:t>在矿坑修复区设置1个</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3m³的临时沉淀池收集处理车辆冲洗等施工废水</w:t>
            </w:r>
            <w:r>
              <w:rPr>
                <w:rFonts w:hint="eastAsia"/>
                <w:color w:val="000000" w:themeColor="text1"/>
                <w:sz w:val="21"/>
                <w:szCs w:val="21"/>
                <w:lang w:val="en-US"/>
                <w14:textFill>
                  <w14:solidFill>
                    <w14:schemeClr w14:val="tx1"/>
                  </w14:solidFill>
                </w14:textFill>
              </w:rPr>
              <w:t>将施工废水收集沉淀后回用于施工用水、施工场地洒水等；施工人员洗手废水经收集后全部回用于施工场地降尘。</w:t>
            </w:r>
          </w:p>
          <w:p w14:paraId="31130505">
            <w:pPr>
              <w:pStyle w:val="72"/>
              <w:adjustRightInd w:val="0"/>
              <w:spacing w:line="240" w:lineRule="auto"/>
              <w:ind w:firstLine="0" w:firstLineChars="0"/>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b/>
                <w:bCs/>
                <w:color w:val="000000" w:themeColor="text1"/>
                <w:sz w:val="21"/>
                <w:szCs w:val="21"/>
                <w:lang w:val="en-US"/>
                <w14:textFill>
                  <w14:solidFill>
                    <w14:schemeClr w14:val="tx1"/>
                  </w14:solidFill>
                </w14:textFill>
              </w:rPr>
              <w:t>②</w:t>
            </w:r>
            <w:r>
              <w:rPr>
                <w:rFonts w:hint="eastAsia"/>
                <w:b/>
                <w:bCs/>
                <w:color w:val="000000" w:themeColor="text1"/>
                <w:sz w:val="21"/>
                <w:szCs w:val="21"/>
                <w:lang w:val="en-US" w:eastAsia="zh-CN"/>
                <w14:textFill>
                  <w14:solidFill>
                    <w14:schemeClr w14:val="tx1"/>
                  </w14:solidFill>
                </w14:textFill>
              </w:rPr>
              <w:t>渗滤液收集及处置：</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在矿坑修复区新建</w:t>
            </w:r>
            <w:r>
              <w:rPr>
                <w:rFonts w:hint="eastAsia"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w:t>
            </w:r>
            <w:r>
              <w:rPr>
                <w:rFonts w:hint="eastAsia" w:cs="Times New Roman"/>
                <w:color w:val="000000" w:themeColor="text1"/>
                <w:kern w:val="0"/>
                <w:sz w:val="21"/>
                <w:szCs w:val="21"/>
                <w:highlight w:val="none"/>
                <w:lang w:val="en-US" w:eastAsia="zh-CN" w:bidi="ar"/>
                <w14:textFill>
                  <w14:solidFill>
                    <w14:schemeClr w14:val="tx1"/>
                  </w14:solidFill>
                </w14:textFill>
              </w:rPr>
              <w:t>15.488</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m³（2.2×2.2×3.2m）的渗滤液收集井，1个</w:t>
            </w:r>
            <w:r>
              <w:rPr>
                <w:rFonts w:hint="eastAsia" w:cs="Times New Roman"/>
                <w:color w:val="000000" w:themeColor="text1"/>
                <w:kern w:val="0"/>
                <w:sz w:val="21"/>
                <w:szCs w:val="21"/>
                <w:highlight w:val="none"/>
                <w:lang w:val="en-US" w:eastAsia="zh-CN" w:bidi="ar"/>
                <w14:textFill>
                  <w14:solidFill>
                    <w14:schemeClr w14:val="tx1"/>
                  </w14:solidFill>
                </w14:textFill>
              </w:rPr>
              <w:t>800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m³的渗滤液收集池用来收集渗滤液</w:t>
            </w:r>
            <w:r>
              <w:rPr>
                <w:rFonts w:hint="eastAsia" w:eastAsia="宋体" w:cs="Times New Roman"/>
                <w:color w:val="000000" w:themeColor="text1"/>
                <w:kern w:val="0"/>
                <w:sz w:val="21"/>
                <w:szCs w:val="21"/>
                <w:highlight w:val="none"/>
                <w:lang w:eastAsia="zh-CN" w:bidi="ar"/>
                <w14:textFill>
                  <w14:solidFill>
                    <w14:schemeClr w14:val="tx1"/>
                  </w14:solidFill>
                </w14:textFill>
              </w:rPr>
              <w:t>，</w:t>
            </w:r>
            <w:r>
              <w:rPr>
                <w:rFonts w:hint="eastAsia" w:eastAsia="宋体" w:cs="Times New Roman"/>
                <w:color w:val="000000" w:themeColor="text1"/>
                <w:kern w:val="0"/>
                <w:sz w:val="21"/>
                <w:szCs w:val="21"/>
                <w:highlight w:val="none"/>
                <w:lang w:val="en-US" w:eastAsia="zh-CN" w:bidi="ar"/>
                <w14:textFill>
                  <w14:solidFill>
                    <w14:schemeClr w14:val="tx1"/>
                  </w14:solidFill>
                </w14:textFill>
              </w:rPr>
              <w:t>由于高差，渗滤液在渗滤液收集井暂存后经管道提升至</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渗滤液收集池</w:t>
            </w:r>
            <w:r>
              <w:rPr>
                <w:rFonts w:hint="eastAsia" w:eastAsia="宋体" w:cs="Times New Roman"/>
                <w:color w:val="000000" w:themeColor="text1"/>
                <w:kern w:val="0"/>
                <w:sz w:val="21"/>
                <w:szCs w:val="21"/>
                <w:highlight w:val="none"/>
                <w:lang w:val="en-US" w:eastAsia="zh-CN" w:bidi="ar"/>
                <w14:textFill>
                  <w14:solidFill>
                    <w14:schemeClr w14:val="tx1"/>
                  </w14:solidFill>
                </w14:textFill>
              </w:rPr>
              <w:t>中；</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施工期</w:t>
            </w:r>
            <w:r>
              <w:rPr>
                <w:rFonts w:hint="eastAsia" w:eastAsia="宋体" w:cs="Times New Roman"/>
                <w:color w:val="000000" w:themeColor="text1"/>
                <w:kern w:val="0"/>
                <w:sz w:val="21"/>
                <w:szCs w:val="21"/>
                <w:highlight w:val="none"/>
                <w:lang w:val="en-US" w:eastAsia="zh-CN" w:bidi="ar"/>
                <w14:textFill>
                  <w14:solidFill>
                    <w14:schemeClr w14:val="tx1"/>
                  </w14:solidFill>
                </w14:textFill>
              </w:rPr>
              <w:t>渗滤液</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回用于修复区绿化及洒水抑尘，管护期使用罐车拉回</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云南常青树化工有限公司</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进行处理。</w:t>
            </w:r>
            <w:r>
              <w:rPr>
                <w:rFonts w:hint="eastAsia" w:ascii="Times New Roman" w:hAnsi="Times New Roman" w:eastAsia="宋体" w:cs="Times New Roman"/>
                <w:b w:val="0"/>
                <w:bCs/>
                <w:color w:val="000000" w:themeColor="text1"/>
                <w:kern w:val="0"/>
                <w:sz w:val="21"/>
                <w:szCs w:val="21"/>
                <w:lang w:bidi="ar"/>
                <w14:textFill>
                  <w14:solidFill>
                    <w14:schemeClr w14:val="tx1"/>
                  </w14:solidFill>
                </w14:textFill>
              </w:rPr>
              <w:t>地下水收集导排水定期开展监测，</w:t>
            </w:r>
            <w:r>
              <w:rPr>
                <w:rFonts w:hint="eastAsia" w:cs="Times New Roman"/>
                <w:b w:val="0"/>
                <w:bCs/>
                <w:color w:val="000000" w:themeColor="text1"/>
                <w:kern w:val="0"/>
                <w:sz w:val="21"/>
                <w:szCs w:val="21"/>
                <w:lang w:val="en-US" w:eastAsia="zh-CN" w:bidi="ar"/>
                <w14:textFill>
                  <w14:solidFill>
                    <w14:schemeClr w14:val="tx1"/>
                  </w14:solidFill>
                </w14:textFill>
              </w:rPr>
              <w:t>执行</w:t>
            </w:r>
            <w:r>
              <w:rPr>
                <w:rFonts w:hint="eastAsia" w:ascii="Times New Roman" w:hAnsi="Times New Roman" w:eastAsia="宋体" w:cs="Times New Roman"/>
                <w:b w:val="0"/>
                <w:bCs/>
                <w:color w:val="000000" w:themeColor="text1"/>
                <w:kern w:val="0"/>
                <w:sz w:val="21"/>
                <w:szCs w:val="21"/>
                <w:lang w:bidi="ar"/>
                <w14:textFill>
                  <w14:solidFill>
                    <w14:schemeClr w14:val="tx1"/>
                  </w14:solidFill>
                </w14:textFill>
              </w:rPr>
              <w:t>《农田灌溉水质标准》（GB5084—2021）中表1、表2旱地作物限值，达标的可回用于修复区绿化浇灌；不达标的拉运回云南常青树化工有限公司、中化云龙有限公司回用，禁止外排</w:t>
            </w:r>
            <w:r>
              <w:rPr>
                <w:rFonts w:hint="eastAsia" w:cs="Times New Roman"/>
                <w:b w:val="0"/>
                <w:bCs/>
                <w:color w:val="000000" w:themeColor="text1"/>
                <w:kern w:val="0"/>
                <w:sz w:val="21"/>
                <w:szCs w:val="21"/>
                <w:lang w:eastAsia="zh-CN" w:bidi="ar"/>
                <w14:textFill>
                  <w14:solidFill>
                    <w14:schemeClr w14:val="tx1"/>
                  </w14:solidFill>
                </w14:textFill>
              </w:rPr>
              <w:t>。</w:t>
            </w:r>
          </w:p>
          <w:p w14:paraId="6B8E9EA9">
            <w:pPr>
              <w:pStyle w:val="72"/>
              <w:adjustRightInd w:val="0"/>
              <w:spacing w:line="240" w:lineRule="auto"/>
              <w:ind w:firstLine="0" w:firstLineChars="0"/>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eastAsia="宋体" w:cs="Times New Roman"/>
                <w:b/>
                <w:bCs/>
                <w:color w:val="000000" w:themeColor="text1"/>
                <w:kern w:val="0"/>
                <w:sz w:val="21"/>
                <w:szCs w:val="21"/>
                <w:highlight w:val="none"/>
                <w:lang w:val="en-US" w:eastAsia="zh-CN" w:bidi="ar"/>
                <w14:textFill>
                  <w14:solidFill>
                    <w14:schemeClr w14:val="tx1"/>
                  </w14:solidFill>
                </w14:textFill>
              </w:rPr>
              <w:t>③地下水观察与收集：</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在矿坑修复区新建容积10m³（2.0×2.0×2.5m）的地下水收集井</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1个</w:t>
            </w:r>
            <w:r>
              <w:rPr>
                <w:rFonts w:hint="eastAsia" w:cs="Times New Roman"/>
                <w:color w:val="000000" w:themeColor="text1"/>
                <w:kern w:val="0"/>
                <w:sz w:val="21"/>
                <w:szCs w:val="21"/>
                <w:highlight w:val="none"/>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w:t>
            </w:r>
            <w:r>
              <w:rPr>
                <w:rFonts w:hint="eastAsia"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×2m）的地下水收集池，</w:t>
            </w:r>
            <w:r>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地下水</w:t>
            </w:r>
            <w:r>
              <w:rPr>
                <w:rFonts w:hint="eastAsia" w:ascii="Times New Roman" w:cs="Times New Roman"/>
                <w:b w:val="0"/>
                <w:bCs/>
                <w:color w:val="000000" w:themeColor="text1"/>
                <w:kern w:val="0"/>
                <w:sz w:val="21"/>
                <w:szCs w:val="21"/>
                <w:lang w:val="en-US" w:eastAsia="zh-CN" w:bidi="ar"/>
                <w14:textFill>
                  <w14:solidFill>
                    <w14:schemeClr w14:val="tx1"/>
                  </w14:solidFill>
                </w14:textFill>
              </w:rPr>
              <w:t>收集</w:t>
            </w:r>
            <w:r>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井</w:t>
            </w:r>
            <w:r>
              <w:rPr>
                <w:rFonts w:hint="eastAsia" w:eastAsia="宋体" w:cs="Times New Roman"/>
                <w:b w:val="0"/>
                <w:bCs/>
                <w:color w:val="000000" w:themeColor="text1"/>
                <w:kern w:val="0"/>
                <w:sz w:val="21"/>
                <w:szCs w:val="21"/>
                <w:lang w:val="en-US" w:eastAsia="zh-CN" w:bidi="ar"/>
                <w14:textFill>
                  <w14:solidFill>
                    <w14:schemeClr w14:val="tx1"/>
                  </w14:solidFill>
                </w14:textFill>
              </w:rPr>
              <w:t>与地下水收集池</w:t>
            </w:r>
            <w:r>
              <w:rPr>
                <w:rFonts w:hint="eastAsia" w:ascii="Times New Roman" w:cs="Times New Roman"/>
                <w:b w:val="0"/>
                <w:bCs/>
                <w:color w:val="000000" w:themeColor="text1"/>
                <w:kern w:val="0"/>
                <w:sz w:val="21"/>
                <w:szCs w:val="21"/>
                <w:lang w:val="en-US" w:eastAsia="zh-CN" w:bidi="ar"/>
                <w14:textFill>
                  <w14:solidFill>
                    <w14:schemeClr w14:val="tx1"/>
                  </w14:solidFill>
                </w14:textFill>
              </w:rPr>
              <w:t>同时具备收集和观察功能</w:t>
            </w:r>
            <w:r>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，通过</w:t>
            </w:r>
            <w:r>
              <w:rPr>
                <w:rFonts w:hint="eastAsia" w:eastAsia="宋体" w:cs="Times New Roman"/>
                <w:b w:val="0"/>
                <w:bCs/>
                <w:color w:val="000000" w:themeColor="text1"/>
                <w:kern w:val="0"/>
                <w:sz w:val="21"/>
                <w:szCs w:val="21"/>
                <w:lang w:val="en-US" w:eastAsia="zh-CN" w:bidi="ar"/>
                <w14:textFill>
                  <w14:solidFill>
                    <w14:schemeClr w14:val="tx1"/>
                  </w14:solidFill>
                </w14:textFill>
              </w:rPr>
              <w:t>地下水</w:t>
            </w:r>
            <w:r>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检测结果判断是否发生</w:t>
            </w:r>
            <w:r>
              <w:rPr>
                <w:rFonts w:hint="eastAsia" w:ascii="Times New Roman" w:hAnsi="Times New Roman" w:eastAsia="宋体" w:cs="Times New Roman"/>
                <w:b w:val="0"/>
                <w:bCs/>
                <w:color w:val="000000" w:themeColor="text1"/>
                <w:kern w:val="0"/>
                <w:sz w:val="21"/>
                <w:szCs w:val="21"/>
                <w:lang w:bidi="ar"/>
                <w14:textFill>
                  <w14:solidFill>
                    <w14:schemeClr w14:val="tx1"/>
                  </w14:solidFill>
                </w14:textFill>
              </w:rPr>
              <w:t>因防渗衬层破损</w:t>
            </w:r>
            <w:r>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而</w:t>
            </w:r>
            <w:r>
              <w:rPr>
                <w:rFonts w:hint="eastAsia" w:ascii="Times New Roman" w:hAnsi="Times New Roman" w:eastAsia="宋体" w:cs="Times New Roman"/>
                <w:b w:val="0"/>
                <w:bCs/>
                <w:color w:val="000000" w:themeColor="text1"/>
                <w:kern w:val="0"/>
                <w:sz w:val="21"/>
                <w:szCs w:val="21"/>
                <w:lang w:bidi="ar"/>
                <w14:textFill>
                  <w14:solidFill>
                    <w14:schemeClr w14:val="tx1"/>
                  </w14:solidFill>
                </w14:textFill>
              </w:rPr>
              <w:t>导致渗漏问题</w:t>
            </w:r>
            <w:r>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发生的情况</w:t>
            </w:r>
            <w:r>
              <w:rPr>
                <w:rFonts w:hint="eastAsia" w:eastAsia="宋体" w:cs="Times New Roman"/>
                <w:b w:val="0"/>
                <w:bCs/>
                <w:color w:val="000000" w:themeColor="text1"/>
                <w:kern w:val="0"/>
                <w:sz w:val="21"/>
                <w:szCs w:val="21"/>
                <w:lang w:val="en-US" w:eastAsia="zh-CN" w:bidi="ar"/>
                <w14:textFill>
                  <w14:solidFill>
                    <w14:schemeClr w14:val="tx1"/>
                  </w14:solidFill>
                </w14:textFill>
              </w:rPr>
              <w:t>，从而采取相关防治措施</w:t>
            </w:r>
            <w:r>
              <w:rPr>
                <w:rFonts w:hint="eastAsia" w:ascii="Times New Roman" w:hAnsi="Times New Roman" w:eastAsia="宋体" w:cs="Times New Roman"/>
                <w:b w:val="0"/>
                <w:bCs/>
                <w:color w:val="000000" w:themeColor="text1"/>
                <w:kern w:val="0"/>
                <w:sz w:val="21"/>
                <w:szCs w:val="21"/>
                <w:lang w:bidi="ar"/>
                <w14:textFill>
                  <w14:solidFill>
                    <w14:schemeClr w14:val="tx1"/>
                  </w14:solidFill>
                </w14:textFill>
              </w:rPr>
              <w:t>。</w:t>
            </w:r>
          </w:p>
          <w:p w14:paraId="1AF01946">
            <w:pPr>
              <w:pStyle w:val="72"/>
              <w:adjustRightInd w:val="0"/>
              <w:spacing w:line="240" w:lineRule="auto"/>
              <w:ind w:firstLine="0" w:firstLineChars="0"/>
              <w:rPr>
                <w:rFonts w:hint="default" w:eastAsia="宋体"/>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kern w:val="0"/>
                <w:sz w:val="21"/>
                <w:szCs w:val="21"/>
                <w:highlight w:val="none"/>
                <w:lang w:val="en-US" w:eastAsia="zh-CN" w:bidi="ar"/>
                <w14:textFill>
                  <w14:solidFill>
                    <w14:schemeClr w14:val="tx1"/>
                  </w14:solidFill>
                </w14:textFill>
              </w:rPr>
              <w:t>④雨水收集：</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雨水收集池共设置</w:t>
            </w:r>
            <w:r>
              <w:rPr>
                <w:rFonts w:hint="eastAsia"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个，容积为</w:t>
            </w:r>
            <w:r>
              <w:rPr>
                <w:rFonts w:hint="eastAsia" w:cs="Times New Roman"/>
                <w:color w:val="000000" w:themeColor="text1"/>
                <w:kern w:val="0"/>
                <w:sz w:val="21"/>
                <w:szCs w:val="21"/>
                <w:highlight w:val="none"/>
                <w:lang w:val="en-US" w:eastAsia="zh-CN" w:bidi="ar"/>
                <w14:textFill>
                  <w14:solidFill>
                    <w14:schemeClr w14:val="tx1"/>
                  </w14:solidFill>
                </w14:textFill>
              </w:rPr>
              <w:t>120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的雨水收集池</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雨水在收集池中收集后用于修复区绿化及洒水抑尘。</w:t>
            </w:r>
          </w:p>
        </w:tc>
        <w:tc>
          <w:tcPr>
            <w:tcW w:w="976" w:type="pct"/>
            <w:vAlign w:val="center"/>
          </w:tcPr>
          <w:p w14:paraId="6D53DD6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施工期建设</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14:textFill>
                  <w14:solidFill>
                    <w14:schemeClr w14:val="tx1"/>
                  </w14:solidFill>
                </w14:textFill>
              </w:rPr>
              <w:t>个容积为3m³临时沉淀池来处理施工产生的废水，设置</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14:textFill>
                  <w14:solidFill>
                    <w14:schemeClr w14:val="tx1"/>
                  </w14:solidFill>
                </w14:textFill>
              </w:rPr>
              <w:t>个渗滤液收集</w:t>
            </w:r>
            <w:r>
              <w:rPr>
                <w:rFonts w:hint="eastAsia"/>
                <w:color w:val="000000" w:themeColor="text1"/>
                <w:sz w:val="21"/>
                <w:szCs w:val="21"/>
                <w:lang w:val="en-US" w:eastAsia="zh-CN"/>
                <w14:textFill>
                  <w14:solidFill>
                    <w14:schemeClr w14:val="tx1"/>
                  </w14:solidFill>
                </w14:textFill>
              </w:rPr>
              <w:t>池</w:t>
            </w:r>
            <w:r>
              <w:rPr>
                <w:rFonts w:hint="eastAsia"/>
                <w:color w:val="000000" w:themeColor="text1"/>
                <w:sz w:val="21"/>
                <w:szCs w:val="21"/>
                <w:lang w:val="en-US"/>
                <w14:textFill>
                  <w14:solidFill>
                    <w14:schemeClr w14:val="tx1"/>
                  </w14:solidFill>
                </w14:textFill>
              </w:rPr>
              <w:t>收集</w:t>
            </w:r>
            <w:r>
              <w:rPr>
                <w:rFonts w:hint="eastAsia"/>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北部</w:t>
            </w:r>
            <w:r>
              <w:rPr>
                <w:rFonts w:hint="eastAsia" w:cs="Times New Roman"/>
                <w:color w:val="000000" w:themeColor="text1"/>
                <w:kern w:val="0"/>
                <w:sz w:val="21"/>
                <w:szCs w:val="21"/>
                <w:highlight w:val="none"/>
                <w:lang w:val="en-US" w:eastAsia="zh-CN" w:bidi="ar"/>
                <w14:textFill>
                  <w14:solidFill>
                    <w14:schemeClr w14:val="tx1"/>
                  </w14:solidFill>
                </w14:textFill>
              </w:rPr>
              <w:t>140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南部</w:t>
            </w:r>
            <w:r>
              <w:rPr>
                <w:rFonts w:hint="eastAsia" w:cs="Times New Roman"/>
                <w:color w:val="000000" w:themeColor="text1"/>
                <w:kern w:val="0"/>
                <w:sz w:val="21"/>
                <w:szCs w:val="21"/>
                <w:highlight w:val="none"/>
                <w:lang w:val="en-US" w:eastAsia="zh-CN" w:bidi="ar"/>
                <w14:textFill>
                  <w14:solidFill>
                    <w14:schemeClr w14:val="tx1"/>
                  </w14:solidFill>
                </w14:textFill>
              </w:rPr>
              <w:t>2500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2座</w:t>
            </w:r>
            <w:r>
              <w:rPr>
                <w:rFonts w:hint="eastAsia" w:cs="Times New Roman"/>
                <w:color w:val="000000" w:themeColor="text1"/>
                <w:kern w:val="0"/>
                <w:sz w:val="21"/>
                <w:szCs w:val="21"/>
                <w:highlight w:val="none"/>
                <w:lang w:val="en-US" w:eastAsia="zh-CN" w:bidi="ar"/>
                <w14:textFill>
                  <w14:solidFill>
                    <w14:schemeClr w14:val="tx1"/>
                  </w14:solidFill>
                </w14:textFill>
              </w:rPr>
              <w:t>地下水</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收集</w:t>
            </w:r>
            <w:r>
              <w:rPr>
                <w:rFonts w:hint="eastAsia" w:cs="Times New Roman"/>
                <w:color w:val="000000" w:themeColor="text1"/>
                <w:kern w:val="0"/>
                <w:sz w:val="21"/>
                <w:szCs w:val="21"/>
                <w:highlight w:val="none"/>
                <w:lang w:val="en-US" w:eastAsia="zh-CN" w:bidi="ar"/>
                <w14:textFill>
                  <w14:solidFill>
                    <w14:schemeClr w14:val="tx1"/>
                  </w14:solidFill>
                </w14:textFill>
              </w:rPr>
              <w:t>井（北部9.6</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南部</w:t>
            </w:r>
            <w:r>
              <w:rPr>
                <w:rFonts w:hint="eastAsia" w:cs="Times New Roman"/>
                <w:color w:val="000000" w:themeColor="text1"/>
                <w:kern w:val="0"/>
                <w:sz w:val="21"/>
                <w:szCs w:val="21"/>
                <w:highlight w:val="none"/>
                <w:lang w:val="en-US" w:eastAsia="zh-CN" w:bidi="ar"/>
                <w14:textFill>
                  <w14:solidFill>
                    <w14:schemeClr w14:val="tx1"/>
                  </w14:solidFill>
                </w14:textFill>
              </w:rPr>
              <w:t>7.36</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eastAsia"/>
                <w:color w:val="000000" w:themeColor="text1"/>
                <w:sz w:val="21"/>
                <w:szCs w:val="21"/>
                <w:lang w:val="en-US"/>
                <w14:textFill>
                  <w14:solidFill>
                    <w14:schemeClr w14:val="tx1"/>
                  </w14:solidFill>
                </w14:textFill>
              </w:rPr>
              <w:t>废水收集沉淀后回用于回填区洒水降尘。</w:t>
            </w:r>
          </w:p>
        </w:tc>
        <w:tc>
          <w:tcPr>
            <w:tcW w:w="599" w:type="pct"/>
            <w:vAlign w:val="center"/>
          </w:tcPr>
          <w:p w14:paraId="4561975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渗滤液收集至收集井后回用</w:t>
            </w:r>
          </w:p>
        </w:tc>
        <w:tc>
          <w:tcPr>
            <w:tcW w:w="520" w:type="pct"/>
            <w:vAlign w:val="center"/>
          </w:tcPr>
          <w:p w14:paraId="4BF836E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经收集后全部回用于洒水降尘</w:t>
            </w:r>
          </w:p>
        </w:tc>
      </w:tr>
      <w:tr w14:paraId="00BD4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71" w:type="pct"/>
            <w:vAlign w:val="center"/>
          </w:tcPr>
          <w:p w14:paraId="5E4A5E91">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地下水及土壤环境</w:t>
            </w:r>
          </w:p>
        </w:tc>
        <w:tc>
          <w:tcPr>
            <w:tcW w:w="2631" w:type="pct"/>
            <w:vAlign w:val="center"/>
          </w:tcPr>
          <w:p w14:paraId="661AC9E0">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1</w:t>
            </w:r>
            <w:r>
              <w:rPr>
                <w:rFonts w:hint="eastAsia"/>
                <w:color w:val="000000" w:themeColor="text1"/>
                <w:sz w:val="21"/>
                <w:szCs w:val="21"/>
                <w:lang w:val="en-US"/>
                <w14:textFill>
                  <w14:solidFill>
                    <w14:schemeClr w14:val="tx1"/>
                  </w14:solidFill>
                </w14:textFill>
              </w:rPr>
              <w:t>、防渗工程</w:t>
            </w:r>
          </w:p>
          <w:p w14:paraId="2CBF711D">
            <w:pPr>
              <w:pStyle w:val="72"/>
              <w:keepNext w:val="0"/>
              <w:keepLines w:val="0"/>
              <w:pageBreakBefore w:val="0"/>
              <w:widowControl w:val="0"/>
              <w:kinsoku/>
              <w:wordWrap/>
              <w:overflowPunct/>
              <w:topLinePunct w:val="0"/>
              <w:autoSpaceDE/>
              <w:autoSpaceDN/>
              <w:bidi w:val="0"/>
              <w:adjustRightInd w:val="0"/>
              <w:spacing w:line="240" w:lineRule="auto"/>
              <w:ind w:firstLine="0" w:firstLineChars="0"/>
              <w:textAlignment w:val="auto"/>
              <w:rPr>
                <w:color w:val="000000" w:themeColor="text1"/>
                <w:kern w:val="0"/>
                <w:sz w:val="21"/>
                <w:szCs w:val="21"/>
                <w:lang w:val="en-US" w:bidi="ar"/>
                <w14:textFill>
                  <w14:solidFill>
                    <w14:schemeClr w14:val="tx1"/>
                  </w14:solidFill>
                </w14:textFill>
              </w:rPr>
            </w:pPr>
            <w:r>
              <w:rPr>
                <w:rFonts w:hint="eastAsia"/>
                <w:color w:val="000000" w:themeColor="text1"/>
                <w:kern w:val="0"/>
                <w:sz w:val="21"/>
                <w:szCs w:val="21"/>
                <w:lang w:val="en-US" w:bidi="ar"/>
                <w14:textFill>
                  <w14:solidFill>
                    <w14:schemeClr w14:val="tx1"/>
                  </w14:solidFill>
                </w14:textFill>
              </w:rPr>
              <w:t>基底处理：生态修复区底部清基后铺设粘土层，压实处理后粘土层厚度0.75</w:t>
            </w:r>
            <w:r>
              <w:rPr>
                <w:color w:val="000000" w:themeColor="text1"/>
                <w:kern w:val="0"/>
                <w:sz w:val="21"/>
                <w:szCs w:val="21"/>
                <w:lang w:val="en-US" w:bidi="ar"/>
                <w14:textFill>
                  <w14:solidFill>
                    <w14:schemeClr w14:val="tx1"/>
                  </w14:solidFill>
                </w14:textFill>
              </w:rPr>
              <w:t>m</w:t>
            </w:r>
            <w:r>
              <w:rPr>
                <w:rFonts w:hint="eastAsia"/>
                <w:color w:val="000000" w:themeColor="text1"/>
                <w:kern w:val="0"/>
                <w:sz w:val="21"/>
                <w:szCs w:val="21"/>
                <w:lang w:val="en-US" w:bidi="ar"/>
                <w14:textFill>
                  <w14:solidFill>
                    <w14:schemeClr w14:val="tx1"/>
                  </w14:solidFill>
                </w14:textFill>
              </w:rPr>
              <w:t>，压实后的粘土层进行渗透试验，渗透系数满足</w:t>
            </w:r>
            <w:r>
              <w:rPr>
                <w:color w:val="000000" w:themeColor="text1"/>
                <w:kern w:val="0"/>
                <w:sz w:val="21"/>
                <w:szCs w:val="21"/>
                <w:lang w:val="en-US" w:bidi="ar"/>
                <w14:textFill>
                  <w14:solidFill>
                    <w14:schemeClr w14:val="tx1"/>
                  </w14:solidFill>
                </w14:textFill>
              </w:rPr>
              <w:t>1.0×10</w:t>
            </w:r>
            <w:r>
              <w:rPr>
                <w:rFonts w:hint="eastAsia"/>
                <w:color w:val="000000" w:themeColor="text1"/>
                <w:kern w:val="0"/>
                <w:sz w:val="21"/>
                <w:szCs w:val="21"/>
                <w:vertAlign w:val="superscript"/>
                <w:lang w:val="en-US" w:bidi="ar"/>
                <w14:textFill>
                  <w14:solidFill>
                    <w14:schemeClr w14:val="tx1"/>
                  </w14:solidFill>
                </w14:textFill>
              </w:rPr>
              <w:t>-</w:t>
            </w:r>
            <w:r>
              <w:rPr>
                <w:color w:val="000000" w:themeColor="text1"/>
                <w:kern w:val="0"/>
                <w:sz w:val="21"/>
                <w:szCs w:val="21"/>
                <w:vertAlign w:val="superscript"/>
                <w:lang w:val="en-US" w:bidi="ar"/>
                <w14:textFill>
                  <w14:solidFill>
                    <w14:schemeClr w14:val="tx1"/>
                  </w14:solidFill>
                </w14:textFill>
              </w:rPr>
              <w:t>5</w:t>
            </w:r>
            <w:r>
              <w:rPr>
                <w:color w:val="000000" w:themeColor="text1"/>
                <w:kern w:val="0"/>
                <w:sz w:val="21"/>
                <w:szCs w:val="21"/>
                <w:lang w:val="en-US" w:bidi="ar"/>
                <w14:textFill>
                  <w14:solidFill>
                    <w14:schemeClr w14:val="tx1"/>
                  </w14:solidFill>
                </w14:textFill>
              </w:rPr>
              <w:t>cm/s</w:t>
            </w:r>
            <w:r>
              <w:rPr>
                <w:rFonts w:hint="eastAsia"/>
                <w:color w:val="000000" w:themeColor="text1"/>
                <w:kern w:val="0"/>
                <w:sz w:val="21"/>
                <w:szCs w:val="21"/>
                <w:lang w:val="en-US" w:bidi="ar"/>
                <w14:textFill>
                  <w14:solidFill>
                    <w14:schemeClr w14:val="tx1"/>
                  </w14:solidFill>
                </w14:textFill>
              </w:rPr>
              <w:t>要求后再进行地下水导排管和人工防渗膜铺设。如工程场地发现岩溶裂隙等不稳定基层或其他影响工程安全稳定性的问题，应及时采用回填、加固等相关措施进行处理，达到相关要求后方可进一步施工。施工监理和环境监理相关单位也应履行好相关职责，确保措施到位，避免存在相关隐患，影响后期防渗工程。</w:t>
            </w:r>
          </w:p>
          <w:p w14:paraId="26F0A426">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Times New Roman" w:hAnsi="Times New Roman" w:cs="Times New Roman"/>
                <w:b/>
                <w:bCs/>
                <w:color w:val="000000" w:themeColor="text1"/>
                <w:kern w:val="0"/>
                <w:sz w:val="21"/>
                <w:szCs w:val="21"/>
                <w:lang w:val="en-US" w:eastAsia="zh-CN" w:bidi="ar"/>
                <w14:textFill>
                  <w14:solidFill>
                    <w14:schemeClr w14:val="tx1"/>
                  </w14:solidFill>
                </w14:textFill>
              </w:rPr>
              <w:t>库底防渗：</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库底整平压实基础层&lt;地下水导排盲沟在其中&gt;+300mm厚粘土层</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土工布+1.5mmHDPE单糙面防渗膜</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土工布；（4）改性磷石膏填料回填</w:t>
            </w:r>
            <w:r>
              <w:rPr>
                <w:rFonts w:hint="eastAsia" w:cs="Times New Roman"/>
                <w:color w:val="000000" w:themeColor="text1"/>
                <w:sz w:val="21"/>
                <w:szCs w:val="21"/>
                <w:highlight w:val="none"/>
                <w:lang w:eastAsia="zh-CN"/>
                <w14:textFill>
                  <w14:solidFill>
                    <w14:schemeClr w14:val="tx1"/>
                  </w14:solidFill>
                </w14:textFill>
              </w:rPr>
              <w:t>。</w:t>
            </w:r>
          </w:p>
          <w:p w14:paraId="05150838">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内边坡防渗：</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边坡清理整平层</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钠基膨润土毯</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1.5mm HDPE单糙面防渗膜</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）改性磷石膏填料回填</w:t>
            </w:r>
            <w:r>
              <w:rPr>
                <w:rFonts w:hint="eastAsia" w:cs="Times New Roman"/>
                <w:color w:val="000000" w:themeColor="text1"/>
                <w:sz w:val="21"/>
                <w:szCs w:val="21"/>
                <w:highlight w:val="none"/>
                <w:lang w:eastAsia="zh-CN"/>
                <w14:textFill>
                  <w14:solidFill>
                    <w14:schemeClr w14:val="tx1"/>
                  </w14:solidFill>
                </w14:textFill>
              </w:rPr>
              <w:t>。</w:t>
            </w:r>
          </w:p>
          <w:p w14:paraId="6C466DA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顶部防渗：</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回填材料压实整平</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膜下排气管</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1.5mm HDPE双糙面防渗膜</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400g/㎡长丝无纺土工布</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400mm厚阻隔支撑层填土&lt;碎石盲沟排水网格布设其中&gt;</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600mm厚土壤覆盖层；顶部防渗应与矿坑内边坡防渗膜搭接。</w:t>
            </w:r>
          </w:p>
          <w:p w14:paraId="2C272BAD">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宋体" w:hAnsi="宋体" w:eastAsia="宋体" w:cs="宋体"/>
                <w:color w:val="000000" w:themeColor="text1"/>
                <w:kern w:val="0"/>
                <w:sz w:val="21"/>
                <w:szCs w:val="21"/>
                <w:lang w:eastAsia="zh-CN"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拦挡坝体内坡防渗结构防渗：</w:t>
            </w:r>
            <w:r>
              <w:rPr>
                <w:rFonts w:hint="default" w:ascii="Times New Roman" w:hAnsi="Times New Roman" w:eastAsia="宋体" w:cs="Times New Roman"/>
                <w:color w:val="000000" w:themeColor="text1"/>
                <w:sz w:val="21"/>
                <w:szCs w:val="21"/>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钠基膨润土毯</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BF48436">
            <w:pPr>
              <w:keepNext w:val="0"/>
              <w:keepLines w:val="0"/>
              <w:pageBreakBefore w:val="0"/>
              <w:widowControl w:val="0"/>
              <w:kinsoku/>
              <w:wordWrap/>
              <w:overflowPunct/>
              <w:topLinePunct w:val="0"/>
              <w:autoSpaceDE/>
              <w:autoSpaceDN/>
              <w:bidi w:val="0"/>
              <w:adjustRightInd w:val="0"/>
              <w:spacing w:line="240" w:lineRule="auto"/>
              <w:ind w:firstLine="48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北部采石场、南部采石场</w:t>
            </w: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修复回填区场内</w:t>
            </w:r>
            <w:r>
              <w:rPr>
                <w:rFonts w:hint="eastAsia" w:cs="Times New Roman"/>
                <w:color w:val="000000" w:themeColor="text1"/>
                <w:sz w:val="21"/>
                <w:szCs w:val="21"/>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1"/>
                <w:szCs w:val="21"/>
                <w:highlight w:val="none"/>
                <w14:textFill>
                  <w14:solidFill>
                    <w14:schemeClr w14:val="tx1"/>
                  </w14:solidFill>
                </w14:textFill>
              </w:rPr>
              <w:t>设置纵横雨水沟，导排场内雨水进入周边截水沟外排。在堆填体每层平台上修建雨水沟，沟断面</w:t>
            </w:r>
            <w:r>
              <w:rPr>
                <w:rFonts w:hint="eastAsia" w:cs="Times New Roman"/>
                <w:color w:val="000000" w:themeColor="text1"/>
                <w:sz w:val="21"/>
                <w:szCs w:val="21"/>
                <w:highlight w:val="none"/>
                <w:lang w:val="en-US" w:eastAsia="zh-CN"/>
                <w14:textFill>
                  <w14:solidFill>
                    <w14:schemeClr w14:val="tx1"/>
                  </w14:solidFill>
                </w14:textFill>
              </w:rPr>
              <w:t>均为</w:t>
            </w:r>
            <w:r>
              <w:rPr>
                <w:rFonts w:hint="default" w:ascii="Times New Roman" w:hAnsi="Times New Roman" w:eastAsia="宋体" w:cs="Times New Roman"/>
                <w:color w:val="000000" w:themeColor="text1"/>
                <w:sz w:val="21"/>
                <w:szCs w:val="21"/>
                <w:highlight w:val="none"/>
                <w14:textFill>
                  <w14:solidFill>
                    <w14:schemeClr w14:val="tx1"/>
                  </w14:solidFill>
                </w14:textFill>
              </w:rPr>
              <w:t>300mm×400mm，坡度</w:t>
            </w:r>
            <w:r>
              <w:rPr>
                <w:rFonts w:hint="eastAsia" w:cs="Times New Roman"/>
                <w:color w:val="000000" w:themeColor="text1"/>
                <w:sz w:val="21"/>
                <w:szCs w:val="21"/>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1"/>
                <w:szCs w:val="21"/>
                <w:highlight w:val="none"/>
                <w14:textFill>
                  <w14:solidFill>
                    <w14:schemeClr w14:val="tx1"/>
                  </w14:solidFill>
                </w14:textFill>
              </w:rPr>
              <w:t>不小于0.01，堆填体边坡纵向设雨水沟，纵向坡面雨水沟间隔30m设一条，断面300mm×400mm。雨水沟导排至周边截水沟，断面500mm×600mm</w:t>
            </w:r>
            <w:r>
              <w:rPr>
                <w:rFonts w:hint="eastAsia" w:cs="Times New Roman"/>
                <w:color w:val="000000" w:themeColor="text1"/>
                <w:sz w:val="21"/>
                <w:szCs w:val="21"/>
                <w:highlight w:val="none"/>
                <w:lang w:eastAsia="zh-CN"/>
                <w14:textFill>
                  <w14:solidFill>
                    <w14:schemeClr w14:val="tx1"/>
                  </w14:solidFill>
                </w14:textFill>
              </w:rPr>
              <w:t>。</w:t>
            </w:r>
          </w:p>
          <w:p w14:paraId="2536ACFB">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2</w:t>
            </w:r>
            <w:r>
              <w:rPr>
                <w:rFonts w:hint="eastAsia"/>
                <w:color w:val="000000" w:themeColor="text1"/>
                <w:sz w:val="21"/>
                <w:szCs w:val="21"/>
                <w:lang w:val="en-US"/>
                <w14:textFill>
                  <w14:solidFill>
                    <w14:schemeClr w14:val="tx1"/>
                  </w14:solidFill>
                </w14:textFill>
              </w:rPr>
              <w:t>、防渗漏监控系统</w:t>
            </w:r>
          </w:p>
          <w:p w14:paraId="3D96D1C1">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设置防渗漏监控系统，监控防渗衬层的完整性。</w:t>
            </w:r>
          </w:p>
          <w:p w14:paraId="501F2321">
            <w:pPr>
              <w:pStyle w:val="72"/>
              <w:numPr>
                <w:ilvl w:val="0"/>
                <w:numId w:val="10"/>
              </w:numPr>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地下水监控井：</w:t>
            </w:r>
            <w:r>
              <w:rPr>
                <w:rFonts w:hint="eastAsia"/>
                <w:color w:val="000000" w:themeColor="text1"/>
                <w:kern w:val="0"/>
                <w:sz w:val="21"/>
                <w:szCs w:val="21"/>
                <w:lang w:bidi="ar"/>
                <w14:textFill>
                  <w14:solidFill>
                    <w14:schemeClr w14:val="tx1"/>
                  </w14:solidFill>
                </w14:textFill>
              </w:rPr>
              <w:t>项目区</w:t>
            </w:r>
            <w:r>
              <w:rPr>
                <w:rFonts w:hint="eastAsia"/>
                <w:color w:val="000000" w:themeColor="text1"/>
                <w:kern w:val="0"/>
                <w:sz w:val="21"/>
                <w:szCs w:val="21"/>
                <w:lang w:val="en-US" w:eastAsia="zh-CN" w:bidi="ar"/>
                <w14:textFill>
                  <w14:solidFill>
                    <w14:schemeClr w14:val="tx1"/>
                  </w14:solidFill>
                </w14:textFill>
              </w:rPr>
              <w:t>共设置</w:t>
            </w:r>
            <w:r>
              <w:rPr>
                <w:rFonts w:hint="eastAsia" w:ascii="宋体" w:hAnsi="宋体"/>
                <w:color w:val="000000" w:themeColor="text1"/>
                <w:kern w:val="0"/>
                <w:sz w:val="21"/>
                <w:szCs w:val="21"/>
                <w:lang w:val="en-US" w:eastAsia="zh-CN"/>
                <w14:textFill>
                  <w14:solidFill>
                    <w14:schemeClr w14:val="tx1"/>
                  </w14:solidFill>
                </w14:textFill>
              </w:rPr>
              <w:t>6</w:t>
            </w:r>
            <w:r>
              <w:rPr>
                <w:rFonts w:ascii="宋体" w:hAnsi="宋体"/>
                <w:color w:val="000000" w:themeColor="text1"/>
                <w:kern w:val="0"/>
                <w:sz w:val="21"/>
                <w:szCs w:val="21"/>
                <w14:textFill>
                  <w14:solidFill>
                    <w14:schemeClr w14:val="tx1"/>
                  </w14:solidFill>
                </w14:textFill>
              </w:rPr>
              <w:t>口</w:t>
            </w:r>
            <w:r>
              <w:rPr>
                <w:rFonts w:hint="eastAsia" w:ascii="宋体" w:hAnsi="宋体"/>
                <w:color w:val="000000" w:themeColor="text1"/>
                <w:kern w:val="0"/>
                <w:sz w:val="21"/>
                <w:szCs w:val="21"/>
                <w:lang w:val="en-US" w:eastAsia="zh-CN"/>
                <w14:textFill>
                  <w14:solidFill>
                    <w14:schemeClr w14:val="tx1"/>
                  </w14:solidFill>
                </w14:textFill>
              </w:rPr>
              <w:t>地下水跟踪监控井</w:t>
            </w:r>
            <w:r>
              <w:rPr>
                <w:rFonts w:hint="eastAsia" w:ascii="宋体" w:hAnsi="宋体"/>
                <w:color w:val="000000" w:themeColor="text1"/>
                <w:kern w:val="0"/>
                <w:sz w:val="21"/>
                <w:szCs w:val="21"/>
                <w:lang w:eastAsia="zh-CN"/>
                <w14:textFill>
                  <w14:solidFill>
                    <w14:schemeClr w14:val="tx1"/>
                  </w14:solidFill>
                </w14:textFill>
              </w:rPr>
              <w:t>（</w:t>
            </w:r>
            <w:r>
              <w:rPr>
                <w:rFonts w:hint="eastAsia" w:ascii="宋体" w:hAnsi="宋体"/>
                <w:color w:val="000000" w:themeColor="text1"/>
                <w:kern w:val="0"/>
                <w:sz w:val="21"/>
                <w:szCs w:val="21"/>
                <w:lang w:val="en-US" w:eastAsia="zh-CN"/>
                <w14:textFill>
                  <w14:solidFill>
                    <w14:schemeClr w14:val="tx1"/>
                  </w14:solidFill>
                </w14:textFill>
              </w:rPr>
              <w:t>修复区周边JCJ01-04,CSC01，八角洞村水井</w:t>
            </w:r>
            <w:r>
              <w:rPr>
                <w:rFonts w:hint="eastAsia" w:ascii="宋体" w:hAnsi="宋体"/>
                <w:color w:val="000000" w:themeColor="text1"/>
                <w:kern w:val="0"/>
                <w:sz w:val="21"/>
                <w:szCs w:val="21"/>
                <w:lang w:eastAsia="zh-CN"/>
                <w14:textFill>
                  <w14:solidFill>
                    <w14:schemeClr w14:val="tx1"/>
                  </w14:solidFill>
                </w14:textFill>
              </w:rPr>
              <w:t>），</w:t>
            </w:r>
            <w:r>
              <w:rPr>
                <w:rFonts w:hint="eastAsia" w:ascii="宋体" w:hAnsi="宋体"/>
                <w:color w:val="000000" w:themeColor="text1"/>
                <w:kern w:val="0"/>
                <w:sz w:val="21"/>
                <w:szCs w:val="21"/>
                <w:lang w:val="en-US" w:eastAsia="zh-CN"/>
                <w14:textFill>
                  <w14:solidFill>
                    <w14:schemeClr w14:val="tx1"/>
                  </w14:solidFill>
                </w14:textFill>
              </w:rPr>
              <w:t>1口地下水收集井</w:t>
            </w:r>
            <w:r>
              <w:rPr>
                <w:rFonts w:hint="eastAsia"/>
                <w:color w:val="000000" w:themeColor="text1"/>
                <w:kern w:val="0"/>
                <w:sz w:val="21"/>
                <w:szCs w:val="21"/>
                <w:lang w:bidi="ar"/>
                <w14:textFill>
                  <w14:solidFill>
                    <w14:schemeClr w14:val="tx1"/>
                  </w14:solidFill>
                </w14:textFill>
              </w:rPr>
              <w:t>。</w:t>
            </w:r>
          </w:p>
        </w:tc>
        <w:tc>
          <w:tcPr>
            <w:tcW w:w="976" w:type="pct"/>
            <w:vAlign w:val="center"/>
          </w:tcPr>
          <w:p w14:paraId="559390B0">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①防渗性能至少相当于防渗系数达到1.0</w:t>
            </w:r>
            <w:r>
              <w:rPr>
                <w:rFonts w:ascii="Arial" w:hAnsi="Arial" w:cs="Arial"/>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10</w:t>
            </w:r>
            <w:r>
              <w:rPr>
                <w:rFonts w:hint="eastAsia"/>
                <w:color w:val="000000" w:themeColor="text1"/>
                <w:kern w:val="0"/>
                <w:vertAlign w:val="superscript"/>
                <w:lang w:val="en-US" w:bidi="ar"/>
                <w14:textFill>
                  <w14:solidFill>
                    <w14:schemeClr w14:val="tx1"/>
                  </w14:solidFill>
                </w14:textFill>
              </w:rPr>
              <w:t>-</w:t>
            </w:r>
            <w:r>
              <w:rPr>
                <w:rFonts w:hint="eastAsia"/>
                <w:color w:val="000000" w:themeColor="text1"/>
                <w:sz w:val="21"/>
                <w:szCs w:val="21"/>
                <w:vertAlign w:val="superscript"/>
                <w:lang w:val="en-US"/>
                <w14:textFill>
                  <w14:solidFill>
                    <w14:schemeClr w14:val="tx1"/>
                  </w14:solidFill>
                </w14:textFill>
              </w:rPr>
              <w:t>5</w:t>
            </w:r>
            <w:r>
              <w:rPr>
                <w:color w:val="000000" w:themeColor="text1"/>
                <w:sz w:val="21"/>
                <w:szCs w:val="21"/>
                <w:lang w:val="en-US"/>
                <w14:textFill>
                  <w14:solidFill>
                    <w14:schemeClr w14:val="tx1"/>
                  </w14:solidFill>
                </w14:textFill>
              </w:rPr>
              <w:t>cm/s</w:t>
            </w:r>
            <w:r>
              <w:rPr>
                <w:rFonts w:hint="eastAsia"/>
                <w:color w:val="000000" w:themeColor="text1"/>
                <w:sz w:val="21"/>
                <w:szCs w:val="21"/>
                <w:lang w:val="en-US"/>
                <w14:textFill>
                  <w14:solidFill>
                    <w14:schemeClr w14:val="tx1"/>
                  </w14:solidFill>
                </w14:textFill>
              </w:rPr>
              <w:t>且厚度为0.75m的天然基础层，提供防渗膜购买记录，施工记录，检验合格证。</w:t>
            </w:r>
          </w:p>
          <w:p w14:paraId="192298C4">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②防渗漏监控系统设置情况</w:t>
            </w:r>
          </w:p>
          <w:p w14:paraId="5F4B4F19">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③施工期防渗工程监理报告工程。</w:t>
            </w:r>
          </w:p>
        </w:tc>
        <w:tc>
          <w:tcPr>
            <w:tcW w:w="599" w:type="pct"/>
            <w:vAlign w:val="center"/>
          </w:tcPr>
          <w:p w14:paraId="67265F40">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按照地表水、地下水、土壤跟踪监测计划实施监测，</w:t>
            </w:r>
            <w:r>
              <w:rPr>
                <w:rFonts w:hint="eastAsia"/>
                <w:color w:val="000000" w:themeColor="text1"/>
                <w:kern w:val="2"/>
                <w:sz w:val="21"/>
                <w:szCs w:val="21"/>
                <w:lang w:val="en-US"/>
                <w14:textFill>
                  <w14:solidFill>
                    <w14:schemeClr w14:val="tx1"/>
                  </w14:solidFill>
                </w14:textFill>
              </w:rPr>
              <w:t>直到相关指标连续3年内，年均检测指标持续稳定，特征指标不呈上升趋势。</w:t>
            </w:r>
          </w:p>
        </w:tc>
        <w:tc>
          <w:tcPr>
            <w:tcW w:w="520" w:type="pct"/>
            <w:vAlign w:val="center"/>
          </w:tcPr>
          <w:p w14:paraId="46210D0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渗滤液回用于回填区洒水降尘。</w:t>
            </w:r>
          </w:p>
          <w:p w14:paraId="7CFE1CF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地下水质量满足《地下水质量标准》（</w:t>
            </w:r>
            <w:r>
              <w:rPr>
                <w:color w:val="000000" w:themeColor="text1"/>
                <w:sz w:val="21"/>
                <w:szCs w:val="21"/>
                <w:lang w:val="en-US"/>
                <w14:textFill>
                  <w14:solidFill>
                    <w14:schemeClr w14:val="tx1"/>
                  </w14:solidFill>
                </w14:textFill>
              </w:rPr>
              <w:t>GB/T14848-2017</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III</w:t>
            </w:r>
            <w:r>
              <w:rPr>
                <w:rFonts w:hint="eastAsia"/>
                <w:color w:val="000000" w:themeColor="text1"/>
                <w:sz w:val="21"/>
                <w:szCs w:val="21"/>
                <w:lang w:val="en-US"/>
                <w14:textFill>
                  <w14:solidFill>
                    <w14:schemeClr w14:val="tx1"/>
                  </w14:solidFill>
                </w14:textFill>
              </w:rPr>
              <w:t>类标准。满足《土壤环境质量建设用地土壤污染风险管控标准（试行）》（</w:t>
            </w:r>
            <w:r>
              <w:rPr>
                <w:color w:val="000000" w:themeColor="text1"/>
                <w:sz w:val="21"/>
                <w:szCs w:val="21"/>
                <w:lang w:val="en-US"/>
                <w14:textFill>
                  <w14:solidFill>
                    <w14:schemeClr w14:val="tx1"/>
                  </w14:solidFill>
                </w14:textFill>
              </w:rPr>
              <w:t>GB36600-2018</w:t>
            </w:r>
            <w:r>
              <w:rPr>
                <w:rFonts w:hint="eastAsia"/>
                <w:color w:val="000000" w:themeColor="text1"/>
                <w:sz w:val="21"/>
                <w:szCs w:val="21"/>
                <w:lang w:val="en-US"/>
                <w14:textFill>
                  <w14:solidFill>
                    <w14:schemeClr w14:val="tx1"/>
                  </w14:solidFill>
                </w14:textFill>
              </w:rPr>
              <w:t>）和《土壤环境质量农用地土壤污染风险管控标准（试行）》</w:t>
            </w:r>
          </w:p>
          <w:p w14:paraId="3BA9EB86">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）相关要求</w:t>
            </w:r>
          </w:p>
        </w:tc>
      </w:tr>
      <w:tr w14:paraId="3272C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790EBC17">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声环境</w:t>
            </w:r>
          </w:p>
        </w:tc>
        <w:tc>
          <w:tcPr>
            <w:tcW w:w="2631" w:type="pct"/>
            <w:vAlign w:val="center"/>
          </w:tcPr>
          <w:p w14:paraId="4552ADED">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①在符合施工需要的前提下，尽可能选取噪声低、振动小、能耗小的先进设备。加强对施工机械的维护保养，避免由于设备性能差而使机械噪声增大的现象发生；</w:t>
            </w:r>
          </w:p>
          <w:p w14:paraId="0FE72DF3">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②加快施工进度，合理安排施工时间</w:t>
            </w:r>
          </w:p>
          <w:p w14:paraId="32DA7661">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③加强对施工人员的环境宣传和教育，使他们认真落实各项降噪措施，做到文明施工；</w:t>
            </w:r>
          </w:p>
          <w:p w14:paraId="01FC3C70">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④运输施工物资应注意合理安排施工物料运输时间</w:t>
            </w:r>
          </w:p>
        </w:tc>
        <w:tc>
          <w:tcPr>
            <w:tcW w:w="976" w:type="pct"/>
            <w:vAlign w:val="center"/>
          </w:tcPr>
          <w:p w14:paraId="44A735F5">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每季度对施工场界噪声进行监测，场界噪声达到</w:t>
            </w:r>
            <w:r>
              <w:rPr>
                <w:rFonts w:hint="eastAsia"/>
                <w:color w:val="000000" w:themeColor="text1"/>
                <w:sz w:val="21"/>
                <w:szCs w:val="21"/>
                <w:lang w:val="en-US" w:eastAsia="zh-CN"/>
                <w14:textFill>
                  <w14:solidFill>
                    <w14:schemeClr w14:val="tx1"/>
                  </w14:solidFill>
                </w14:textFill>
              </w:rPr>
              <w:t>《建筑施工场界环境噪声排放标准》（GB12523-2025）</w:t>
            </w:r>
            <w:r>
              <w:rPr>
                <w:rFonts w:hint="eastAsia"/>
                <w:color w:val="000000" w:themeColor="text1"/>
                <w:sz w:val="21"/>
                <w:szCs w:val="21"/>
                <w:lang w:val="en-US"/>
                <w14:textFill>
                  <w14:solidFill>
                    <w14:schemeClr w14:val="tx1"/>
                  </w14:solidFill>
                </w14:textFill>
              </w:rPr>
              <w:t>要求</w:t>
            </w:r>
          </w:p>
        </w:tc>
        <w:tc>
          <w:tcPr>
            <w:tcW w:w="599" w:type="pct"/>
            <w:vAlign w:val="center"/>
          </w:tcPr>
          <w:p w14:paraId="5DCDC45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39F2CB6C">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r>
      <w:tr w14:paraId="1AB56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78F3ACC0">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振动</w:t>
            </w:r>
          </w:p>
        </w:tc>
        <w:tc>
          <w:tcPr>
            <w:tcW w:w="2631" w:type="pct"/>
            <w:vAlign w:val="center"/>
          </w:tcPr>
          <w:p w14:paraId="373747DF">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976" w:type="pct"/>
            <w:vAlign w:val="center"/>
          </w:tcPr>
          <w:p w14:paraId="5ECD153E">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99" w:type="pct"/>
            <w:vAlign w:val="center"/>
          </w:tcPr>
          <w:p w14:paraId="7CB4E68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42FDB92A">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r>
      <w:tr w14:paraId="43DBB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3C9E681D">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大气环境</w:t>
            </w:r>
          </w:p>
        </w:tc>
        <w:tc>
          <w:tcPr>
            <w:tcW w:w="2631" w:type="pct"/>
            <w:vAlign w:val="center"/>
          </w:tcPr>
          <w:p w14:paraId="240CF4FB">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①施工场地安排专员对施工场地洒水以减少扬尘量，洒水次数根据天气状况而定；非雨天每日洒水次数不少于3次；若遇到大风或干燥天气应增加洒水次数；</w:t>
            </w:r>
          </w:p>
          <w:p w14:paraId="201F0FDC">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②施工场地运输车辆的车厢应当确保牢固、严密，严禁在装运过程中沿途抛、洒、滴、漏；</w:t>
            </w:r>
          </w:p>
          <w:p w14:paraId="62B03A1F">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③进入施工现场的运输车辆应低速、限速行驶，减少扬尘产生量；</w:t>
            </w:r>
          </w:p>
          <w:p w14:paraId="1DB290E1">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④合理安排施工工序、施工进度，尽量避免在大风气象条件下施工。</w:t>
            </w:r>
          </w:p>
        </w:tc>
        <w:tc>
          <w:tcPr>
            <w:tcW w:w="976" w:type="pct"/>
            <w:vAlign w:val="center"/>
          </w:tcPr>
          <w:p w14:paraId="666CC48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每季度对项目区场界颗粒物进行检测，检测结果满足《大气污染物综合排放标准》（</w:t>
            </w:r>
            <w:r>
              <w:rPr>
                <w:color w:val="000000" w:themeColor="text1"/>
                <w:sz w:val="21"/>
                <w:szCs w:val="21"/>
                <w:lang w:val="en-US"/>
                <w14:textFill>
                  <w14:solidFill>
                    <w14:schemeClr w14:val="tx1"/>
                  </w14:solidFill>
                </w14:textFill>
              </w:rPr>
              <w:t>GB16297-1996</w:t>
            </w:r>
            <w:r>
              <w:rPr>
                <w:rFonts w:hint="eastAsia"/>
                <w:color w:val="000000" w:themeColor="text1"/>
                <w:sz w:val="21"/>
                <w:szCs w:val="21"/>
                <w:lang w:val="en-US"/>
                <w14:textFill>
                  <w14:solidFill>
                    <w14:schemeClr w14:val="tx1"/>
                  </w14:solidFill>
                </w14:textFill>
              </w:rPr>
              <w:t>）无组织排放标准。</w:t>
            </w:r>
          </w:p>
        </w:tc>
        <w:tc>
          <w:tcPr>
            <w:tcW w:w="599" w:type="pct"/>
            <w:vAlign w:val="center"/>
          </w:tcPr>
          <w:p w14:paraId="75BB6E9D">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328F708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r>
      <w:tr w14:paraId="3D53B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5EB7793A">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固体废物</w:t>
            </w:r>
          </w:p>
        </w:tc>
        <w:tc>
          <w:tcPr>
            <w:tcW w:w="2631" w:type="pct"/>
            <w:vAlign w:val="center"/>
          </w:tcPr>
          <w:p w14:paraId="3FB27D36">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①项目施工期产生的土石方全部回用于场地平整、拦挡设施、渗滤液收集井建设使用，剩余部分由政府处置。</w:t>
            </w:r>
          </w:p>
          <w:p w14:paraId="3D7A63F9">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②施工期施工人员生活垃圾经集中收集后清运至附近村庄垃圾收集点堆存，由环卫部门清运处置；</w:t>
            </w:r>
          </w:p>
          <w:p w14:paraId="1B5A1BC1">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③</w:t>
            </w:r>
            <w:r>
              <w:rPr>
                <w:rFonts w:hint="eastAsia"/>
                <w:color w:val="000000" w:themeColor="text1"/>
                <w:kern w:val="0"/>
                <w:sz w:val="21"/>
                <w:szCs w:val="21"/>
                <w:lang w:bidi="ar"/>
                <w14:textFill>
                  <w14:solidFill>
                    <w14:schemeClr w14:val="tx1"/>
                  </w14:solidFill>
                </w14:textFill>
              </w:rPr>
              <w:t>项目区</w:t>
            </w:r>
            <w:r>
              <w:rPr>
                <w:rFonts w:hint="eastAsia"/>
                <w:color w:val="000000" w:themeColor="text1"/>
                <w:kern w:val="0"/>
                <w:sz w:val="21"/>
                <w:szCs w:val="21"/>
                <w:lang w:val="en-US" w:eastAsia="zh-CN" w:bidi="ar"/>
                <w14:textFill>
                  <w14:solidFill>
                    <w14:schemeClr w14:val="tx1"/>
                  </w14:solidFill>
                </w14:textFill>
              </w:rPr>
              <w:t>依托采石场原有已建旱厕</w:t>
            </w:r>
            <w:r>
              <w:rPr>
                <w:rFonts w:hint="eastAsia"/>
                <w:color w:val="000000" w:themeColor="text1"/>
                <w:kern w:val="0"/>
                <w:sz w:val="21"/>
                <w:szCs w:val="21"/>
                <w:lang w:bidi="ar"/>
                <w14:textFill>
                  <w14:solidFill>
                    <w14:schemeClr w14:val="tx1"/>
                  </w14:solidFill>
                </w14:textFill>
              </w:rPr>
              <w:t>，旱厕</w:t>
            </w:r>
            <w:r>
              <w:rPr>
                <w:rFonts w:hint="eastAsia"/>
                <w:color w:val="000000" w:themeColor="text1"/>
                <w:kern w:val="0"/>
                <w:sz w:val="21"/>
                <w:szCs w:val="21"/>
                <w:lang w:val="en-US" w:eastAsia="zh-CN" w:bidi="ar"/>
                <w14:textFill>
                  <w14:solidFill>
                    <w14:schemeClr w14:val="tx1"/>
                  </w14:solidFill>
                </w14:textFill>
              </w:rPr>
              <w:t>定期清掏肥田。</w:t>
            </w:r>
          </w:p>
        </w:tc>
        <w:tc>
          <w:tcPr>
            <w:tcW w:w="976" w:type="pct"/>
            <w:vAlign w:val="center"/>
          </w:tcPr>
          <w:p w14:paraId="6AE77BD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100%</w:t>
            </w:r>
            <w:r>
              <w:rPr>
                <w:rFonts w:hint="eastAsia"/>
                <w:color w:val="000000" w:themeColor="text1"/>
                <w:sz w:val="21"/>
                <w:szCs w:val="21"/>
                <w:lang w:val="en-US"/>
                <w14:textFill>
                  <w14:solidFill>
                    <w14:schemeClr w14:val="tx1"/>
                  </w14:solidFill>
                </w14:textFill>
              </w:rPr>
              <w:t>合理处置</w:t>
            </w:r>
          </w:p>
        </w:tc>
        <w:tc>
          <w:tcPr>
            <w:tcW w:w="599" w:type="pct"/>
            <w:vAlign w:val="center"/>
          </w:tcPr>
          <w:p w14:paraId="4D8731A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5688132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r>
      <w:tr w14:paraId="318E0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4E9FAB2D">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电磁环境</w:t>
            </w:r>
          </w:p>
        </w:tc>
        <w:tc>
          <w:tcPr>
            <w:tcW w:w="2631" w:type="pct"/>
            <w:vAlign w:val="center"/>
          </w:tcPr>
          <w:p w14:paraId="5E76CD70">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976" w:type="pct"/>
            <w:vAlign w:val="center"/>
          </w:tcPr>
          <w:p w14:paraId="0EB437B4">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99" w:type="pct"/>
            <w:vAlign w:val="center"/>
          </w:tcPr>
          <w:p w14:paraId="32C9AB17">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7DB55BC1">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r>
      <w:tr w14:paraId="163B0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310E6BA8">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环境风险</w:t>
            </w:r>
          </w:p>
        </w:tc>
        <w:tc>
          <w:tcPr>
            <w:tcW w:w="2631" w:type="pct"/>
            <w:vAlign w:val="center"/>
          </w:tcPr>
          <w:p w14:paraId="1144D9CF">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（1）落实源头控制</w:t>
            </w:r>
          </w:p>
          <w:p w14:paraId="1964A282">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建设单位在回填过程中，对每批次（</w:t>
            </w:r>
            <w:r>
              <w:rPr>
                <w:rFonts w:hint="eastAsia"/>
                <w:color w:val="000000" w:themeColor="text1"/>
                <w:sz w:val="21"/>
                <w:szCs w:val="21"/>
                <w:lang w:val="en-US" w:eastAsia="zh-CN"/>
                <w14:textFill>
                  <w14:solidFill>
                    <w14:schemeClr w14:val="tx1"/>
                  </w14:solidFill>
                </w14:textFill>
              </w:rPr>
              <w:t>30</w:t>
            </w:r>
            <w:r>
              <w:rPr>
                <w:rFonts w:hint="eastAsia"/>
                <w:color w:val="000000" w:themeColor="text1"/>
                <w:sz w:val="21"/>
                <w:szCs w:val="21"/>
                <w:lang w:val="en-US"/>
                <w14:textFill>
                  <w14:solidFill>
                    <w14:schemeClr w14:val="tx1"/>
                  </w14:solidFill>
                </w14:textFill>
              </w:rPr>
              <w:t>000t每批次）生态修复回填材料进行取样检测，按照《改性磷石膏用于矿山废弃地生态修复回填技术规范》（DB53/T1269-2024）12.2.2的相关要求进行取样检测，确保项目生态修复回填材料满足《改性磷石膏用于矿山废弃地生态修复回填技术规范》（DB53/T1269-2024）、《磷石膏的处理处置规范》（GB/T 32124-2024） 中相关要求。</w:t>
            </w:r>
          </w:p>
          <w:p w14:paraId="44BB1391">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（2）工程控制措施</w:t>
            </w:r>
          </w:p>
          <w:p w14:paraId="57EA804F">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按照生态修复方案，落实修复区防渗工程措施，设置地下水监控井。</w:t>
            </w:r>
          </w:p>
          <w:p w14:paraId="5A494059">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（3）编制应急预案并定期演练应编制生态修复区安全生产各项规章制度并组织实施，编制环境风险应急预案并组织演练。</w:t>
            </w:r>
          </w:p>
          <w:p w14:paraId="47367484">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（4）管理控制措施</w:t>
            </w:r>
          </w:p>
          <w:p w14:paraId="0F20D229">
            <w:pPr>
              <w:pStyle w:val="72"/>
              <w:adjustRightInd w:val="0"/>
              <w:spacing w:line="240" w:lineRule="auto"/>
              <w:ind w:firstLine="0" w:firstLineChars="0"/>
              <w:rPr>
                <w:rFonts w:hint="eastAsia" w:ascii="宋体" w:hAnsi="宋体" w:cs="宋体"/>
                <w:color w:val="000000" w:themeColor="text1"/>
                <w:kern w:val="0"/>
                <w:lang w:val="en-US" w:bidi="ar"/>
                <w14:textFill>
                  <w14:solidFill>
                    <w14:schemeClr w14:val="tx1"/>
                  </w14:solidFill>
                </w14:textFill>
              </w:rPr>
            </w:pPr>
            <w:r>
              <w:rPr>
                <w:rFonts w:hint="eastAsia"/>
                <w:color w:val="000000" w:themeColor="text1"/>
                <w:sz w:val="21"/>
                <w:szCs w:val="21"/>
                <w:lang w:val="en-US"/>
                <w14:textFill>
                  <w14:solidFill>
                    <w14:schemeClr w14:val="tx1"/>
                  </w14:solidFill>
                </w14:textFill>
              </w:rPr>
              <w:t>加强工程施工质量管理，对项目工程质量、防渗工程开展施工监理，确保防渗工程满足设计要求。</w:t>
            </w:r>
          </w:p>
        </w:tc>
        <w:tc>
          <w:tcPr>
            <w:tcW w:w="976" w:type="pct"/>
            <w:vAlign w:val="center"/>
          </w:tcPr>
          <w:p w14:paraId="792B1913">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对每批次（</w:t>
            </w:r>
            <w:r>
              <w:rPr>
                <w:rFonts w:hint="eastAsia"/>
                <w:color w:val="000000" w:themeColor="text1"/>
                <w:sz w:val="21"/>
                <w:szCs w:val="21"/>
                <w:lang w:val="en-US" w:eastAsia="zh-CN"/>
                <w14:textFill>
                  <w14:solidFill>
                    <w14:schemeClr w14:val="tx1"/>
                  </w14:solidFill>
                </w14:textFill>
              </w:rPr>
              <w:t>30000</w:t>
            </w:r>
            <w:r>
              <w:rPr>
                <w:rFonts w:hint="eastAsia"/>
                <w:color w:val="000000" w:themeColor="text1"/>
                <w:sz w:val="21"/>
                <w:szCs w:val="21"/>
                <w:lang w:val="en-US"/>
                <w14:textFill>
                  <w14:solidFill>
                    <w14:schemeClr w14:val="tx1"/>
                  </w14:solidFill>
                </w14:textFill>
              </w:rPr>
              <w:t>t每批次）生态修复回填材料进行取样检测，按照《改性磷石膏用于矿山废弃地生态修复回填技术规范》（DB53/T1269-2024）12.2.2的相关要求进行取样检测，确保项目生态修复回填材料满足《改性磷石膏用于矿山废弃地生态修复回填技术规范》（DB53/T1269-2024）、《磷石膏的处理处置规范》（GB/T 32124-2024）中相关要求。落实修复区防渗工程措施，设置地下水监控井。制订环境风险应急预案。</w:t>
            </w:r>
          </w:p>
        </w:tc>
        <w:tc>
          <w:tcPr>
            <w:tcW w:w="599" w:type="pct"/>
            <w:vAlign w:val="center"/>
          </w:tcPr>
          <w:p w14:paraId="056DF83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66D8622B">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定期巡查</w:t>
            </w:r>
          </w:p>
        </w:tc>
      </w:tr>
      <w:tr w14:paraId="43384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71641948">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环境监测</w:t>
            </w:r>
          </w:p>
        </w:tc>
        <w:tc>
          <w:tcPr>
            <w:tcW w:w="2631" w:type="pct"/>
            <w:vAlign w:val="center"/>
          </w:tcPr>
          <w:p w14:paraId="282AC2F6">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①施工期大气例行监测，每季度一次；</w:t>
            </w:r>
          </w:p>
          <w:p w14:paraId="0B862F1D">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②施工期噪声监测，每季度一次；</w:t>
            </w:r>
          </w:p>
          <w:p w14:paraId="35CA138C">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③地下水跟踪监测，</w:t>
            </w:r>
            <w:r>
              <w:rPr>
                <w:rFonts w:hint="eastAsia"/>
                <w:color w:val="000000" w:themeColor="text1"/>
                <w:kern w:val="2"/>
                <w:sz w:val="21"/>
                <w:szCs w:val="21"/>
                <w:lang w:val="en-US"/>
                <w14:textFill>
                  <w14:solidFill>
                    <w14:schemeClr w14:val="tx1"/>
                  </w14:solidFill>
                </w14:textFill>
              </w:rPr>
              <w:t>每年在丰水期、枯水期各监测一次</w:t>
            </w:r>
            <w:r>
              <w:rPr>
                <w:rFonts w:hint="eastAsia"/>
                <w:color w:val="000000" w:themeColor="text1"/>
                <w:sz w:val="21"/>
                <w:szCs w:val="21"/>
                <w:lang w:val="en-US"/>
                <w14:textFill>
                  <w14:solidFill>
                    <w14:schemeClr w14:val="tx1"/>
                  </w14:solidFill>
                </w14:textFill>
              </w:rPr>
              <w:t>；</w:t>
            </w:r>
          </w:p>
          <w:p w14:paraId="245CBB8D">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④地表水及渗滤液收集井水质监测，每季度一次；</w:t>
            </w:r>
          </w:p>
          <w:p w14:paraId="1493D3F6">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⑤改性磷石膏生态修复材料监测，每批次监测，满足《改性磷石膏用于矿山废弃地生态修复回填技术规范》（DB53/T1269-2024）、《磷石膏的处理处置规范》（GB/T 32124-2024）相关要求；</w:t>
            </w:r>
          </w:p>
          <w:p w14:paraId="06373FA4">
            <w:pPr>
              <w:pStyle w:val="72"/>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⑥耕植土购买时监测，项目外购耕植土须满足《土壤环境质量农用地土壤污染风险管控标准（试行）》（</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）的要求</w:t>
            </w:r>
          </w:p>
        </w:tc>
        <w:tc>
          <w:tcPr>
            <w:tcW w:w="976" w:type="pct"/>
            <w:vAlign w:val="center"/>
          </w:tcPr>
          <w:p w14:paraId="10911DB2">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提供大气、噪声、地表水、地下水、渗滤液、生态修复材料、耕植土等相关满足相关规范要求的检测报告</w:t>
            </w:r>
          </w:p>
        </w:tc>
        <w:tc>
          <w:tcPr>
            <w:tcW w:w="599" w:type="pct"/>
            <w:vAlign w:val="center"/>
          </w:tcPr>
          <w:p w14:paraId="2A2CE219">
            <w:pPr>
              <w:pStyle w:val="72"/>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520" w:type="pct"/>
            <w:vAlign w:val="center"/>
          </w:tcPr>
          <w:p w14:paraId="16EAA7E9">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w:t>
            </w:r>
          </w:p>
        </w:tc>
      </w:tr>
      <w:tr w14:paraId="6911A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61D8763E">
            <w:pPr>
              <w:pStyle w:val="37"/>
              <w:adjustRightInd w:val="0"/>
              <w:snapToGrid w:val="0"/>
              <w:spacing w:before="0" w:beforeAutospacing="0" w:after="0" w:afterAutospacing="0" w:line="240" w:lineRule="auto"/>
              <w:ind w:firstLine="0" w:firstLineChars="0"/>
              <w:jc w:val="center"/>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其他</w:t>
            </w:r>
          </w:p>
        </w:tc>
        <w:tc>
          <w:tcPr>
            <w:tcW w:w="4728" w:type="pct"/>
            <w:gridSpan w:val="4"/>
            <w:vAlign w:val="center"/>
          </w:tcPr>
          <w:p w14:paraId="483D0C67">
            <w:pPr>
              <w:pStyle w:val="72"/>
              <w:adjustRightInd w:val="0"/>
              <w:spacing w:line="240" w:lineRule="auto"/>
              <w:ind w:firstLine="0" w:firstLineChars="0"/>
              <w:jc w:val="both"/>
              <w:rPr>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w:t>
            </w:r>
          </w:p>
        </w:tc>
      </w:tr>
    </w:tbl>
    <w:p w14:paraId="65B87E3E">
      <w:pPr>
        <w:pStyle w:val="37"/>
        <w:adjustRightInd w:val="0"/>
        <w:snapToGrid w:val="0"/>
        <w:spacing w:before="0" w:beforeAutospacing="0" w:after="0" w:afterAutospacing="0"/>
        <w:ind w:firstLine="0" w:firstLineChars="0"/>
        <w:jc w:val="both"/>
        <w:rPr>
          <w:rFonts w:ascii="Times New Roman" w:hAnsi="Times New Roman"/>
          <w:snapToGrid w:val="0"/>
          <w:color w:val="000000" w:themeColor="text1"/>
          <w:sz w:val="30"/>
          <w:szCs w:val="30"/>
          <w14:textFill>
            <w14:solidFill>
              <w14:schemeClr w14:val="tx1"/>
            </w14:solidFill>
          </w14:textFill>
        </w:rPr>
      </w:pPr>
    </w:p>
    <w:p w14:paraId="71CFEA96">
      <w:pPr>
        <w:pStyle w:val="37"/>
        <w:spacing w:before="192" w:beforeLines="80" w:beforeAutospacing="0"/>
        <w:ind w:firstLine="600"/>
        <w:jc w:val="center"/>
        <w:rPr>
          <w:rFonts w:ascii="Times New Roman" w:hAnsi="Times New Roman"/>
          <w:snapToGrid w:val="0"/>
          <w:color w:val="000000" w:themeColor="text1"/>
          <w:sz w:val="30"/>
          <w:szCs w:val="30"/>
          <w14:textFill>
            <w14:solidFill>
              <w14:schemeClr w14:val="tx1"/>
            </w14:solidFill>
          </w14:textFill>
        </w:rPr>
        <w:sectPr>
          <w:pgSz w:w="16838" w:h="11906" w:orient="landscape"/>
          <w:pgMar w:top="1797" w:right="1440" w:bottom="1797" w:left="1440" w:header="851" w:footer="1077" w:gutter="0"/>
          <w:pgBorders>
            <w:top w:val="none" w:sz="0" w:space="0"/>
            <w:left w:val="none" w:sz="0" w:space="0"/>
            <w:bottom w:val="none" w:sz="0" w:space="0"/>
            <w:right w:val="none" w:sz="0" w:space="0"/>
          </w:pgBorders>
          <w:cols w:space="720" w:num="1"/>
          <w:docGrid w:linePitch="312" w:charSpace="0"/>
        </w:sectPr>
      </w:pPr>
    </w:p>
    <w:p w14:paraId="50676311">
      <w:pPr>
        <w:pStyle w:val="37"/>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bookmarkStart w:id="61" w:name="_Toc25796"/>
      <w:bookmarkStart w:id="62" w:name="_Toc27013"/>
      <w:r>
        <w:rPr>
          <w:rFonts w:hint="eastAsia" w:ascii="Times New Roman" w:hAnsi="Times New Roman"/>
          <w:snapToGrid w:val="0"/>
          <w:color w:val="000000" w:themeColor="text1"/>
          <w:sz w:val="30"/>
          <w:szCs w:val="30"/>
          <w14:textFill>
            <w14:solidFill>
              <w14:schemeClr w14:val="tx1"/>
            </w14:solidFill>
          </w14:textFill>
        </w:rPr>
        <w:t>七、结论</w:t>
      </w:r>
      <w:bookmarkEnd w:id="61"/>
      <w:bookmarkEnd w:id="62"/>
    </w:p>
    <w:tbl>
      <w:tblPr>
        <w:tblStyle w:val="40"/>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0EE44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295076A4">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项目属于废弃矿坑生态修复工程，项目使用的改性磷石膏生态修复材料满足</w:t>
            </w:r>
            <w:r>
              <w:rPr>
                <w:color w:val="000000" w:themeColor="text1"/>
                <w:kern w:val="0"/>
                <w:lang w:bidi="ar"/>
                <w14:textFill>
                  <w14:solidFill>
                    <w14:schemeClr w14:val="tx1"/>
                  </w14:solidFill>
                </w14:textFill>
              </w:rPr>
              <w:t>《改性磷石膏用于矿山废弃地生态修复回填技术规范》（DB53/T1269-2024）</w:t>
            </w:r>
            <w:r>
              <w:rPr>
                <w:rFonts w:hint="eastAsia"/>
                <w:color w:val="000000" w:themeColor="text1"/>
                <w:kern w:val="0"/>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《磷石膏利用和无害化贮存污染控制技术规范》（HJ1415—2025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kern w:val="0"/>
                <w:lang w:bidi="ar"/>
                <w14:textFill>
                  <w14:solidFill>
                    <w14:schemeClr w14:val="tx1"/>
                  </w14:solidFill>
                </w14:textFill>
              </w:rPr>
              <w:t>规范</w:t>
            </w:r>
            <w:r>
              <w:rPr>
                <w:color w:val="000000" w:themeColor="text1"/>
                <w:kern w:val="0"/>
                <w:lang w:bidi="ar"/>
                <w14:textFill>
                  <w14:solidFill>
                    <w14:schemeClr w14:val="tx1"/>
                  </w14:solidFill>
                </w14:textFill>
              </w:rPr>
              <w:t>要求</w:t>
            </w:r>
            <w:r>
              <w:rPr>
                <w:rFonts w:hint="eastAsia" w:ascii="宋体" w:hAnsi="宋体" w:cs="宋体"/>
                <w:color w:val="000000" w:themeColor="text1"/>
                <w:kern w:val="0"/>
                <w:lang w:bidi="ar"/>
                <w14:textFill>
                  <w14:solidFill>
                    <w14:schemeClr w14:val="tx1"/>
                  </w14:solidFill>
                </w14:textFill>
              </w:rPr>
              <w:t>，项目施工期会产生一定的污染，在采取污染防治和控制措施后，项目实施对环境影响在可接受范围内。环境功能区质量能够满足相应标准要求，环境风险可控。</w:t>
            </w:r>
            <w:r>
              <w:rPr>
                <w:rFonts w:hint="eastAsia"/>
                <w:color w:val="000000" w:themeColor="text1"/>
                <w:kern w:val="0"/>
                <w:lang w:bidi="ar"/>
                <w14:textFill>
                  <w14:solidFill>
                    <w14:schemeClr w14:val="tx1"/>
                  </w14:solidFill>
                </w14:textFill>
              </w:rPr>
              <w:t>本项目修复区域不位于饮用水源地、天然滑坡泥石流地区、生态保护红线区、项目不占用永久基本农田；</w:t>
            </w:r>
            <w:r>
              <w:rPr>
                <w:rFonts w:hint="default" w:ascii="Times New Roman" w:hAnsi="Times New Roman" w:eastAsia="宋体" w:cs="Times New Roman"/>
                <w:color w:val="000000" w:themeColor="text1"/>
                <w:sz w:val="24"/>
                <w:szCs w:val="24"/>
                <w:lang w:eastAsia="zh-CN"/>
                <w14:textFill>
                  <w14:solidFill>
                    <w14:schemeClr w14:val="tx1"/>
                  </w14:solidFill>
                </w14:textFill>
              </w:rPr>
              <w:t>根据广西华蓝岩土工程有限公司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编制</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eastAsia" w:ascii="Times New Roman" w:hAnsi="Times New Roman" w:eastAsia="宋体" w:cs="Times New Roman"/>
                <w:color w:val="000000" w:themeColor="text1"/>
                <w:sz w:val="24"/>
                <w:szCs w:val="24"/>
                <w:lang w:eastAsia="zh-CN"/>
                <w14:textFill>
                  <w14:solidFill>
                    <w14:schemeClr w14:val="tx1"/>
                  </w14:solidFill>
                </w14:textFill>
              </w:rPr>
              <w:t>寻甸县常青树磷石膏库综合治理项目</w:t>
            </w:r>
            <w:r>
              <w:rPr>
                <w:rFonts w:hint="eastAsia" w:cs="Times New Roman"/>
                <w:color w:val="000000" w:themeColor="text1"/>
                <w:sz w:val="24"/>
                <w:szCs w:val="24"/>
                <w:lang w:eastAsia="zh-CN"/>
                <w14:textFill>
                  <w14:solidFill>
                    <w14:schemeClr w14:val="tx1"/>
                  </w14:solidFill>
                </w14:textFill>
              </w:rPr>
              <w:t>塘子镇钟灵村委会令友采石场</w:t>
            </w:r>
            <w:r>
              <w:rPr>
                <w:rFonts w:hint="eastAsia" w:ascii="Times New Roman" w:hAnsi="Times New Roman" w:eastAsia="宋体" w:cs="Times New Roman"/>
                <w:color w:val="000000" w:themeColor="text1"/>
                <w:sz w:val="24"/>
                <w:szCs w:val="24"/>
                <w:lang w:eastAsia="zh-CN"/>
                <w14:textFill>
                  <w14:solidFill>
                    <w14:schemeClr w14:val="tx1"/>
                  </w14:solidFill>
                </w14:textFill>
              </w:rPr>
              <w:t>生态修复</w:t>
            </w:r>
            <w:r>
              <w:rPr>
                <w:rFonts w:hint="default" w:ascii="Times New Roman" w:hAnsi="Times New Roman" w:eastAsia="宋体" w:cs="Times New Roman"/>
                <w:color w:val="000000" w:themeColor="text1"/>
                <w:sz w:val="24"/>
                <w:szCs w:val="24"/>
                <w:lang w:eastAsia="zh-CN"/>
                <w14:textFill>
                  <w14:solidFill>
                    <w14:schemeClr w14:val="tx1"/>
                  </w14:solidFill>
                </w14:textFill>
              </w:rPr>
              <w:t>水文地质勘察报告》</w:t>
            </w:r>
            <w:r>
              <w:rPr>
                <w:rFonts w:hint="eastAsia"/>
                <w:color w:val="000000" w:themeColor="text1"/>
                <w:kern w:val="0"/>
                <w:lang w:bidi="ar"/>
                <w14:textFill>
                  <w14:solidFill>
                    <w14:schemeClr w14:val="tx1"/>
                  </w14:solidFill>
                </w14:textFill>
              </w:rPr>
              <w:t>，项目区岩溶中等发育，不存在较多落水洞和岩溶漏斗的区域与其他需要特别保护的区域内。项目不位于国务院有关部门及地方人民政府划定的生态保护红线区域、永久基本农田集中区域和其他需要特定保护的区域内，以及法律法规规定的其他禁止建设区域。根据相关查询意见，项目不涉及生态保护红线、永久基本农田，不在城镇开发边界内。项目建设符合《改性磷石膏用于矿山废弃地生态修复回填技术规范》（DB53/T1269-2024）、《改性磷石膏综合利用矿山生态修复环境风险评估规范》(DB5301/T98-2023)相关要求。</w:t>
            </w:r>
            <w:r>
              <w:rPr>
                <w:rFonts w:hint="eastAsia" w:ascii="宋体" w:hAnsi="宋体" w:cs="宋体"/>
                <w:color w:val="000000" w:themeColor="text1"/>
                <w:kern w:val="0"/>
                <w:lang w:bidi="ar"/>
                <w14:textFill>
                  <w14:solidFill>
                    <w14:schemeClr w14:val="tx1"/>
                  </w14:solidFill>
                </w14:textFill>
              </w:rPr>
              <w:t>从环保角度来看，项目实施后对区域生态环境恢复以及对提高区域改性磷石膏综合利用率具有积极作用，评价认为，在建设单位认真实施本环评提出的废水、废气、噪声、固体废物治理措施及生态保护措施，落实跟踪监测计划、环保各项投资、落实环境监理制度后项目建设在环境上可行。</w:t>
            </w:r>
          </w:p>
        </w:tc>
      </w:tr>
    </w:tbl>
    <w:p w14:paraId="58599E4D">
      <w:pPr>
        <w:ind w:firstLine="0" w:firstLineChars="0"/>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6F5C48-FF83-4BC8-A1F0-231836788A14}"/>
  </w:font>
  <w:font w:name="黑体">
    <w:panose1 w:val="02010609060101010101"/>
    <w:charset w:val="86"/>
    <w:family w:val="auto"/>
    <w:pitch w:val="default"/>
    <w:sig w:usb0="800002BF" w:usb1="38CF7CFA" w:usb2="00000016" w:usb3="00000000" w:csb0="00040001" w:csb1="00000000"/>
    <w:embedRegular r:id="rId2" w:fontKey="{02BECEAE-9E79-43AD-8E37-F04141B004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ndnya">
    <w:altName w:val="微软雅黑"/>
    <w:panose1 w:val="00000400000000000000"/>
    <w:charset w:val="01"/>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3" w:fontKey="{06978B6B-1181-4FC3-A464-3AE49E3EC002}"/>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embedRegular r:id="rId4" w:fontKey="{58EB59ED-3B2F-4AB7-8FB7-4E0F12F18108}"/>
  </w:font>
  <w:font w:name="楷体_GB2312">
    <w:panose1 w:val="02010609030101010101"/>
    <w:charset w:val="86"/>
    <w:family w:val="modern"/>
    <w:pitch w:val="default"/>
    <w:sig w:usb0="00000001" w:usb1="080E0000" w:usb2="00000000" w:usb3="00000000" w:csb0="00040000" w:csb1="00000000"/>
    <w:embedRegular r:id="rId5" w:fontKey="{B203EB8B-4CD8-49C3-84F3-B1A16A464759}"/>
  </w:font>
  <w:font w:name="楷体">
    <w:panose1 w:val="02010609060101010101"/>
    <w:charset w:val="86"/>
    <w:family w:val="auto"/>
    <w:pitch w:val="default"/>
    <w:sig w:usb0="800002BF" w:usb1="38CF7CFA" w:usb2="00000016" w:usb3="00000000" w:csb0="00040001" w:csb1="00000000"/>
    <w:embedRegular r:id="rId6" w:fontKey="{F2B0310E-F81F-45F9-B480-56D7D0A24E69}"/>
  </w:font>
  <w:font w:name="Wingdings 2">
    <w:panose1 w:val="05020102010507070707"/>
    <w:charset w:val="02"/>
    <w:family w:val="roman"/>
    <w:pitch w:val="default"/>
    <w:sig w:usb0="00000000" w:usb1="00000000" w:usb2="00000000" w:usb3="00000000" w:csb0="80000000" w:csb1="00000000"/>
    <w:embedRegular r:id="rId7" w:fontKey="{4F44DE71-A26E-447B-9959-4D83937829AB}"/>
  </w:font>
  <w:font w:name="方正仿宋_GB2312">
    <w:panose1 w:val="02000000000000000000"/>
    <w:charset w:val="86"/>
    <w:family w:val="auto"/>
    <w:pitch w:val="default"/>
    <w:sig w:usb0="A00002BF" w:usb1="184F6CFA" w:usb2="00000012" w:usb3="00000000" w:csb0="00040001" w:csb1="00000000"/>
    <w:embedRegular r:id="rId8" w:fontKey="{5F78AABE-A3FF-4DDB-A612-2E5E1556D7CD}"/>
  </w:font>
  <w:font w:name="WPSEMBED1">
    <w:panose1 w:val="02000000000000000000"/>
    <w:charset w:val="86"/>
    <w:family w:val="auto"/>
    <w:pitch w:val="default"/>
    <w:sig w:usb0="A00002BF" w:usb1="38CF7CFA" w:usb2="00082016" w:usb3="00000000" w:csb0="0004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0F07D">
    <w:pPr>
      <w:pStyle w:val="3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AE5EF">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2D7AE5EF">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1887E">
    <w:pPr>
      <w:pStyle w:val="3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3F119">
    <w:pPr>
      <w:pStyle w:val="3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5A554">
    <w:pPr>
      <w:pStyle w:val="3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37F7">
    <w:pPr>
      <w:pStyle w:val="3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31800" cy="1828800"/>
              <wp:effectExtent l="0" t="0" r="0" b="0"/>
              <wp:wrapNone/>
              <wp:docPr id="42" name="文本框 9"/>
              <wp:cNvGraphicFramePr/>
              <a:graphic xmlns:a="http://schemas.openxmlformats.org/drawingml/2006/main">
                <a:graphicData uri="http://schemas.microsoft.com/office/word/2010/wordprocessingShape">
                  <wps:wsp>
                    <wps:cNvSpPr txBox="1"/>
                    <wps:spPr>
                      <a:xfrm>
                        <a:off x="0" y="0"/>
                        <a:ext cx="431800" cy="1828800"/>
                      </a:xfrm>
                      <a:prstGeom prst="rect">
                        <a:avLst/>
                      </a:prstGeom>
                      <a:noFill/>
                      <a:ln>
                        <a:noFill/>
                      </a:ln>
                    </wps:spPr>
                    <wps:txbx>
                      <w:txbxContent>
                        <w:p w14:paraId="601E986C">
                          <w:pPr>
                            <w:pStyle w:val="32"/>
                            <w:ind w:left="0" w:leftChars="0" w:firstLine="0" w:firstLineChars="0"/>
                          </w:pPr>
                          <w:r>
                            <w:fldChar w:fldCharType="begin"/>
                          </w:r>
                          <w:r>
                            <w:instrText xml:space="preserve"> PAGE  \* MERGEFORMAT </w:instrText>
                          </w:r>
                          <w:r>
                            <w:fldChar w:fldCharType="separate"/>
                          </w:r>
                          <w:r>
                            <w:t>1</w:t>
                          </w:r>
                          <w:r>
                            <w:fldChar w:fldCharType="end"/>
                          </w:r>
                        </w:p>
                      </w:txbxContent>
                    </wps:txbx>
                    <wps:bodyPr vert="horz" wrap="square" lIns="0" tIns="0" rIns="0" bIns="0" anchor="t" anchorCtr="0">
                      <a:spAutoFit/>
                    </wps:bodyPr>
                  </wps:wsp>
                </a:graphicData>
              </a:graphic>
            </wp:anchor>
          </w:drawing>
        </mc:Choice>
        <mc:Fallback>
          <w:pict>
            <v:shape id="文本框 9" o:spid="_x0000_s1026" o:spt="202" type="#_x0000_t202" style="position:absolute;left:0pt;margin-top:0pt;height:144pt;width:34pt;mso-position-horizontal:center;mso-position-horizontal-relative:margin;z-index:251659264;mso-width-relative:page;mso-height-relative:page;" filled="f" stroked="f" coordsize="21600,21600" o:gfxdata="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vXFb0QAAAAQBAAAPAAAAAAAAAAEA&#10;IAAAACIAAABkcnMvZG93bnJldi54bWxQSwECFAAUAAAACACHTuJAw7PXI90BAAC0AwAADgAAAAAA&#10;AAABACAAAAAgAQAAZHJzL2Uyb0RvYy54bWxQSwUGAAAAAAYABgBZAQAAbwUAAAAA&#10;">
              <v:fill on="f" focussize="0,0"/>
              <v:stroke on="f"/>
              <v:imagedata o:title=""/>
              <o:lock v:ext="edit" aspectratio="f"/>
              <v:textbox inset="0mm,0mm,0mm,0mm" style="mso-fit-shape-to-text:t;">
                <w:txbxContent>
                  <w:p w14:paraId="601E986C">
                    <w:pPr>
                      <w:pStyle w:val="3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7028A">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445B">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30C33">
    <w:pPr>
      <w:pStyle w:val="3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23A6D">
    <w:pPr>
      <w:pStyle w:val="3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9F469C"/>
    <w:multiLevelType w:val="singleLevel"/>
    <w:tmpl w:val="A59F469C"/>
    <w:lvl w:ilvl="0" w:tentative="0">
      <w:start w:val="1"/>
      <w:numFmt w:val="bullet"/>
      <w:pStyle w:val="15"/>
      <w:lvlText w:val=""/>
      <w:lvlJc w:val="left"/>
      <w:pPr>
        <w:tabs>
          <w:tab w:val="left" w:pos="780"/>
        </w:tabs>
        <w:ind w:left="780" w:hanging="360"/>
      </w:pPr>
      <w:rPr>
        <w:rFonts w:hint="default" w:ascii="Wingdings" w:hAnsi="Wingdings"/>
      </w:rPr>
    </w:lvl>
  </w:abstractNum>
  <w:abstractNum w:abstractNumId="1">
    <w:nsid w:val="B00D17FD"/>
    <w:multiLevelType w:val="multilevel"/>
    <w:tmpl w:val="B00D17FD"/>
    <w:lvl w:ilvl="0" w:tentative="0">
      <w:start w:val="1"/>
      <w:numFmt w:val="decimal"/>
      <w:suff w:val="space"/>
      <w:lvlText w:val="%1"/>
      <w:lvlJc w:val="left"/>
      <w:pPr>
        <w:ind w:left="0" w:firstLine="0"/>
      </w:pPr>
      <w:rPr>
        <w:rFonts w:hint="default" w:ascii="Times New Roman" w:hAnsi="Times New Roman" w:eastAsia="宋体" w:cs="Times New Roman"/>
      </w:rPr>
    </w:lvl>
    <w:lvl w:ilvl="1" w:tentative="0">
      <w:start w:val="1"/>
      <w:numFmt w:val="decimal"/>
      <w:suff w:val="space"/>
      <w:lvlText w:val="%1.%2"/>
      <w:lvlJc w:val="left"/>
      <w:pPr>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ind w:left="0" w:firstLine="0"/>
      </w:pPr>
    </w:lvl>
    <w:lvl w:ilvl="3" w:tentative="0">
      <w:start w:val="1"/>
      <w:numFmt w:val="decimal"/>
      <w:pStyle w:val="9"/>
      <w:suff w:val="space"/>
      <w:lvlText w:val="%1.%2.%3.%4"/>
      <w:lvlJc w:val="left"/>
      <w:pPr>
        <w:ind w:left="48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Restart w:val="2"/>
      <w:suff w:val="space"/>
      <w:lvlText w:val="表%1.%2-%5"/>
      <w:lvlJc w:val="left"/>
      <w:pPr>
        <w:ind w:left="2127" w:firstLine="0"/>
      </w:pPr>
      <w:rPr>
        <w:rFonts w:hint="eastAsia"/>
        <w:sz w:val="21"/>
        <w:vertAlign w:val="baseline"/>
      </w:rPr>
    </w:lvl>
    <w:lvl w:ilvl="5" w:tentative="0">
      <w:start w:val="1"/>
      <w:numFmt w:val="decimal"/>
      <w:lvlRestart w:val="2"/>
      <w:suff w:val="space"/>
      <w:lvlText w:val="图%1.%2-%6"/>
      <w:lvlJc w:val="left"/>
      <w:pPr>
        <w:ind w:left="0" w:firstLine="0"/>
      </w:pPr>
      <w:rPr>
        <w:rFonts w:hint="default" w:ascii="Times New Roman" w:hAnsi="Times New Roman" w:eastAsia="宋体" w:cs="宋体"/>
      </w:rPr>
    </w:lvl>
    <w:lvl w:ilvl="6" w:tentative="0">
      <w:start w:val="1"/>
      <w:numFmt w:val="none"/>
      <w:lvlRestart w:val="0"/>
      <w:suff w:val="nothing"/>
      <w:lvlText w:val=""/>
      <w:lvlJc w:val="left"/>
      <w:pPr>
        <w:ind w:left="0" w:firstLine="0"/>
      </w:pPr>
      <w:rPr>
        <w:rFonts w:hint="default" w:ascii="宋体" w:hAnsi="宋体" w:eastAsia="宋体" w:cs="Times New Roman"/>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2">
    <w:nsid w:val="DABB19F5"/>
    <w:multiLevelType w:val="singleLevel"/>
    <w:tmpl w:val="DABB19F5"/>
    <w:lvl w:ilvl="0" w:tentative="0">
      <w:start w:val="3"/>
      <w:numFmt w:val="chineseCounting"/>
      <w:suff w:val="nothing"/>
      <w:lvlText w:val="（%1）"/>
      <w:lvlJc w:val="left"/>
      <w:rPr>
        <w:rFonts w:hint="eastAsia"/>
      </w:rPr>
    </w:lvl>
  </w:abstractNum>
  <w:abstractNum w:abstractNumId="3">
    <w:nsid w:val="ECE8D5C5"/>
    <w:multiLevelType w:val="singleLevel"/>
    <w:tmpl w:val="ECE8D5C5"/>
    <w:lvl w:ilvl="0" w:tentative="0">
      <w:start w:val="3"/>
      <w:numFmt w:val="decimal"/>
      <w:suff w:val="nothing"/>
      <w:lvlText w:val="%1、"/>
      <w:lvlJc w:val="left"/>
    </w:lvl>
  </w:abstractNum>
  <w:abstractNum w:abstractNumId="4">
    <w:nsid w:val="FE58EE01"/>
    <w:multiLevelType w:val="singleLevel"/>
    <w:tmpl w:val="FE58EE01"/>
    <w:lvl w:ilvl="0" w:tentative="0">
      <w:start w:val="1"/>
      <w:numFmt w:val="decimal"/>
      <w:suff w:val="nothing"/>
      <w:lvlText w:val="（%1）"/>
      <w:lvlJc w:val="left"/>
    </w:lvl>
  </w:abstractNum>
  <w:abstractNum w:abstractNumId="5">
    <w:nsid w:val="098A2801"/>
    <w:multiLevelType w:val="multilevel"/>
    <w:tmpl w:val="098A2801"/>
    <w:lvl w:ilvl="0" w:tentative="0">
      <w:start w:val="1"/>
      <w:numFmt w:val="decimal"/>
      <w:suff w:val="space"/>
      <w:lvlText w:val="%1"/>
      <w:lvlJc w:val="left"/>
      <w:pPr>
        <w:ind w:left="0" w:firstLine="0"/>
      </w:pPr>
      <w:rPr>
        <w:rFonts w:hint="default" w:ascii="Times New Roman" w:hAnsi="Times New Roman" w:eastAsia="宋体" w:cs="Times New Roman"/>
      </w:rPr>
    </w:lvl>
    <w:lvl w:ilvl="1" w:tentative="0">
      <w:start w:val="1"/>
      <w:numFmt w:val="decimal"/>
      <w:suff w:val="space"/>
      <w:lvlText w:val="%1.%2"/>
      <w:lvlJc w:val="left"/>
      <w:pPr>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Restart w:val="2"/>
      <w:pStyle w:val="10"/>
      <w:suff w:val="space"/>
      <w:lvlText w:val="表%1.%2-%5"/>
      <w:lvlJc w:val="left"/>
      <w:pPr>
        <w:ind w:left="6687" w:firstLine="0"/>
      </w:pPr>
      <w:rPr>
        <w:rFonts w:hint="eastAsia"/>
        <w:sz w:val="21"/>
        <w:vertAlign w:val="baseline"/>
      </w:rPr>
    </w:lvl>
    <w:lvl w:ilvl="5" w:tentative="0">
      <w:start w:val="1"/>
      <w:numFmt w:val="decimal"/>
      <w:lvlRestart w:val="2"/>
      <w:suff w:val="space"/>
      <w:lvlText w:val="图%1.%2-%6"/>
      <w:lvlJc w:val="left"/>
      <w:pPr>
        <w:ind w:left="0" w:firstLine="0"/>
      </w:pPr>
      <w:rPr>
        <w:rFonts w:hint="default" w:ascii="Times New Roman" w:hAnsi="Times New Roman" w:eastAsia="宋体" w:cs="宋体"/>
      </w:rPr>
    </w:lvl>
    <w:lvl w:ilvl="6" w:tentative="0">
      <w:start w:val="1"/>
      <w:numFmt w:val="none"/>
      <w:lvlRestart w:val="0"/>
      <w:suff w:val="nothing"/>
      <w:lvlText w:val=""/>
      <w:lvlJc w:val="left"/>
      <w:pPr>
        <w:ind w:left="0" w:firstLine="0"/>
      </w:pPr>
      <w:rPr>
        <w:rFonts w:hint="default" w:ascii="宋体" w:hAnsi="宋体" w:eastAsia="宋体" w:cs="Times New Roman"/>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6">
    <w:nsid w:val="2E574A33"/>
    <w:multiLevelType w:val="singleLevel"/>
    <w:tmpl w:val="2E574A33"/>
    <w:lvl w:ilvl="0" w:tentative="0">
      <w:start w:val="3"/>
      <w:numFmt w:val="decimal"/>
      <w:suff w:val="nothing"/>
      <w:lvlText w:val="%1）"/>
      <w:lvlJc w:val="left"/>
    </w:lvl>
  </w:abstractNum>
  <w:abstractNum w:abstractNumId="7">
    <w:nsid w:val="59184ADC"/>
    <w:multiLevelType w:val="singleLevel"/>
    <w:tmpl w:val="59184ADC"/>
    <w:lvl w:ilvl="0" w:tentative="0">
      <w:start w:val="1"/>
      <w:numFmt w:val="decimal"/>
      <w:suff w:val="nothing"/>
      <w:lvlText w:val="（%1）"/>
      <w:lvlJc w:val="left"/>
    </w:lvl>
  </w:abstractNum>
  <w:abstractNum w:abstractNumId="8">
    <w:nsid w:val="59C9438F"/>
    <w:multiLevelType w:val="multilevel"/>
    <w:tmpl w:val="59C9438F"/>
    <w:lvl w:ilvl="0" w:tentative="0">
      <w:start w:val="1"/>
      <w:numFmt w:val="decimal"/>
      <w:suff w:val="space"/>
      <w:lvlText w:val="%1"/>
      <w:lvlJc w:val="left"/>
      <w:pPr>
        <w:ind w:left="0" w:firstLine="0"/>
      </w:pPr>
      <w:rPr>
        <w:rFonts w:hint="default" w:ascii="Times New Roman" w:hAnsi="Times New Roman" w:eastAsia="宋体" w:cs="Times New Roman"/>
      </w:rPr>
    </w:lvl>
    <w:lvl w:ilvl="1" w:tentative="0">
      <w:start w:val="1"/>
      <w:numFmt w:val="decimal"/>
      <w:pStyle w:val="7"/>
      <w:suff w:val="space"/>
      <w:lvlText w:val="%1.%2"/>
      <w:lvlJc w:val="left"/>
      <w:pPr>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Restart w:val="2"/>
      <w:suff w:val="space"/>
      <w:lvlText w:val="表%1.%2-%5"/>
      <w:lvlJc w:val="left"/>
      <w:pPr>
        <w:ind w:left="2127" w:firstLine="0"/>
      </w:pPr>
      <w:rPr>
        <w:rFonts w:hint="eastAsia"/>
        <w:sz w:val="21"/>
        <w:vertAlign w:val="baseline"/>
      </w:rPr>
    </w:lvl>
    <w:lvl w:ilvl="5" w:tentative="0">
      <w:start w:val="1"/>
      <w:numFmt w:val="decimal"/>
      <w:lvlRestart w:val="2"/>
      <w:suff w:val="space"/>
      <w:lvlText w:val="图%1.%2-%6"/>
      <w:lvlJc w:val="left"/>
      <w:pPr>
        <w:ind w:left="0" w:firstLine="0"/>
      </w:pPr>
      <w:rPr>
        <w:rFonts w:hint="default" w:ascii="Times New Roman" w:hAnsi="Times New Roman" w:eastAsia="宋体" w:cs="宋体"/>
      </w:rPr>
    </w:lvl>
    <w:lvl w:ilvl="6" w:tentative="0">
      <w:start w:val="1"/>
      <w:numFmt w:val="none"/>
      <w:lvlRestart w:val="0"/>
      <w:suff w:val="nothing"/>
      <w:lvlText w:val=""/>
      <w:lvlJc w:val="left"/>
      <w:pPr>
        <w:ind w:left="0" w:firstLine="0"/>
      </w:pPr>
      <w:rPr>
        <w:rFonts w:hint="default" w:ascii="宋体" w:hAnsi="宋体" w:eastAsia="宋体" w:cs="Times New Roman"/>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9">
    <w:nsid w:val="72EB9E42"/>
    <w:multiLevelType w:val="singleLevel"/>
    <w:tmpl w:val="72EB9E42"/>
    <w:lvl w:ilvl="0" w:tentative="0">
      <w:start w:val="2"/>
      <w:numFmt w:val="decimal"/>
      <w:suff w:val="nothing"/>
      <w:lvlText w:val="（%1）"/>
      <w:lvlJc w:val="left"/>
    </w:lvl>
  </w:abstractNum>
  <w:num w:numId="1">
    <w:abstractNumId w:val="8"/>
  </w:num>
  <w:num w:numId="2">
    <w:abstractNumId w:val="1"/>
  </w:num>
  <w:num w:numId="3">
    <w:abstractNumId w:val="5"/>
  </w:num>
  <w:num w:numId="4">
    <w:abstractNumId w:val="0"/>
  </w:num>
  <w:num w:numId="5">
    <w:abstractNumId w:val="2"/>
  </w:num>
  <w:num w:numId="6">
    <w:abstractNumId w:val="9"/>
  </w:num>
  <w:num w:numId="7">
    <w:abstractNumId w:val="4"/>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zZDAwZTg0ZGUxYjViZTQ5MTllMGMyMzUzNjk0N2UifQ=="/>
    <w:docVar w:name="KSO_WPS_MARK_KEY" w:val="9aa10541-e8e9-4e28-9133-a2f050621c6b"/>
  </w:docVars>
  <w:rsids>
    <w:rsidRoot w:val="00172A27"/>
    <w:rsid w:val="00001CED"/>
    <w:rsid w:val="00001E67"/>
    <w:rsid w:val="00003CD8"/>
    <w:rsid w:val="000048AA"/>
    <w:rsid w:val="00005910"/>
    <w:rsid w:val="00006290"/>
    <w:rsid w:val="000068CE"/>
    <w:rsid w:val="00010EB5"/>
    <w:rsid w:val="00014965"/>
    <w:rsid w:val="00014E21"/>
    <w:rsid w:val="00014E37"/>
    <w:rsid w:val="0001523A"/>
    <w:rsid w:val="00016504"/>
    <w:rsid w:val="00016ECB"/>
    <w:rsid w:val="000177D7"/>
    <w:rsid w:val="000269F6"/>
    <w:rsid w:val="00031939"/>
    <w:rsid w:val="00032D25"/>
    <w:rsid w:val="00033798"/>
    <w:rsid w:val="000461D8"/>
    <w:rsid w:val="0005219D"/>
    <w:rsid w:val="000537E7"/>
    <w:rsid w:val="0005568F"/>
    <w:rsid w:val="000569B7"/>
    <w:rsid w:val="00060817"/>
    <w:rsid w:val="0006153D"/>
    <w:rsid w:val="00061B1F"/>
    <w:rsid w:val="0006253B"/>
    <w:rsid w:val="00063FBF"/>
    <w:rsid w:val="000664DB"/>
    <w:rsid w:val="0006748D"/>
    <w:rsid w:val="0007127D"/>
    <w:rsid w:val="00071AE5"/>
    <w:rsid w:val="00074783"/>
    <w:rsid w:val="000801E0"/>
    <w:rsid w:val="00082A29"/>
    <w:rsid w:val="0008331D"/>
    <w:rsid w:val="00083ACC"/>
    <w:rsid w:val="00083C18"/>
    <w:rsid w:val="00086AC7"/>
    <w:rsid w:val="00092899"/>
    <w:rsid w:val="00096C8D"/>
    <w:rsid w:val="000A0D9C"/>
    <w:rsid w:val="000A178E"/>
    <w:rsid w:val="000A557E"/>
    <w:rsid w:val="000B058F"/>
    <w:rsid w:val="000B517D"/>
    <w:rsid w:val="000B693F"/>
    <w:rsid w:val="000C09AC"/>
    <w:rsid w:val="000C0A63"/>
    <w:rsid w:val="000C3AF1"/>
    <w:rsid w:val="000C437E"/>
    <w:rsid w:val="000D2DB0"/>
    <w:rsid w:val="000E38F5"/>
    <w:rsid w:val="000E3FC3"/>
    <w:rsid w:val="000E5F16"/>
    <w:rsid w:val="000F4452"/>
    <w:rsid w:val="000F581A"/>
    <w:rsid w:val="000F6DA1"/>
    <w:rsid w:val="000F701B"/>
    <w:rsid w:val="00100BAB"/>
    <w:rsid w:val="00103FCE"/>
    <w:rsid w:val="001056A0"/>
    <w:rsid w:val="001128D0"/>
    <w:rsid w:val="00115279"/>
    <w:rsid w:val="00117459"/>
    <w:rsid w:val="0011749A"/>
    <w:rsid w:val="00120681"/>
    <w:rsid w:val="00127A68"/>
    <w:rsid w:val="0013076F"/>
    <w:rsid w:val="0013118C"/>
    <w:rsid w:val="00131A10"/>
    <w:rsid w:val="001347D4"/>
    <w:rsid w:val="0013482A"/>
    <w:rsid w:val="00140B13"/>
    <w:rsid w:val="00141B68"/>
    <w:rsid w:val="00143B7F"/>
    <w:rsid w:val="001466DA"/>
    <w:rsid w:val="00154DE1"/>
    <w:rsid w:val="00155B40"/>
    <w:rsid w:val="00157435"/>
    <w:rsid w:val="00157B74"/>
    <w:rsid w:val="00163EEA"/>
    <w:rsid w:val="00167A07"/>
    <w:rsid w:val="0017046A"/>
    <w:rsid w:val="001704A3"/>
    <w:rsid w:val="00172A27"/>
    <w:rsid w:val="0017504D"/>
    <w:rsid w:val="00175CFA"/>
    <w:rsid w:val="00177422"/>
    <w:rsid w:val="001809CA"/>
    <w:rsid w:val="00184F10"/>
    <w:rsid w:val="00185546"/>
    <w:rsid w:val="0019146B"/>
    <w:rsid w:val="00194398"/>
    <w:rsid w:val="001946F9"/>
    <w:rsid w:val="001A7D2A"/>
    <w:rsid w:val="001B574C"/>
    <w:rsid w:val="001B5ACD"/>
    <w:rsid w:val="001C0078"/>
    <w:rsid w:val="001C02B3"/>
    <w:rsid w:val="001C0AF9"/>
    <w:rsid w:val="001C155A"/>
    <w:rsid w:val="001C23BD"/>
    <w:rsid w:val="001C48C0"/>
    <w:rsid w:val="001D6726"/>
    <w:rsid w:val="001E1FE3"/>
    <w:rsid w:val="001E2AA4"/>
    <w:rsid w:val="001E6D4F"/>
    <w:rsid w:val="001F3347"/>
    <w:rsid w:val="001F4440"/>
    <w:rsid w:val="001F69E4"/>
    <w:rsid w:val="0020689E"/>
    <w:rsid w:val="00206A65"/>
    <w:rsid w:val="00212D31"/>
    <w:rsid w:val="002130C7"/>
    <w:rsid w:val="002218A8"/>
    <w:rsid w:val="0022306D"/>
    <w:rsid w:val="00226574"/>
    <w:rsid w:val="002278EC"/>
    <w:rsid w:val="002357C7"/>
    <w:rsid w:val="002367C4"/>
    <w:rsid w:val="002509A1"/>
    <w:rsid w:val="0025679E"/>
    <w:rsid w:val="00260C68"/>
    <w:rsid w:val="002648B0"/>
    <w:rsid w:val="00275271"/>
    <w:rsid w:val="0027535E"/>
    <w:rsid w:val="00275AA6"/>
    <w:rsid w:val="00276441"/>
    <w:rsid w:val="002807D5"/>
    <w:rsid w:val="002817B4"/>
    <w:rsid w:val="00282CCD"/>
    <w:rsid w:val="002969AA"/>
    <w:rsid w:val="00297738"/>
    <w:rsid w:val="002A168C"/>
    <w:rsid w:val="002A17C3"/>
    <w:rsid w:val="002A2C48"/>
    <w:rsid w:val="002A3EED"/>
    <w:rsid w:val="002A4A39"/>
    <w:rsid w:val="002A5A17"/>
    <w:rsid w:val="002A6425"/>
    <w:rsid w:val="002B407D"/>
    <w:rsid w:val="002B49E2"/>
    <w:rsid w:val="002B6531"/>
    <w:rsid w:val="002B7B00"/>
    <w:rsid w:val="002B7C44"/>
    <w:rsid w:val="002C1388"/>
    <w:rsid w:val="002C3C6A"/>
    <w:rsid w:val="002D3810"/>
    <w:rsid w:val="002D42DB"/>
    <w:rsid w:val="002E1F3A"/>
    <w:rsid w:val="002E1F6F"/>
    <w:rsid w:val="002E298A"/>
    <w:rsid w:val="002E3B02"/>
    <w:rsid w:val="002E4AA7"/>
    <w:rsid w:val="002E5B5E"/>
    <w:rsid w:val="002F02A4"/>
    <w:rsid w:val="002F272B"/>
    <w:rsid w:val="002F7181"/>
    <w:rsid w:val="002F7C6D"/>
    <w:rsid w:val="003027E4"/>
    <w:rsid w:val="0030332C"/>
    <w:rsid w:val="00304088"/>
    <w:rsid w:val="00305CE7"/>
    <w:rsid w:val="00312296"/>
    <w:rsid w:val="0031340E"/>
    <w:rsid w:val="00314856"/>
    <w:rsid w:val="0031557C"/>
    <w:rsid w:val="00316464"/>
    <w:rsid w:val="0032073A"/>
    <w:rsid w:val="00321D8E"/>
    <w:rsid w:val="00334996"/>
    <w:rsid w:val="0033666A"/>
    <w:rsid w:val="00336969"/>
    <w:rsid w:val="00336C52"/>
    <w:rsid w:val="0034111D"/>
    <w:rsid w:val="00341B3E"/>
    <w:rsid w:val="00341B42"/>
    <w:rsid w:val="003437E7"/>
    <w:rsid w:val="00345154"/>
    <w:rsid w:val="0034515C"/>
    <w:rsid w:val="0034560E"/>
    <w:rsid w:val="00350523"/>
    <w:rsid w:val="00352975"/>
    <w:rsid w:val="00356868"/>
    <w:rsid w:val="0036437E"/>
    <w:rsid w:val="0036485B"/>
    <w:rsid w:val="00367FD9"/>
    <w:rsid w:val="00372ADF"/>
    <w:rsid w:val="00373B0D"/>
    <w:rsid w:val="00374F9E"/>
    <w:rsid w:val="00376988"/>
    <w:rsid w:val="003804BF"/>
    <w:rsid w:val="00381A72"/>
    <w:rsid w:val="003A1948"/>
    <w:rsid w:val="003B152A"/>
    <w:rsid w:val="003B545B"/>
    <w:rsid w:val="003C18FE"/>
    <w:rsid w:val="003C54EA"/>
    <w:rsid w:val="003D0A7C"/>
    <w:rsid w:val="003D3EE9"/>
    <w:rsid w:val="003E4509"/>
    <w:rsid w:val="003E6AE3"/>
    <w:rsid w:val="003E7400"/>
    <w:rsid w:val="003E7681"/>
    <w:rsid w:val="003F0809"/>
    <w:rsid w:val="003F2F6E"/>
    <w:rsid w:val="003F4BD6"/>
    <w:rsid w:val="003F611C"/>
    <w:rsid w:val="003F755C"/>
    <w:rsid w:val="00402808"/>
    <w:rsid w:val="00406F01"/>
    <w:rsid w:val="00411B36"/>
    <w:rsid w:val="004121D7"/>
    <w:rsid w:val="00416D50"/>
    <w:rsid w:val="00417772"/>
    <w:rsid w:val="00420E6A"/>
    <w:rsid w:val="00423920"/>
    <w:rsid w:val="00424502"/>
    <w:rsid w:val="00431BDB"/>
    <w:rsid w:val="00433CA9"/>
    <w:rsid w:val="0043521D"/>
    <w:rsid w:val="00442024"/>
    <w:rsid w:val="0044254C"/>
    <w:rsid w:val="00442A69"/>
    <w:rsid w:val="004439BA"/>
    <w:rsid w:val="00443F6A"/>
    <w:rsid w:val="00450A17"/>
    <w:rsid w:val="00455951"/>
    <w:rsid w:val="00462649"/>
    <w:rsid w:val="00465208"/>
    <w:rsid w:val="00466321"/>
    <w:rsid w:val="004672AF"/>
    <w:rsid w:val="004727B0"/>
    <w:rsid w:val="004729E3"/>
    <w:rsid w:val="00474701"/>
    <w:rsid w:val="00475187"/>
    <w:rsid w:val="00480247"/>
    <w:rsid w:val="0048081D"/>
    <w:rsid w:val="0048117E"/>
    <w:rsid w:val="00483806"/>
    <w:rsid w:val="0048417B"/>
    <w:rsid w:val="004855F6"/>
    <w:rsid w:val="00486F0C"/>
    <w:rsid w:val="00494352"/>
    <w:rsid w:val="00494670"/>
    <w:rsid w:val="004A0EB4"/>
    <w:rsid w:val="004A3823"/>
    <w:rsid w:val="004A4148"/>
    <w:rsid w:val="004A59BB"/>
    <w:rsid w:val="004A7059"/>
    <w:rsid w:val="004B2DAA"/>
    <w:rsid w:val="004B43A3"/>
    <w:rsid w:val="004B4C49"/>
    <w:rsid w:val="004B58A5"/>
    <w:rsid w:val="004B63D9"/>
    <w:rsid w:val="004C0882"/>
    <w:rsid w:val="004C55BE"/>
    <w:rsid w:val="004D1CC9"/>
    <w:rsid w:val="004E02AA"/>
    <w:rsid w:val="004E1899"/>
    <w:rsid w:val="004E5B30"/>
    <w:rsid w:val="004E76C2"/>
    <w:rsid w:val="004F0779"/>
    <w:rsid w:val="004F1230"/>
    <w:rsid w:val="004F173F"/>
    <w:rsid w:val="004F177C"/>
    <w:rsid w:val="004F2DCE"/>
    <w:rsid w:val="004F40FA"/>
    <w:rsid w:val="004F6FAA"/>
    <w:rsid w:val="005039CB"/>
    <w:rsid w:val="0050558F"/>
    <w:rsid w:val="005057E0"/>
    <w:rsid w:val="00506286"/>
    <w:rsid w:val="00510813"/>
    <w:rsid w:val="00511DE0"/>
    <w:rsid w:val="00512CFD"/>
    <w:rsid w:val="00517F02"/>
    <w:rsid w:val="0052106F"/>
    <w:rsid w:val="00523532"/>
    <w:rsid w:val="00524547"/>
    <w:rsid w:val="005258A2"/>
    <w:rsid w:val="00530F7C"/>
    <w:rsid w:val="00533190"/>
    <w:rsid w:val="00534567"/>
    <w:rsid w:val="00534F43"/>
    <w:rsid w:val="00535A84"/>
    <w:rsid w:val="00536889"/>
    <w:rsid w:val="00542E07"/>
    <w:rsid w:val="00547A15"/>
    <w:rsid w:val="005534B6"/>
    <w:rsid w:val="00554A7B"/>
    <w:rsid w:val="0055572C"/>
    <w:rsid w:val="0056064F"/>
    <w:rsid w:val="005610E3"/>
    <w:rsid w:val="00561B84"/>
    <w:rsid w:val="0056622A"/>
    <w:rsid w:val="00571D98"/>
    <w:rsid w:val="005720AE"/>
    <w:rsid w:val="00577557"/>
    <w:rsid w:val="0058030D"/>
    <w:rsid w:val="00582045"/>
    <w:rsid w:val="00590AE3"/>
    <w:rsid w:val="005913EC"/>
    <w:rsid w:val="00591530"/>
    <w:rsid w:val="005918F1"/>
    <w:rsid w:val="00591FEC"/>
    <w:rsid w:val="00592AED"/>
    <w:rsid w:val="005A06B7"/>
    <w:rsid w:val="005A1759"/>
    <w:rsid w:val="005A7B27"/>
    <w:rsid w:val="005A7EE7"/>
    <w:rsid w:val="005B56F8"/>
    <w:rsid w:val="005B6FA0"/>
    <w:rsid w:val="005D0369"/>
    <w:rsid w:val="005D2935"/>
    <w:rsid w:val="005D53FE"/>
    <w:rsid w:val="005D7A0F"/>
    <w:rsid w:val="005E0438"/>
    <w:rsid w:val="005E0959"/>
    <w:rsid w:val="005E0AA6"/>
    <w:rsid w:val="005E1791"/>
    <w:rsid w:val="005E2CE6"/>
    <w:rsid w:val="005E31AB"/>
    <w:rsid w:val="005E4F97"/>
    <w:rsid w:val="005E6324"/>
    <w:rsid w:val="005F228B"/>
    <w:rsid w:val="005F29CD"/>
    <w:rsid w:val="005F4DFB"/>
    <w:rsid w:val="005F6CC0"/>
    <w:rsid w:val="00603E5B"/>
    <w:rsid w:val="00604BC8"/>
    <w:rsid w:val="006130F9"/>
    <w:rsid w:val="006143E5"/>
    <w:rsid w:val="00615B4C"/>
    <w:rsid w:val="00615B5D"/>
    <w:rsid w:val="0061631B"/>
    <w:rsid w:val="00620C7C"/>
    <w:rsid w:val="00620ECB"/>
    <w:rsid w:val="0062146F"/>
    <w:rsid w:val="0063134F"/>
    <w:rsid w:val="006343AF"/>
    <w:rsid w:val="0063634A"/>
    <w:rsid w:val="0064250D"/>
    <w:rsid w:val="006535EB"/>
    <w:rsid w:val="00660E12"/>
    <w:rsid w:val="00663016"/>
    <w:rsid w:val="00673A32"/>
    <w:rsid w:val="00674605"/>
    <w:rsid w:val="006748B8"/>
    <w:rsid w:val="0068010D"/>
    <w:rsid w:val="0068535B"/>
    <w:rsid w:val="0068736E"/>
    <w:rsid w:val="0069290A"/>
    <w:rsid w:val="00693D49"/>
    <w:rsid w:val="00695FBC"/>
    <w:rsid w:val="00697032"/>
    <w:rsid w:val="006975AC"/>
    <w:rsid w:val="0069775C"/>
    <w:rsid w:val="00697B39"/>
    <w:rsid w:val="006A04EA"/>
    <w:rsid w:val="006A15FB"/>
    <w:rsid w:val="006A72BF"/>
    <w:rsid w:val="006B332A"/>
    <w:rsid w:val="006B33BD"/>
    <w:rsid w:val="006B6C6D"/>
    <w:rsid w:val="006C1D2C"/>
    <w:rsid w:val="006C3F75"/>
    <w:rsid w:val="006D170E"/>
    <w:rsid w:val="006D6FF7"/>
    <w:rsid w:val="006E06AF"/>
    <w:rsid w:val="006E0F6C"/>
    <w:rsid w:val="006F1789"/>
    <w:rsid w:val="006F3E2B"/>
    <w:rsid w:val="006F59BD"/>
    <w:rsid w:val="006F630C"/>
    <w:rsid w:val="00704336"/>
    <w:rsid w:val="00706C5D"/>
    <w:rsid w:val="007118E6"/>
    <w:rsid w:val="007119B5"/>
    <w:rsid w:val="00712ADD"/>
    <w:rsid w:val="007225C9"/>
    <w:rsid w:val="00730A25"/>
    <w:rsid w:val="00735CD7"/>
    <w:rsid w:val="007421A8"/>
    <w:rsid w:val="00750F67"/>
    <w:rsid w:val="00754034"/>
    <w:rsid w:val="00754BF1"/>
    <w:rsid w:val="00755A30"/>
    <w:rsid w:val="00755E1C"/>
    <w:rsid w:val="00756556"/>
    <w:rsid w:val="007604D0"/>
    <w:rsid w:val="0076132B"/>
    <w:rsid w:val="0076157E"/>
    <w:rsid w:val="007623AE"/>
    <w:rsid w:val="00770B19"/>
    <w:rsid w:val="00774FA0"/>
    <w:rsid w:val="00775B96"/>
    <w:rsid w:val="0077616F"/>
    <w:rsid w:val="00776620"/>
    <w:rsid w:val="00777B6D"/>
    <w:rsid w:val="00784855"/>
    <w:rsid w:val="00784F39"/>
    <w:rsid w:val="0078545C"/>
    <w:rsid w:val="0078623C"/>
    <w:rsid w:val="007906C4"/>
    <w:rsid w:val="00790B56"/>
    <w:rsid w:val="007940EA"/>
    <w:rsid w:val="007964A5"/>
    <w:rsid w:val="007967E8"/>
    <w:rsid w:val="007A0ED7"/>
    <w:rsid w:val="007A4750"/>
    <w:rsid w:val="007A63F2"/>
    <w:rsid w:val="007B5F2D"/>
    <w:rsid w:val="007B68DE"/>
    <w:rsid w:val="007C06A3"/>
    <w:rsid w:val="007C0887"/>
    <w:rsid w:val="007C1857"/>
    <w:rsid w:val="007C514F"/>
    <w:rsid w:val="007C717F"/>
    <w:rsid w:val="007D0F95"/>
    <w:rsid w:val="007D2C17"/>
    <w:rsid w:val="007D603D"/>
    <w:rsid w:val="007D7ECB"/>
    <w:rsid w:val="007E1AA8"/>
    <w:rsid w:val="007E25A1"/>
    <w:rsid w:val="007E4BD2"/>
    <w:rsid w:val="007E7145"/>
    <w:rsid w:val="007F27CB"/>
    <w:rsid w:val="007F385C"/>
    <w:rsid w:val="007F3916"/>
    <w:rsid w:val="00801179"/>
    <w:rsid w:val="00802479"/>
    <w:rsid w:val="00805372"/>
    <w:rsid w:val="00805B7B"/>
    <w:rsid w:val="0081293E"/>
    <w:rsid w:val="00814FFB"/>
    <w:rsid w:val="00820568"/>
    <w:rsid w:val="00821EEC"/>
    <w:rsid w:val="00825B9D"/>
    <w:rsid w:val="00826E32"/>
    <w:rsid w:val="00831A80"/>
    <w:rsid w:val="008332C8"/>
    <w:rsid w:val="00833743"/>
    <w:rsid w:val="008340A4"/>
    <w:rsid w:val="00836799"/>
    <w:rsid w:val="00837028"/>
    <w:rsid w:val="00837131"/>
    <w:rsid w:val="008402EC"/>
    <w:rsid w:val="00841E0E"/>
    <w:rsid w:val="00842BC6"/>
    <w:rsid w:val="00844862"/>
    <w:rsid w:val="00845F57"/>
    <w:rsid w:val="008521E0"/>
    <w:rsid w:val="008525B0"/>
    <w:rsid w:val="00861204"/>
    <w:rsid w:val="00867CBC"/>
    <w:rsid w:val="00870365"/>
    <w:rsid w:val="0087269C"/>
    <w:rsid w:val="00875F91"/>
    <w:rsid w:val="00876C30"/>
    <w:rsid w:val="00876DBA"/>
    <w:rsid w:val="00877017"/>
    <w:rsid w:val="008773C0"/>
    <w:rsid w:val="00880364"/>
    <w:rsid w:val="00886C4C"/>
    <w:rsid w:val="0088711C"/>
    <w:rsid w:val="00892E6B"/>
    <w:rsid w:val="00892ECF"/>
    <w:rsid w:val="00892F06"/>
    <w:rsid w:val="00894285"/>
    <w:rsid w:val="008A40AE"/>
    <w:rsid w:val="008A450C"/>
    <w:rsid w:val="008A4E19"/>
    <w:rsid w:val="008A67C5"/>
    <w:rsid w:val="008B22E1"/>
    <w:rsid w:val="008B3C78"/>
    <w:rsid w:val="008B4AE9"/>
    <w:rsid w:val="008B7A7E"/>
    <w:rsid w:val="008C30AD"/>
    <w:rsid w:val="008C3CB1"/>
    <w:rsid w:val="008C7A00"/>
    <w:rsid w:val="008D068E"/>
    <w:rsid w:val="008D0EC9"/>
    <w:rsid w:val="008D0F7A"/>
    <w:rsid w:val="008D63BE"/>
    <w:rsid w:val="008E0CFF"/>
    <w:rsid w:val="008E5D6B"/>
    <w:rsid w:val="008E689B"/>
    <w:rsid w:val="008E76F0"/>
    <w:rsid w:val="008F15FE"/>
    <w:rsid w:val="008F2A94"/>
    <w:rsid w:val="008F5187"/>
    <w:rsid w:val="008F6B03"/>
    <w:rsid w:val="008F709C"/>
    <w:rsid w:val="0090312B"/>
    <w:rsid w:val="00904961"/>
    <w:rsid w:val="00904B9B"/>
    <w:rsid w:val="009076F3"/>
    <w:rsid w:val="00911E67"/>
    <w:rsid w:val="0091736D"/>
    <w:rsid w:val="00924B69"/>
    <w:rsid w:val="00930365"/>
    <w:rsid w:val="00931001"/>
    <w:rsid w:val="00931863"/>
    <w:rsid w:val="0093289B"/>
    <w:rsid w:val="00933065"/>
    <w:rsid w:val="00933524"/>
    <w:rsid w:val="00936A6A"/>
    <w:rsid w:val="0094278D"/>
    <w:rsid w:val="009479BB"/>
    <w:rsid w:val="0095308A"/>
    <w:rsid w:val="00955AEE"/>
    <w:rsid w:val="00956C53"/>
    <w:rsid w:val="00956F14"/>
    <w:rsid w:val="009620FD"/>
    <w:rsid w:val="0096247A"/>
    <w:rsid w:val="00965F4B"/>
    <w:rsid w:val="00970C19"/>
    <w:rsid w:val="00970F8A"/>
    <w:rsid w:val="009715E2"/>
    <w:rsid w:val="00971FB5"/>
    <w:rsid w:val="00972D2A"/>
    <w:rsid w:val="00973FB8"/>
    <w:rsid w:val="00975CC5"/>
    <w:rsid w:val="00976328"/>
    <w:rsid w:val="00976B4E"/>
    <w:rsid w:val="00984458"/>
    <w:rsid w:val="00985283"/>
    <w:rsid w:val="00987322"/>
    <w:rsid w:val="009877F9"/>
    <w:rsid w:val="00991C03"/>
    <w:rsid w:val="00993F69"/>
    <w:rsid w:val="009A0F3B"/>
    <w:rsid w:val="009A4099"/>
    <w:rsid w:val="009A4826"/>
    <w:rsid w:val="009A72C7"/>
    <w:rsid w:val="009B0897"/>
    <w:rsid w:val="009B1B73"/>
    <w:rsid w:val="009B7A9E"/>
    <w:rsid w:val="009C0B61"/>
    <w:rsid w:val="009C7C3D"/>
    <w:rsid w:val="009D0852"/>
    <w:rsid w:val="009D1FBF"/>
    <w:rsid w:val="009E399C"/>
    <w:rsid w:val="009E43C1"/>
    <w:rsid w:val="009E5347"/>
    <w:rsid w:val="009E604E"/>
    <w:rsid w:val="009E7E95"/>
    <w:rsid w:val="009F116F"/>
    <w:rsid w:val="009F329E"/>
    <w:rsid w:val="009F7ED3"/>
    <w:rsid w:val="00A02D00"/>
    <w:rsid w:val="00A03602"/>
    <w:rsid w:val="00A03607"/>
    <w:rsid w:val="00A047FF"/>
    <w:rsid w:val="00A04FEF"/>
    <w:rsid w:val="00A122CD"/>
    <w:rsid w:val="00A12A32"/>
    <w:rsid w:val="00A14248"/>
    <w:rsid w:val="00A14947"/>
    <w:rsid w:val="00A23DC5"/>
    <w:rsid w:val="00A34028"/>
    <w:rsid w:val="00A35568"/>
    <w:rsid w:val="00A37056"/>
    <w:rsid w:val="00A408B2"/>
    <w:rsid w:val="00A41695"/>
    <w:rsid w:val="00A4358F"/>
    <w:rsid w:val="00A46F67"/>
    <w:rsid w:val="00A51B41"/>
    <w:rsid w:val="00A54AA1"/>
    <w:rsid w:val="00A568FF"/>
    <w:rsid w:val="00A601FF"/>
    <w:rsid w:val="00A61496"/>
    <w:rsid w:val="00A61833"/>
    <w:rsid w:val="00A624C6"/>
    <w:rsid w:val="00A63CEC"/>
    <w:rsid w:val="00A7031E"/>
    <w:rsid w:val="00A728B1"/>
    <w:rsid w:val="00A755E9"/>
    <w:rsid w:val="00A763DE"/>
    <w:rsid w:val="00A803D6"/>
    <w:rsid w:val="00A81282"/>
    <w:rsid w:val="00A8713F"/>
    <w:rsid w:val="00A91167"/>
    <w:rsid w:val="00A9171C"/>
    <w:rsid w:val="00A92FFD"/>
    <w:rsid w:val="00A95975"/>
    <w:rsid w:val="00A96CA1"/>
    <w:rsid w:val="00A9708D"/>
    <w:rsid w:val="00AA2C17"/>
    <w:rsid w:val="00AA4172"/>
    <w:rsid w:val="00AA659C"/>
    <w:rsid w:val="00AA70FC"/>
    <w:rsid w:val="00AB0ECB"/>
    <w:rsid w:val="00AB1914"/>
    <w:rsid w:val="00AB343F"/>
    <w:rsid w:val="00AB5330"/>
    <w:rsid w:val="00AB7747"/>
    <w:rsid w:val="00AB7A64"/>
    <w:rsid w:val="00AC2532"/>
    <w:rsid w:val="00AC4085"/>
    <w:rsid w:val="00AD1507"/>
    <w:rsid w:val="00AD5A70"/>
    <w:rsid w:val="00AD738B"/>
    <w:rsid w:val="00AE1BF4"/>
    <w:rsid w:val="00AE5D97"/>
    <w:rsid w:val="00AE6794"/>
    <w:rsid w:val="00B01110"/>
    <w:rsid w:val="00B02262"/>
    <w:rsid w:val="00B03CEC"/>
    <w:rsid w:val="00B05904"/>
    <w:rsid w:val="00B059EF"/>
    <w:rsid w:val="00B1209F"/>
    <w:rsid w:val="00B12AD0"/>
    <w:rsid w:val="00B14320"/>
    <w:rsid w:val="00B152A5"/>
    <w:rsid w:val="00B24F30"/>
    <w:rsid w:val="00B31ABF"/>
    <w:rsid w:val="00B335AE"/>
    <w:rsid w:val="00B37CE1"/>
    <w:rsid w:val="00B40ACF"/>
    <w:rsid w:val="00B46BAA"/>
    <w:rsid w:val="00B50B5F"/>
    <w:rsid w:val="00B54128"/>
    <w:rsid w:val="00B55826"/>
    <w:rsid w:val="00B56E19"/>
    <w:rsid w:val="00B60426"/>
    <w:rsid w:val="00B608C9"/>
    <w:rsid w:val="00B622DD"/>
    <w:rsid w:val="00B62E4B"/>
    <w:rsid w:val="00B63522"/>
    <w:rsid w:val="00B63D11"/>
    <w:rsid w:val="00B76F1D"/>
    <w:rsid w:val="00B77A13"/>
    <w:rsid w:val="00B80D10"/>
    <w:rsid w:val="00B820A5"/>
    <w:rsid w:val="00B862BF"/>
    <w:rsid w:val="00B92A19"/>
    <w:rsid w:val="00B9544C"/>
    <w:rsid w:val="00BA29E9"/>
    <w:rsid w:val="00BA5485"/>
    <w:rsid w:val="00BB3618"/>
    <w:rsid w:val="00BC0C9E"/>
    <w:rsid w:val="00BC2937"/>
    <w:rsid w:val="00BC32DC"/>
    <w:rsid w:val="00BD00C1"/>
    <w:rsid w:val="00BD1B51"/>
    <w:rsid w:val="00BD47F6"/>
    <w:rsid w:val="00BE205E"/>
    <w:rsid w:val="00BE312D"/>
    <w:rsid w:val="00BE3FCA"/>
    <w:rsid w:val="00C05719"/>
    <w:rsid w:val="00C10578"/>
    <w:rsid w:val="00C14658"/>
    <w:rsid w:val="00C17D62"/>
    <w:rsid w:val="00C21EB0"/>
    <w:rsid w:val="00C21FDC"/>
    <w:rsid w:val="00C2487A"/>
    <w:rsid w:val="00C24EE7"/>
    <w:rsid w:val="00C2596A"/>
    <w:rsid w:val="00C271BE"/>
    <w:rsid w:val="00C27425"/>
    <w:rsid w:val="00C328FE"/>
    <w:rsid w:val="00C3319F"/>
    <w:rsid w:val="00C33A05"/>
    <w:rsid w:val="00C3484E"/>
    <w:rsid w:val="00C3726E"/>
    <w:rsid w:val="00C416AA"/>
    <w:rsid w:val="00C42500"/>
    <w:rsid w:val="00C4409D"/>
    <w:rsid w:val="00C455BE"/>
    <w:rsid w:val="00C51E5F"/>
    <w:rsid w:val="00C528D4"/>
    <w:rsid w:val="00C5688E"/>
    <w:rsid w:val="00C61E4B"/>
    <w:rsid w:val="00C62E3A"/>
    <w:rsid w:val="00C64503"/>
    <w:rsid w:val="00C64A1F"/>
    <w:rsid w:val="00C64BFF"/>
    <w:rsid w:val="00C763C9"/>
    <w:rsid w:val="00C80057"/>
    <w:rsid w:val="00C800DF"/>
    <w:rsid w:val="00C82C79"/>
    <w:rsid w:val="00C84753"/>
    <w:rsid w:val="00C8523B"/>
    <w:rsid w:val="00C91611"/>
    <w:rsid w:val="00C9196E"/>
    <w:rsid w:val="00C95748"/>
    <w:rsid w:val="00CA3585"/>
    <w:rsid w:val="00CA3D5A"/>
    <w:rsid w:val="00CA4C7C"/>
    <w:rsid w:val="00CB0183"/>
    <w:rsid w:val="00CB1EA3"/>
    <w:rsid w:val="00CB3AED"/>
    <w:rsid w:val="00CB552C"/>
    <w:rsid w:val="00CB6A9E"/>
    <w:rsid w:val="00CB77BE"/>
    <w:rsid w:val="00CC0B88"/>
    <w:rsid w:val="00CC6181"/>
    <w:rsid w:val="00CD2BCD"/>
    <w:rsid w:val="00CD36AA"/>
    <w:rsid w:val="00CD3791"/>
    <w:rsid w:val="00CD65B0"/>
    <w:rsid w:val="00CD78B3"/>
    <w:rsid w:val="00CE02CD"/>
    <w:rsid w:val="00CE10E9"/>
    <w:rsid w:val="00CF2C5E"/>
    <w:rsid w:val="00D0072E"/>
    <w:rsid w:val="00D14E6E"/>
    <w:rsid w:val="00D15727"/>
    <w:rsid w:val="00D16332"/>
    <w:rsid w:val="00D1725D"/>
    <w:rsid w:val="00D24972"/>
    <w:rsid w:val="00D24D3F"/>
    <w:rsid w:val="00D2515E"/>
    <w:rsid w:val="00D308ED"/>
    <w:rsid w:val="00D3231A"/>
    <w:rsid w:val="00D56178"/>
    <w:rsid w:val="00D56CF0"/>
    <w:rsid w:val="00D56F5C"/>
    <w:rsid w:val="00D704B1"/>
    <w:rsid w:val="00D70B63"/>
    <w:rsid w:val="00D72179"/>
    <w:rsid w:val="00D72B92"/>
    <w:rsid w:val="00D72ED4"/>
    <w:rsid w:val="00D73F61"/>
    <w:rsid w:val="00D754C0"/>
    <w:rsid w:val="00D776A2"/>
    <w:rsid w:val="00D801C4"/>
    <w:rsid w:val="00D81FD1"/>
    <w:rsid w:val="00D8405B"/>
    <w:rsid w:val="00D90836"/>
    <w:rsid w:val="00D95896"/>
    <w:rsid w:val="00D95CC6"/>
    <w:rsid w:val="00D96FEF"/>
    <w:rsid w:val="00DA2DA3"/>
    <w:rsid w:val="00DA6615"/>
    <w:rsid w:val="00DA76AE"/>
    <w:rsid w:val="00DB181E"/>
    <w:rsid w:val="00DB1C7A"/>
    <w:rsid w:val="00DB2983"/>
    <w:rsid w:val="00DB343D"/>
    <w:rsid w:val="00DB5579"/>
    <w:rsid w:val="00DB5CFE"/>
    <w:rsid w:val="00DB7301"/>
    <w:rsid w:val="00DC24AD"/>
    <w:rsid w:val="00DC72A6"/>
    <w:rsid w:val="00DD2113"/>
    <w:rsid w:val="00DD265E"/>
    <w:rsid w:val="00DE1B7F"/>
    <w:rsid w:val="00DE53DC"/>
    <w:rsid w:val="00DF1930"/>
    <w:rsid w:val="00DF514A"/>
    <w:rsid w:val="00E01839"/>
    <w:rsid w:val="00E0358D"/>
    <w:rsid w:val="00E06327"/>
    <w:rsid w:val="00E14AA2"/>
    <w:rsid w:val="00E14E23"/>
    <w:rsid w:val="00E16FE2"/>
    <w:rsid w:val="00E2064B"/>
    <w:rsid w:val="00E22410"/>
    <w:rsid w:val="00E242FC"/>
    <w:rsid w:val="00E25239"/>
    <w:rsid w:val="00E265B1"/>
    <w:rsid w:val="00E275B0"/>
    <w:rsid w:val="00E325B3"/>
    <w:rsid w:val="00E412D0"/>
    <w:rsid w:val="00E47CDB"/>
    <w:rsid w:val="00E537ED"/>
    <w:rsid w:val="00E566BC"/>
    <w:rsid w:val="00E60982"/>
    <w:rsid w:val="00E60C8D"/>
    <w:rsid w:val="00E6162F"/>
    <w:rsid w:val="00E6311B"/>
    <w:rsid w:val="00E65D97"/>
    <w:rsid w:val="00E67EFD"/>
    <w:rsid w:val="00E702DC"/>
    <w:rsid w:val="00E71FFB"/>
    <w:rsid w:val="00E73AE4"/>
    <w:rsid w:val="00E76D1D"/>
    <w:rsid w:val="00E806F8"/>
    <w:rsid w:val="00E8214F"/>
    <w:rsid w:val="00E8288C"/>
    <w:rsid w:val="00E839F8"/>
    <w:rsid w:val="00E87752"/>
    <w:rsid w:val="00E8793B"/>
    <w:rsid w:val="00E90F81"/>
    <w:rsid w:val="00E91A6D"/>
    <w:rsid w:val="00E9242D"/>
    <w:rsid w:val="00E962BC"/>
    <w:rsid w:val="00EA24BB"/>
    <w:rsid w:val="00EB041C"/>
    <w:rsid w:val="00EB4D75"/>
    <w:rsid w:val="00EB7291"/>
    <w:rsid w:val="00EB7B9B"/>
    <w:rsid w:val="00EC3949"/>
    <w:rsid w:val="00EC5874"/>
    <w:rsid w:val="00ED192D"/>
    <w:rsid w:val="00ED30B4"/>
    <w:rsid w:val="00ED31F5"/>
    <w:rsid w:val="00ED6FD8"/>
    <w:rsid w:val="00EF2759"/>
    <w:rsid w:val="00EF45EB"/>
    <w:rsid w:val="00EF5099"/>
    <w:rsid w:val="00EF5B16"/>
    <w:rsid w:val="00EF5E33"/>
    <w:rsid w:val="00F00075"/>
    <w:rsid w:val="00F07822"/>
    <w:rsid w:val="00F15C95"/>
    <w:rsid w:val="00F16AB9"/>
    <w:rsid w:val="00F22985"/>
    <w:rsid w:val="00F241AB"/>
    <w:rsid w:val="00F308E2"/>
    <w:rsid w:val="00F31382"/>
    <w:rsid w:val="00F33238"/>
    <w:rsid w:val="00F35829"/>
    <w:rsid w:val="00F40839"/>
    <w:rsid w:val="00F42868"/>
    <w:rsid w:val="00F465A7"/>
    <w:rsid w:val="00F50B7C"/>
    <w:rsid w:val="00F5202D"/>
    <w:rsid w:val="00F52CF6"/>
    <w:rsid w:val="00F54496"/>
    <w:rsid w:val="00F61097"/>
    <w:rsid w:val="00F65D06"/>
    <w:rsid w:val="00F74345"/>
    <w:rsid w:val="00F74441"/>
    <w:rsid w:val="00F77F30"/>
    <w:rsid w:val="00F82589"/>
    <w:rsid w:val="00F82B19"/>
    <w:rsid w:val="00F846BA"/>
    <w:rsid w:val="00F90AA7"/>
    <w:rsid w:val="00F9212D"/>
    <w:rsid w:val="00FA301A"/>
    <w:rsid w:val="00FA406A"/>
    <w:rsid w:val="00FA5CB6"/>
    <w:rsid w:val="00FB07D6"/>
    <w:rsid w:val="00FC66AC"/>
    <w:rsid w:val="00FD18F4"/>
    <w:rsid w:val="00FD74B4"/>
    <w:rsid w:val="00FE0E92"/>
    <w:rsid w:val="00FE73DE"/>
    <w:rsid w:val="00FE7A5D"/>
    <w:rsid w:val="00FF2204"/>
    <w:rsid w:val="00FF26E1"/>
    <w:rsid w:val="00FF64AD"/>
    <w:rsid w:val="00FF6FCE"/>
    <w:rsid w:val="00FF7518"/>
    <w:rsid w:val="00FF7FD8"/>
    <w:rsid w:val="01085094"/>
    <w:rsid w:val="01086C64"/>
    <w:rsid w:val="010A3464"/>
    <w:rsid w:val="010C3ADF"/>
    <w:rsid w:val="010D7DD7"/>
    <w:rsid w:val="01141165"/>
    <w:rsid w:val="01176EA7"/>
    <w:rsid w:val="012A0989"/>
    <w:rsid w:val="01510884"/>
    <w:rsid w:val="016D4D19"/>
    <w:rsid w:val="0181458A"/>
    <w:rsid w:val="018856AF"/>
    <w:rsid w:val="018A0F14"/>
    <w:rsid w:val="018C0765"/>
    <w:rsid w:val="01A324E9"/>
    <w:rsid w:val="01B42948"/>
    <w:rsid w:val="01B62E2C"/>
    <w:rsid w:val="01CF5159"/>
    <w:rsid w:val="01D31873"/>
    <w:rsid w:val="01E75CDB"/>
    <w:rsid w:val="01EF572E"/>
    <w:rsid w:val="01F46C6A"/>
    <w:rsid w:val="01FB2325"/>
    <w:rsid w:val="020C62E0"/>
    <w:rsid w:val="020E3E06"/>
    <w:rsid w:val="022655F4"/>
    <w:rsid w:val="02337D11"/>
    <w:rsid w:val="02405A0D"/>
    <w:rsid w:val="025811AF"/>
    <w:rsid w:val="02672F4B"/>
    <w:rsid w:val="026A3B24"/>
    <w:rsid w:val="02707F17"/>
    <w:rsid w:val="027653BD"/>
    <w:rsid w:val="02820350"/>
    <w:rsid w:val="02851BD8"/>
    <w:rsid w:val="0292348F"/>
    <w:rsid w:val="02AF6C05"/>
    <w:rsid w:val="02B52A48"/>
    <w:rsid w:val="02DA1F3A"/>
    <w:rsid w:val="02DF57A3"/>
    <w:rsid w:val="03036374"/>
    <w:rsid w:val="0314369E"/>
    <w:rsid w:val="031C69F7"/>
    <w:rsid w:val="031D7830"/>
    <w:rsid w:val="03245DB2"/>
    <w:rsid w:val="0332621A"/>
    <w:rsid w:val="033C0E47"/>
    <w:rsid w:val="034E1DBA"/>
    <w:rsid w:val="034F5D29"/>
    <w:rsid w:val="03525F75"/>
    <w:rsid w:val="03722143"/>
    <w:rsid w:val="037C6C4B"/>
    <w:rsid w:val="039268A9"/>
    <w:rsid w:val="039B087C"/>
    <w:rsid w:val="039B3DC0"/>
    <w:rsid w:val="03A964DC"/>
    <w:rsid w:val="03AC1B29"/>
    <w:rsid w:val="03AC52B5"/>
    <w:rsid w:val="03B804CE"/>
    <w:rsid w:val="03C86237"/>
    <w:rsid w:val="03D14550"/>
    <w:rsid w:val="03D673E3"/>
    <w:rsid w:val="03D746CC"/>
    <w:rsid w:val="03E43FA7"/>
    <w:rsid w:val="03EE0393"/>
    <w:rsid w:val="03F45D7F"/>
    <w:rsid w:val="03FB03BA"/>
    <w:rsid w:val="040A1242"/>
    <w:rsid w:val="041871BE"/>
    <w:rsid w:val="04191ABA"/>
    <w:rsid w:val="04234F58"/>
    <w:rsid w:val="04300633"/>
    <w:rsid w:val="0438160E"/>
    <w:rsid w:val="043D242C"/>
    <w:rsid w:val="044E498E"/>
    <w:rsid w:val="045102C3"/>
    <w:rsid w:val="04657F2A"/>
    <w:rsid w:val="046C12B8"/>
    <w:rsid w:val="046C750A"/>
    <w:rsid w:val="04717BA9"/>
    <w:rsid w:val="04C6374F"/>
    <w:rsid w:val="04DA26C6"/>
    <w:rsid w:val="04E15802"/>
    <w:rsid w:val="04EB6681"/>
    <w:rsid w:val="04F41EFB"/>
    <w:rsid w:val="04F83355"/>
    <w:rsid w:val="05045912"/>
    <w:rsid w:val="050E43BF"/>
    <w:rsid w:val="05121E5F"/>
    <w:rsid w:val="051909BA"/>
    <w:rsid w:val="052120A3"/>
    <w:rsid w:val="0524167C"/>
    <w:rsid w:val="052D4EEB"/>
    <w:rsid w:val="0548762F"/>
    <w:rsid w:val="05681381"/>
    <w:rsid w:val="056B77C2"/>
    <w:rsid w:val="056E36D4"/>
    <w:rsid w:val="05705DB7"/>
    <w:rsid w:val="05742AC8"/>
    <w:rsid w:val="0577196F"/>
    <w:rsid w:val="05776166"/>
    <w:rsid w:val="0584418A"/>
    <w:rsid w:val="058F3A4A"/>
    <w:rsid w:val="05BD613B"/>
    <w:rsid w:val="05C82A29"/>
    <w:rsid w:val="05EE467B"/>
    <w:rsid w:val="05EF03F3"/>
    <w:rsid w:val="06007623"/>
    <w:rsid w:val="060A2B37"/>
    <w:rsid w:val="06277ED4"/>
    <w:rsid w:val="062B48CF"/>
    <w:rsid w:val="06316315"/>
    <w:rsid w:val="06352F05"/>
    <w:rsid w:val="0639166E"/>
    <w:rsid w:val="063E7D85"/>
    <w:rsid w:val="065A1D10"/>
    <w:rsid w:val="066761DB"/>
    <w:rsid w:val="066C1A43"/>
    <w:rsid w:val="067642A4"/>
    <w:rsid w:val="06783F44"/>
    <w:rsid w:val="067C6A21"/>
    <w:rsid w:val="068C5093"/>
    <w:rsid w:val="069A210C"/>
    <w:rsid w:val="069A60B5"/>
    <w:rsid w:val="069C6D34"/>
    <w:rsid w:val="06A765D7"/>
    <w:rsid w:val="06AC65AF"/>
    <w:rsid w:val="06AD0181"/>
    <w:rsid w:val="06B75171"/>
    <w:rsid w:val="06BC0F70"/>
    <w:rsid w:val="06C57E6F"/>
    <w:rsid w:val="06CC603E"/>
    <w:rsid w:val="06E15F8D"/>
    <w:rsid w:val="06E72CB0"/>
    <w:rsid w:val="06F7130D"/>
    <w:rsid w:val="07084972"/>
    <w:rsid w:val="070875E0"/>
    <w:rsid w:val="071719AF"/>
    <w:rsid w:val="0717375D"/>
    <w:rsid w:val="071D689A"/>
    <w:rsid w:val="07293586"/>
    <w:rsid w:val="07295285"/>
    <w:rsid w:val="0749236A"/>
    <w:rsid w:val="07770C56"/>
    <w:rsid w:val="07794418"/>
    <w:rsid w:val="077C55BA"/>
    <w:rsid w:val="07854B6B"/>
    <w:rsid w:val="078C54F9"/>
    <w:rsid w:val="078D6F37"/>
    <w:rsid w:val="079F0AA0"/>
    <w:rsid w:val="07B83CFD"/>
    <w:rsid w:val="07C600D1"/>
    <w:rsid w:val="07CF5DE6"/>
    <w:rsid w:val="07D94835"/>
    <w:rsid w:val="07E21FBD"/>
    <w:rsid w:val="07EC6298"/>
    <w:rsid w:val="07ED0240"/>
    <w:rsid w:val="07F341CA"/>
    <w:rsid w:val="07F4584C"/>
    <w:rsid w:val="08044AD5"/>
    <w:rsid w:val="080F704F"/>
    <w:rsid w:val="08230990"/>
    <w:rsid w:val="08296CA4"/>
    <w:rsid w:val="083A10B9"/>
    <w:rsid w:val="084408D6"/>
    <w:rsid w:val="084F2CCF"/>
    <w:rsid w:val="08567150"/>
    <w:rsid w:val="085A5FF7"/>
    <w:rsid w:val="088F5575"/>
    <w:rsid w:val="08A9103C"/>
    <w:rsid w:val="08AF3CFA"/>
    <w:rsid w:val="08CE0793"/>
    <w:rsid w:val="08CE609D"/>
    <w:rsid w:val="08D00E36"/>
    <w:rsid w:val="08F21CF9"/>
    <w:rsid w:val="091F4B4B"/>
    <w:rsid w:val="092217DD"/>
    <w:rsid w:val="0926412B"/>
    <w:rsid w:val="09302C3D"/>
    <w:rsid w:val="09320D22"/>
    <w:rsid w:val="09385C0D"/>
    <w:rsid w:val="093A7294"/>
    <w:rsid w:val="09727371"/>
    <w:rsid w:val="09842C00"/>
    <w:rsid w:val="09A236BF"/>
    <w:rsid w:val="09BA02A1"/>
    <w:rsid w:val="09C55650"/>
    <w:rsid w:val="0A110938"/>
    <w:rsid w:val="0A1C108A"/>
    <w:rsid w:val="0A377A8F"/>
    <w:rsid w:val="0A5F7DCC"/>
    <w:rsid w:val="0A6C7BC0"/>
    <w:rsid w:val="0A6F38B0"/>
    <w:rsid w:val="0A7A32A8"/>
    <w:rsid w:val="0A7E1D45"/>
    <w:rsid w:val="0A7E6E75"/>
    <w:rsid w:val="0A801619"/>
    <w:rsid w:val="0A901DFD"/>
    <w:rsid w:val="0A9357F1"/>
    <w:rsid w:val="0A936B58"/>
    <w:rsid w:val="0A951569"/>
    <w:rsid w:val="0AA5064D"/>
    <w:rsid w:val="0AAD755F"/>
    <w:rsid w:val="0AAE43D8"/>
    <w:rsid w:val="0AB319EF"/>
    <w:rsid w:val="0AB45767"/>
    <w:rsid w:val="0ACE05D7"/>
    <w:rsid w:val="0AE222D4"/>
    <w:rsid w:val="0AE61AEF"/>
    <w:rsid w:val="0B065FC2"/>
    <w:rsid w:val="0B0E1FDD"/>
    <w:rsid w:val="0B1A6C98"/>
    <w:rsid w:val="0B1C0AEA"/>
    <w:rsid w:val="0B3A06A9"/>
    <w:rsid w:val="0B3E5FBA"/>
    <w:rsid w:val="0B436C9C"/>
    <w:rsid w:val="0B490912"/>
    <w:rsid w:val="0B5A630E"/>
    <w:rsid w:val="0B754EF6"/>
    <w:rsid w:val="0B7C073E"/>
    <w:rsid w:val="0B863C62"/>
    <w:rsid w:val="0B9510F4"/>
    <w:rsid w:val="0B955FD1"/>
    <w:rsid w:val="0B9628F8"/>
    <w:rsid w:val="0B9A495D"/>
    <w:rsid w:val="0B9D6D88"/>
    <w:rsid w:val="0BA13F4A"/>
    <w:rsid w:val="0BAE488A"/>
    <w:rsid w:val="0BB772BD"/>
    <w:rsid w:val="0BB91287"/>
    <w:rsid w:val="0BC90E28"/>
    <w:rsid w:val="0BD27BF6"/>
    <w:rsid w:val="0BDA11FD"/>
    <w:rsid w:val="0BDE4D19"/>
    <w:rsid w:val="0BE45BC4"/>
    <w:rsid w:val="0BE81B6C"/>
    <w:rsid w:val="0BED101D"/>
    <w:rsid w:val="0C033E63"/>
    <w:rsid w:val="0C134F7E"/>
    <w:rsid w:val="0C1E10EA"/>
    <w:rsid w:val="0C272694"/>
    <w:rsid w:val="0C2C2F68"/>
    <w:rsid w:val="0C6C00A7"/>
    <w:rsid w:val="0C797D50"/>
    <w:rsid w:val="0C8A49D1"/>
    <w:rsid w:val="0C8C24F7"/>
    <w:rsid w:val="0CB722F5"/>
    <w:rsid w:val="0CC55A09"/>
    <w:rsid w:val="0CD0362A"/>
    <w:rsid w:val="0CD55045"/>
    <w:rsid w:val="0CE916F8"/>
    <w:rsid w:val="0CF06F2A"/>
    <w:rsid w:val="0CF602B9"/>
    <w:rsid w:val="0D0A4DDC"/>
    <w:rsid w:val="0D0C3638"/>
    <w:rsid w:val="0D103128"/>
    <w:rsid w:val="0D116EA1"/>
    <w:rsid w:val="0D1733CB"/>
    <w:rsid w:val="0D1B7D7B"/>
    <w:rsid w:val="0D2512DC"/>
    <w:rsid w:val="0D272220"/>
    <w:rsid w:val="0D3E26CF"/>
    <w:rsid w:val="0D4903E8"/>
    <w:rsid w:val="0D5E3267"/>
    <w:rsid w:val="0D682563"/>
    <w:rsid w:val="0D6B4803"/>
    <w:rsid w:val="0D7C3B01"/>
    <w:rsid w:val="0D7C4FAB"/>
    <w:rsid w:val="0D8633EB"/>
    <w:rsid w:val="0D8A64FB"/>
    <w:rsid w:val="0D8D2673"/>
    <w:rsid w:val="0D933D59"/>
    <w:rsid w:val="0D96694A"/>
    <w:rsid w:val="0DA23FE2"/>
    <w:rsid w:val="0DA33F9D"/>
    <w:rsid w:val="0DBE0DD6"/>
    <w:rsid w:val="0DC51F28"/>
    <w:rsid w:val="0DCD726B"/>
    <w:rsid w:val="0DE255F7"/>
    <w:rsid w:val="0DFB0EEC"/>
    <w:rsid w:val="0E110D06"/>
    <w:rsid w:val="0E15651D"/>
    <w:rsid w:val="0E1A3B33"/>
    <w:rsid w:val="0E230C39"/>
    <w:rsid w:val="0E4D5CB6"/>
    <w:rsid w:val="0E5352C3"/>
    <w:rsid w:val="0E581D00"/>
    <w:rsid w:val="0E6A6868"/>
    <w:rsid w:val="0E6D6359"/>
    <w:rsid w:val="0E7C47EE"/>
    <w:rsid w:val="0E800256"/>
    <w:rsid w:val="0E835B7C"/>
    <w:rsid w:val="0E875C90"/>
    <w:rsid w:val="0E9438E5"/>
    <w:rsid w:val="0EA93835"/>
    <w:rsid w:val="0EAD2BF9"/>
    <w:rsid w:val="0EAF6971"/>
    <w:rsid w:val="0EBA3D28"/>
    <w:rsid w:val="0EC95C85"/>
    <w:rsid w:val="0ED525D1"/>
    <w:rsid w:val="0ED800D2"/>
    <w:rsid w:val="0ED818B2"/>
    <w:rsid w:val="0EDD34DE"/>
    <w:rsid w:val="0EE749C6"/>
    <w:rsid w:val="0EEC4678"/>
    <w:rsid w:val="0EEE7499"/>
    <w:rsid w:val="0EFF16A6"/>
    <w:rsid w:val="0F073DDF"/>
    <w:rsid w:val="0F0D5446"/>
    <w:rsid w:val="0F13775A"/>
    <w:rsid w:val="0F183558"/>
    <w:rsid w:val="0F192FFD"/>
    <w:rsid w:val="0F1F58A5"/>
    <w:rsid w:val="0F2922CC"/>
    <w:rsid w:val="0F3B6457"/>
    <w:rsid w:val="0F491C79"/>
    <w:rsid w:val="0F4E4E40"/>
    <w:rsid w:val="0F5903DB"/>
    <w:rsid w:val="0F5D0D44"/>
    <w:rsid w:val="0F9028B3"/>
    <w:rsid w:val="0F9A112B"/>
    <w:rsid w:val="0F9C5147"/>
    <w:rsid w:val="0FA77648"/>
    <w:rsid w:val="1009024C"/>
    <w:rsid w:val="100B45DD"/>
    <w:rsid w:val="100C40A0"/>
    <w:rsid w:val="102173FB"/>
    <w:rsid w:val="10246EEB"/>
    <w:rsid w:val="10286214"/>
    <w:rsid w:val="103C2486"/>
    <w:rsid w:val="103E1D5B"/>
    <w:rsid w:val="1045758D"/>
    <w:rsid w:val="104D4694"/>
    <w:rsid w:val="105D52A2"/>
    <w:rsid w:val="106D2F64"/>
    <w:rsid w:val="107472AF"/>
    <w:rsid w:val="107D4233"/>
    <w:rsid w:val="10854C8B"/>
    <w:rsid w:val="10915F18"/>
    <w:rsid w:val="10936346"/>
    <w:rsid w:val="10A861E6"/>
    <w:rsid w:val="10AA7782"/>
    <w:rsid w:val="10B36C33"/>
    <w:rsid w:val="10B63710"/>
    <w:rsid w:val="10C761F4"/>
    <w:rsid w:val="10DE48CA"/>
    <w:rsid w:val="10E30B54"/>
    <w:rsid w:val="10E51C66"/>
    <w:rsid w:val="111A3B43"/>
    <w:rsid w:val="111C2F7A"/>
    <w:rsid w:val="112A6783"/>
    <w:rsid w:val="113013DE"/>
    <w:rsid w:val="11337864"/>
    <w:rsid w:val="114F313B"/>
    <w:rsid w:val="11551A52"/>
    <w:rsid w:val="116422AD"/>
    <w:rsid w:val="1170063A"/>
    <w:rsid w:val="117F262B"/>
    <w:rsid w:val="11800151"/>
    <w:rsid w:val="11845E93"/>
    <w:rsid w:val="119838F5"/>
    <w:rsid w:val="11AA463D"/>
    <w:rsid w:val="11B147AE"/>
    <w:rsid w:val="11BA3663"/>
    <w:rsid w:val="11D566EF"/>
    <w:rsid w:val="11F50B3F"/>
    <w:rsid w:val="12054DD5"/>
    <w:rsid w:val="121F5BBC"/>
    <w:rsid w:val="122356AC"/>
    <w:rsid w:val="122B06C2"/>
    <w:rsid w:val="12395518"/>
    <w:rsid w:val="1245309B"/>
    <w:rsid w:val="124675EC"/>
    <w:rsid w:val="124E7C83"/>
    <w:rsid w:val="12584CB9"/>
    <w:rsid w:val="125A606E"/>
    <w:rsid w:val="125B6DD1"/>
    <w:rsid w:val="125C16B0"/>
    <w:rsid w:val="125D0B1A"/>
    <w:rsid w:val="125D297E"/>
    <w:rsid w:val="12704669"/>
    <w:rsid w:val="127F665A"/>
    <w:rsid w:val="12B1012B"/>
    <w:rsid w:val="12B674BA"/>
    <w:rsid w:val="12BA6738"/>
    <w:rsid w:val="12D2223E"/>
    <w:rsid w:val="12D6271E"/>
    <w:rsid w:val="12DE51F0"/>
    <w:rsid w:val="12EC7E23"/>
    <w:rsid w:val="12EF12A4"/>
    <w:rsid w:val="12F25FF2"/>
    <w:rsid w:val="12F40DF6"/>
    <w:rsid w:val="12FC3DBC"/>
    <w:rsid w:val="12FD00AD"/>
    <w:rsid w:val="12FE1C75"/>
    <w:rsid w:val="13021765"/>
    <w:rsid w:val="130B7EEE"/>
    <w:rsid w:val="130C25E4"/>
    <w:rsid w:val="13113756"/>
    <w:rsid w:val="13207027"/>
    <w:rsid w:val="132B637B"/>
    <w:rsid w:val="132D1F38"/>
    <w:rsid w:val="13370CE3"/>
    <w:rsid w:val="13385187"/>
    <w:rsid w:val="1340747B"/>
    <w:rsid w:val="135F0042"/>
    <w:rsid w:val="13627064"/>
    <w:rsid w:val="136F6EA1"/>
    <w:rsid w:val="13724144"/>
    <w:rsid w:val="1379754E"/>
    <w:rsid w:val="138159BF"/>
    <w:rsid w:val="13891875"/>
    <w:rsid w:val="139323BD"/>
    <w:rsid w:val="13951726"/>
    <w:rsid w:val="13954F26"/>
    <w:rsid w:val="139E1CBE"/>
    <w:rsid w:val="139F1F37"/>
    <w:rsid w:val="13AF2F6F"/>
    <w:rsid w:val="13C133CE"/>
    <w:rsid w:val="13D55C3B"/>
    <w:rsid w:val="13E0137B"/>
    <w:rsid w:val="13E1581F"/>
    <w:rsid w:val="13E96D1A"/>
    <w:rsid w:val="13F5101B"/>
    <w:rsid w:val="13F60B9E"/>
    <w:rsid w:val="13FA41EA"/>
    <w:rsid w:val="1404150D"/>
    <w:rsid w:val="141259D8"/>
    <w:rsid w:val="142F3046"/>
    <w:rsid w:val="14396509"/>
    <w:rsid w:val="1447165C"/>
    <w:rsid w:val="1454110D"/>
    <w:rsid w:val="145E4D9D"/>
    <w:rsid w:val="14641C7C"/>
    <w:rsid w:val="14684D4E"/>
    <w:rsid w:val="146A14F7"/>
    <w:rsid w:val="146C2A40"/>
    <w:rsid w:val="146E6986"/>
    <w:rsid w:val="147E12BF"/>
    <w:rsid w:val="147E55D3"/>
    <w:rsid w:val="14936873"/>
    <w:rsid w:val="14956609"/>
    <w:rsid w:val="14A5684C"/>
    <w:rsid w:val="14AC2BA5"/>
    <w:rsid w:val="14AD5701"/>
    <w:rsid w:val="14CA1E1F"/>
    <w:rsid w:val="14E075CF"/>
    <w:rsid w:val="14E904B0"/>
    <w:rsid w:val="14F21366"/>
    <w:rsid w:val="14FD0846"/>
    <w:rsid w:val="15051099"/>
    <w:rsid w:val="150D43F1"/>
    <w:rsid w:val="151032C4"/>
    <w:rsid w:val="151F3D97"/>
    <w:rsid w:val="152922EE"/>
    <w:rsid w:val="15292FC5"/>
    <w:rsid w:val="153059CB"/>
    <w:rsid w:val="15316332"/>
    <w:rsid w:val="15412B4F"/>
    <w:rsid w:val="154A73F4"/>
    <w:rsid w:val="155E2E9F"/>
    <w:rsid w:val="1561245B"/>
    <w:rsid w:val="156C76B7"/>
    <w:rsid w:val="157978DA"/>
    <w:rsid w:val="158E4707"/>
    <w:rsid w:val="158F54FE"/>
    <w:rsid w:val="159B360E"/>
    <w:rsid w:val="159B3EAF"/>
    <w:rsid w:val="159B4585"/>
    <w:rsid w:val="15A82B61"/>
    <w:rsid w:val="15AB60E4"/>
    <w:rsid w:val="15AD7F2C"/>
    <w:rsid w:val="15AF0726"/>
    <w:rsid w:val="15AF6136"/>
    <w:rsid w:val="15BC0979"/>
    <w:rsid w:val="15CE3B81"/>
    <w:rsid w:val="15E40814"/>
    <w:rsid w:val="15EC4007"/>
    <w:rsid w:val="15EF5777"/>
    <w:rsid w:val="15FA6724"/>
    <w:rsid w:val="16007AB2"/>
    <w:rsid w:val="160F07DB"/>
    <w:rsid w:val="161A6DC6"/>
    <w:rsid w:val="161B48EC"/>
    <w:rsid w:val="1633527A"/>
    <w:rsid w:val="163A2FC4"/>
    <w:rsid w:val="163D20FF"/>
    <w:rsid w:val="16440055"/>
    <w:rsid w:val="16563C07"/>
    <w:rsid w:val="165E1285"/>
    <w:rsid w:val="166938A9"/>
    <w:rsid w:val="168D4AF4"/>
    <w:rsid w:val="1697220B"/>
    <w:rsid w:val="16B17C2B"/>
    <w:rsid w:val="16C876C0"/>
    <w:rsid w:val="16DE4297"/>
    <w:rsid w:val="16E3540A"/>
    <w:rsid w:val="170B3FA4"/>
    <w:rsid w:val="170D2487"/>
    <w:rsid w:val="170F26A3"/>
    <w:rsid w:val="171862D1"/>
    <w:rsid w:val="171A491F"/>
    <w:rsid w:val="172249FA"/>
    <w:rsid w:val="17294D2C"/>
    <w:rsid w:val="17296F6C"/>
    <w:rsid w:val="1731694B"/>
    <w:rsid w:val="1733791F"/>
    <w:rsid w:val="17365E81"/>
    <w:rsid w:val="17487963"/>
    <w:rsid w:val="174D6D27"/>
    <w:rsid w:val="174F3B50"/>
    <w:rsid w:val="17525194"/>
    <w:rsid w:val="17735226"/>
    <w:rsid w:val="177A213A"/>
    <w:rsid w:val="177F4246"/>
    <w:rsid w:val="178B57DB"/>
    <w:rsid w:val="17991F6C"/>
    <w:rsid w:val="179E3A27"/>
    <w:rsid w:val="17A74689"/>
    <w:rsid w:val="17AA4179"/>
    <w:rsid w:val="17B44FF8"/>
    <w:rsid w:val="17B70821"/>
    <w:rsid w:val="17BD4E01"/>
    <w:rsid w:val="17C25E4A"/>
    <w:rsid w:val="17C92852"/>
    <w:rsid w:val="17D24696"/>
    <w:rsid w:val="17D65929"/>
    <w:rsid w:val="17E86A50"/>
    <w:rsid w:val="17E916C3"/>
    <w:rsid w:val="17FD115A"/>
    <w:rsid w:val="17FE5DC6"/>
    <w:rsid w:val="17FE5EF9"/>
    <w:rsid w:val="18023FB5"/>
    <w:rsid w:val="18026A60"/>
    <w:rsid w:val="18037914"/>
    <w:rsid w:val="180B23B7"/>
    <w:rsid w:val="180E4708"/>
    <w:rsid w:val="18131D1F"/>
    <w:rsid w:val="183165FB"/>
    <w:rsid w:val="183D6D9C"/>
    <w:rsid w:val="18493992"/>
    <w:rsid w:val="18504D21"/>
    <w:rsid w:val="1853036D"/>
    <w:rsid w:val="18581E27"/>
    <w:rsid w:val="185D6C94"/>
    <w:rsid w:val="18753D1E"/>
    <w:rsid w:val="187566B9"/>
    <w:rsid w:val="18846779"/>
    <w:rsid w:val="18856978"/>
    <w:rsid w:val="18A706B9"/>
    <w:rsid w:val="18B31489"/>
    <w:rsid w:val="18B43089"/>
    <w:rsid w:val="18C15C1F"/>
    <w:rsid w:val="18C27E7F"/>
    <w:rsid w:val="18C66D91"/>
    <w:rsid w:val="18D019BE"/>
    <w:rsid w:val="18D426C3"/>
    <w:rsid w:val="18DD6CDC"/>
    <w:rsid w:val="18E15979"/>
    <w:rsid w:val="18E35B95"/>
    <w:rsid w:val="18E72983"/>
    <w:rsid w:val="18E875A5"/>
    <w:rsid w:val="18F90F15"/>
    <w:rsid w:val="190B50EC"/>
    <w:rsid w:val="190D676E"/>
    <w:rsid w:val="19245318"/>
    <w:rsid w:val="19257F5C"/>
    <w:rsid w:val="19333C3D"/>
    <w:rsid w:val="1934225B"/>
    <w:rsid w:val="193B3B10"/>
    <w:rsid w:val="193B777F"/>
    <w:rsid w:val="195919B3"/>
    <w:rsid w:val="195D1737"/>
    <w:rsid w:val="19697608"/>
    <w:rsid w:val="19811B18"/>
    <w:rsid w:val="199E2BFC"/>
    <w:rsid w:val="19A679D2"/>
    <w:rsid w:val="19AF0C44"/>
    <w:rsid w:val="19B17A41"/>
    <w:rsid w:val="19B23720"/>
    <w:rsid w:val="19C257AA"/>
    <w:rsid w:val="19D76D70"/>
    <w:rsid w:val="19E94E23"/>
    <w:rsid w:val="19F95134"/>
    <w:rsid w:val="1A0D279E"/>
    <w:rsid w:val="1A1C66C0"/>
    <w:rsid w:val="1A3D3083"/>
    <w:rsid w:val="1A41499F"/>
    <w:rsid w:val="1A42393B"/>
    <w:rsid w:val="1A444411"/>
    <w:rsid w:val="1A642D06"/>
    <w:rsid w:val="1A6802CD"/>
    <w:rsid w:val="1A7D5B75"/>
    <w:rsid w:val="1A94120D"/>
    <w:rsid w:val="1A97157D"/>
    <w:rsid w:val="1A9D6217"/>
    <w:rsid w:val="1AA06A87"/>
    <w:rsid w:val="1AA66184"/>
    <w:rsid w:val="1AB772D9"/>
    <w:rsid w:val="1AC217DA"/>
    <w:rsid w:val="1AC45552"/>
    <w:rsid w:val="1AC77D0E"/>
    <w:rsid w:val="1AC90DBB"/>
    <w:rsid w:val="1AD251B4"/>
    <w:rsid w:val="1ADF413A"/>
    <w:rsid w:val="1AEF6A73"/>
    <w:rsid w:val="1AF37BE5"/>
    <w:rsid w:val="1B046F80"/>
    <w:rsid w:val="1B0818E3"/>
    <w:rsid w:val="1B096E2E"/>
    <w:rsid w:val="1B097409"/>
    <w:rsid w:val="1B1026EE"/>
    <w:rsid w:val="1B1B5294"/>
    <w:rsid w:val="1B3267B5"/>
    <w:rsid w:val="1B3C77DE"/>
    <w:rsid w:val="1B5A7C65"/>
    <w:rsid w:val="1B5E78FC"/>
    <w:rsid w:val="1B634D6B"/>
    <w:rsid w:val="1B8151F1"/>
    <w:rsid w:val="1B851185"/>
    <w:rsid w:val="1B8B2D9F"/>
    <w:rsid w:val="1B917B2A"/>
    <w:rsid w:val="1B974A15"/>
    <w:rsid w:val="1B9D5DED"/>
    <w:rsid w:val="1BA27539"/>
    <w:rsid w:val="1BAF7FB0"/>
    <w:rsid w:val="1BBF6165"/>
    <w:rsid w:val="1BC25DC8"/>
    <w:rsid w:val="1BC577D4"/>
    <w:rsid w:val="1C2362A8"/>
    <w:rsid w:val="1C475483"/>
    <w:rsid w:val="1C4F5E80"/>
    <w:rsid w:val="1C587FB0"/>
    <w:rsid w:val="1C5E7925"/>
    <w:rsid w:val="1C6128E9"/>
    <w:rsid w:val="1C712EC9"/>
    <w:rsid w:val="1C854F5A"/>
    <w:rsid w:val="1C887FC8"/>
    <w:rsid w:val="1C981895"/>
    <w:rsid w:val="1C992D0E"/>
    <w:rsid w:val="1C9A5DF9"/>
    <w:rsid w:val="1CAB47FA"/>
    <w:rsid w:val="1CAE3674"/>
    <w:rsid w:val="1CC21F65"/>
    <w:rsid w:val="1CD04682"/>
    <w:rsid w:val="1CD7777A"/>
    <w:rsid w:val="1CFE2A48"/>
    <w:rsid w:val="1D046041"/>
    <w:rsid w:val="1D050D2B"/>
    <w:rsid w:val="1D1E53EE"/>
    <w:rsid w:val="1D255BF3"/>
    <w:rsid w:val="1D320E99"/>
    <w:rsid w:val="1D4E55A7"/>
    <w:rsid w:val="1D4E7279"/>
    <w:rsid w:val="1D513780"/>
    <w:rsid w:val="1D5675F2"/>
    <w:rsid w:val="1D5D5662"/>
    <w:rsid w:val="1D5F6196"/>
    <w:rsid w:val="1D6132A5"/>
    <w:rsid w:val="1D61352C"/>
    <w:rsid w:val="1D752B34"/>
    <w:rsid w:val="1D771777"/>
    <w:rsid w:val="1D8E29C0"/>
    <w:rsid w:val="1D8E56D5"/>
    <w:rsid w:val="1D924FD8"/>
    <w:rsid w:val="1DA17DCD"/>
    <w:rsid w:val="1DA20C31"/>
    <w:rsid w:val="1DB16262"/>
    <w:rsid w:val="1DBA2C3C"/>
    <w:rsid w:val="1DFB128B"/>
    <w:rsid w:val="1E122A78"/>
    <w:rsid w:val="1E285DF8"/>
    <w:rsid w:val="1E2B7E0D"/>
    <w:rsid w:val="1E332531"/>
    <w:rsid w:val="1E33639B"/>
    <w:rsid w:val="1E366767"/>
    <w:rsid w:val="1E3A3BD5"/>
    <w:rsid w:val="1E4D0963"/>
    <w:rsid w:val="1E594203"/>
    <w:rsid w:val="1E5B2ED9"/>
    <w:rsid w:val="1E6432D4"/>
    <w:rsid w:val="1E674B72"/>
    <w:rsid w:val="1E6908EA"/>
    <w:rsid w:val="1E7A43DA"/>
    <w:rsid w:val="1EAA4A5F"/>
    <w:rsid w:val="1EB12291"/>
    <w:rsid w:val="1EB148C1"/>
    <w:rsid w:val="1EB277FE"/>
    <w:rsid w:val="1EB65FB7"/>
    <w:rsid w:val="1EC352E4"/>
    <w:rsid w:val="1EC51899"/>
    <w:rsid w:val="1EC55994"/>
    <w:rsid w:val="1ED241B0"/>
    <w:rsid w:val="1ED81A83"/>
    <w:rsid w:val="1EDA5344"/>
    <w:rsid w:val="1EF735B7"/>
    <w:rsid w:val="1EFD1033"/>
    <w:rsid w:val="1F0020BC"/>
    <w:rsid w:val="1F0B19A2"/>
    <w:rsid w:val="1F533349"/>
    <w:rsid w:val="1F74219C"/>
    <w:rsid w:val="1F866821"/>
    <w:rsid w:val="1FA53BA4"/>
    <w:rsid w:val="1FA71066"/>
    <w:rsid w:val="1FB60294"/>
    <w:rsid w:val="1FC97167"/>
    <w:rsid w:val="1FD75D28"/>
    <w:rsid w:val="1FE30F60"/>
    <w:rsid w:val="1FE7539E"/>
    <w:rsid w:val="1FF64400"/>
    <w:rsid w:val="20083FA6"/>
    <w:rsid w:val="2009699D"/>
    <w:rsid w:val="201C308A"/>
    <w:rsid w:val="202964C4"/>
    <w:rsid w:val="202B1BD0"/>
    <w:rsid w:val="202C3EC3"/>
    <w:rsid w:val="20463C39"/>
    <w:rsid w:val="205630F0"/>
    <w:rsid w:val="206B5702"/>
    <w:rsid w:val="20707E2F"/>
    <w:rsid w:val="208F03B0"/>
    <w:rsid w:val="20943C19"/>
    <w:rsid w:val="20963CB8"/>
    <w:rsid w:val="20B07FB6"/>
    <w:rsid w:val="20BB1D43"/>
    <w:rsid w:val="20BB4530"/>
    <w:rsid w:val="20C847C5"/>
    <w:rsid w:val="20D12B0B"/>
    <w:rsid w:val="20D451E9"/>
    <w:rsid w:val="20F070A1"/>
    <w:rsid w:val="21004E0A"/>
    <w:rsid w:val="211A0AC8"/>
    <w:rsid w:val="21262AC3"/>
    <w:rsid w:val="21294361"/>
    <w:rsid w:val="21297A3C"/>
    <w:rsid w:val="213B74B1"/>
    <w:rsid w:val="213C1917"/>
    <w:rsid w:val="214142A7"/>
    <w:rsid w:val="215A2310"/>
    <w:rsid w:val="21661111"/>
    <w:rsid w:val="216B7D9C"/>
    <w:rsid w:val="216D40E2"/>
    <w:rsid w:val="216E6218"/>
    <w:rsid w:val="217B4CDE"/>
    <w:rsid w:val="217E7584"/>
    <w:rsid w:val="21A34113"/>
    <w:rsid w:val="21A659B2"/>
    <w:rsid w:val="21A954A2"/>
    <w:rsid w:val="21B207FA"/>
    <w:rsid w:val="21B7196D"/>
    <w:rsid w:val="21BC6F83"/>
    <w:rsid w:val="21C127EB"/>
    <w:rsid w:val="21C67E1E"/>
    <w:rsid w:val="21CF4F08"/>
    <w:rsid w:val="21DE318A"/>
    <w:rsid w:val="21DF2C72"/>
    <w:rsid w:val="21EF5B80"/>
    <w:rsid w:val="21FA5580"/>
    <w:rsid w:val="221548E5"/>
    <w:rsid w:val="22230261"/>
    <w:rsid w:val="224B5175"/>
    <w:rsid w:val="22536AC3"/>
    <w:rsid w:val="2254749D"/>
    <w:rsid w:val="22576990"/>
    <w:rsid w:val="2261255A"/>
    <w:rsid w:val="226A4C31"/>
    <w:rsid w:val="226D1CAC"/>
    <w:rsid w:val="2273035C"/>
    <w:rsid w:val="22821F7B"/>
    <w:rsid w:val="22877591"/>
    <w:rsid w:val="22963C78"/>
    <w:rsid w:val="229879F0"/>
    <w:rsid w:val="229C4EAB"/>
    <w:rsid w:val="22A243CB"/>
    <w:rsid w:val="22BC602F"/>
    <w:rsid w:val="22C81958"/>
    <w:rsid w:val="22C9020A"/>
    <w:rsid w:val="22D4098D"/>
    <w:rsid w:val="22D43C89"/>
    <w:rsid w:val="22D541E0"/>
    <w:rsid w:val="22D87DED"/>
    <w:rsid w:val="22EC3898"/>
    <w:rsid w:val="22F34C27"/>
    <w:rsid w:val="230914A3"/>
    <w:rsid w:val="230C2C7B"/>
    <w:rsid w:val="23260675"/>
    <w:rsid w:val="23270D74"/>
    <w:rsid w:val="233D2CBA"/>
    <w:rsid w:val="234D6B54"/>
    <w:rsid w:val="234E00AF"/>
    <w:rsid w:val="23522813"/>
    <w:rsid w:val="236448B7"/>
    <w:rsid w:val="237925D6"/>
    <w:rsid w:val="23812232"/>
    <w:rsid w:val="23931F66"/>
    <w:rsid w:val="239F377F"/>
    <w:rsid w:val="23A1214F"/>
    <w:rsid w:val="23A44173"/>
    <w:rsid w:val="23A45829"/>
    <w:rsid w:val="23AB3753"/>
    <w:rsid w:val="23B31D5F"/>
    <w:rsid w:val="23BC326A"/>
    <w:rsid w:val="23CB4743"/>
    <w:rsid w:val="23D700A4"/>
    <w:rsid w:val="23DE52C6"/>
    <w:rsid w:val="23E7405F"/>
    <w:rsid w:val="23F820C6"/>
    <w:rsid w:val="24003A9F"/>
    <w:rsid w:val="240B41F2"/>
    <w:rsid w:val="240D3609"/>
    <w:rsid w:val="2420516C"/>
    <w:rsid w:val="24244D9A"/>
    <w:rsid w:val="242F6C30"/>
    <w:rsid w:val="24305014"/>
    <w:rsid w:val="24621831"/>
    <w:rsid w:val="24643484"/>
    <w:rsid w:val="24783510"/>
    <w:rsid w:val="248A09E5"/>
    <w:rsid w:val="248B469D"/>
    <w:rsid w:val="24A24B56"/>
    <w:rsid w:val="24A65CC9"/>
    <w:rsid w:val="24AD3DD7"/>
    <w:rsid w:val="24AF2DCF"/>
    <w:rsid w:val="24B67988"/>
    <w:rsid w:val="24C85C3F"/>
    <w:rsid w:val="24CE164F"/>
    <w:rsid w:val="24D56066"/>
    <w:rsid w:val="24D70E1D"/>
    <w:rsid w:val="24DE1906"/>
    <w:rsid w:val="24E4247E"/>
    <w:rsid w:val="24E8008F"/>
    <w:rsid w:val="24ED38F7"/>
    <w:rsid w:val="24F829C8"/>
    <w:rsid w:val="24FE5B05"/>
    <w:rsid w:val="250B6EE6"/>
    <w:rsid w:val="251175E6"/>
    <w:rsid w:val="251D6203"/>
    <w:rsid w:val="25201F1F"/>
    <w:rsid w:val="252D53FE"/>
    <w:rsid w:val="252F3F10"/>
    <w:rsid w:val="25427252"/>
    <w:rsid w:val="254479BB"/>
    <w:rsid w:val="2549584E"/>
    <w:rsid w:val="254C061E"/>
    <w:rsid w:val="25565941"/>
    <w:rsid w:val="255821DB"/>
    <w:rsid w:val="2560231B"/>
    <w:rsid w:val="2564139D"/>
    <w:rsid w:val="257A525F"/>
    <w:rsid w:val="259F1096"/>
    <w:rsid w:val="25A55F80"/>
    <w:rsid w:val="25A83A70"/>
    <w:rsid w:val="25AE752B"/>
    <w:rsid w:val="25BC1C48"/>
    <w:rsid w:val="25C40AFC"/>
    <w:rsid w:val="25D57534"/>
    <w:rsid w:val="25D7082F"/>
    <w:rsid w:val="25D845A8"/>
    <w:rsid w:val="25DA0E81"/>
    <w:rsid w:val="25E22D30"/>
    <w:rsid w:val="25E35426"/>
    <w:rsid w:val="25EB7E37"/>
    <w:rsid w:val="25EC2D81"/>
    <w:rsid w:val="25F405BF"/>
    <w:rsid w:val="262E5F76"/>
    <w:rsid w:val="26301CEE"/>
    <w:rsid w:val="26344532"/>
    <w:rsid w:val="264528BD"/>
    <w:rsid w:val="26720558"/>
    <w:rsid w:val="2674607E"/>
    <w:rsid w:val="26802C75"/>
    <w:rsid w:val="268838D8"/>
    <w:rsid w:val="26895B50"/>
    <w:rsid w:val="269009DE"/>
    <w:rsid w:val="26A1499A"/>
    <w:rsid w:val="26A14AA0"/>
    <w:rsid w:val="26AD2296"/>
    <w:rsid w:val="26AF355A"/>
    <w:rsid w:val="26B4013F"/>
    <w:rsid w:val="26BC7A25"/>
    <w:rsid w:val="26BE72FA"/>
    <w:rsid w:val="26C03072"/>
    <w:rsid w:val="26DD7F7F"/>
    <w:rsid w:val="26E15B99"/>
    <w:rsid w:val="26EA2865"/>
    <w:rsid w:val="26EE2F31"/>
    <w:rsid w:val="27010E83"/>
    <w:rsid w:val="270537D9"/>
    <w:rsid w:val="271B0BF0"/>
    <w:rsid w:val="271E2BEC"/>
    <w:rsid w:val="272A2BE1"/>
    <w:rsid w:val="273B32E9"/>
    <w:rsid w:val="27421CD9"/>
    <w:rsid w:val="274E2D73"/>
    <w:rsid w:val="27550681"/>
    <w:rsid w:val="276B714E"/>
    <w:rsid w:val="276C144B"/>
    <w:rsid w:val="27743E5C"/>
    <w:rsid w:val="278422F1"/>
    <w:rsid w:val="2786213D"/>
    <w:rsid w:val="278C05ED"/>
    <w:rsid w:val="278F6696"/>
    <w:rsid w:val="27922388"/>
    <w:rsid w:val="27925A1E"/>
    <w:rsid w:val="27987D44"/>
    <w:rsid w:val="279D605E"/>
    <w:rsid w:val="27A277B4"/>
    <w:rsid w:val="27A6495D"/>
    <w:rsid w:val="27B65DA8"/>
    <w:rsid w:val="27BF3F2A"/>
    <w:rsid w:val="27CB7F20"/>
    <w:rsid w:val="27D15DD1"/>
    <w:rsid w:val="27F03410"/>
    <w:rsid w:val="27F356C9"/>
    <w:rsid w:val="280D16C3"/>
    <w:rsid w:val="28140F8A"/>
    <w:rsid w:val="281B5EBF"/>
    <w:rsid w:val="28235FAE"/>
    <w:rsid w:val="282610DE"/>
    <w:rsid w:val="282619A3"/>
    <w:rsid w:val="283748D1"/>
    <w:rsid w:val="283917B1"/>
    <w:rsid w:val="283C77D9"/>
    <w:rsid w:val="285919D0"/>
    <w:rsid w:val="285940BD"/>
    <w:rsid w:val="285A17C2"/>
    <w:rsid w:val="28650375"/>
    <w:rsid w:val="28680D51"/>
    <w:rsid w:val="287700A8"/>
    <w:rsid w:val="28941167"/>
    <w:rsid w:val="28A76295"/>
    <w:rsid w:val="28B371CD"/>
    <w:rsid w:val="28CA391A"/>
    <w:rsid w:val="28D267A4"/>
    <w:rsid w:val="28D5129B"/>
    <w:rsid w:val="28D948BF"/>
    <w:rsid w:val="28DE0127"/>
    <w:rsid w:val="28E121E2"/>
    <w:rsid w:val="28EB2D30"/>
    <w:rsid w:val="28F528E4"/>
    <w:rsid w:val="28F811E9"/>
    <w:rsid w:val="2915596A"/>
    <w:rsid w:val="29170E8E"/>
    <w:rsid w:val="291853E7"/>
    <w:rsid w:val="2919115F"/>
    <w:rsid w:val="29206EB8"/>
    <w:rsid w:val="292B00DB"/>
    <w:rsid w:val="292F4BD6"/>
    <w:rsid w:val="29387837"/>
    <w:rsid w:val="29435C48"/>
    <w:rsid w:val="29495E18"/>
    <w:rsid w:val="294E4BC1"/>
    <w:rsid w:val="295201CD"/>
    <w:rsid w:val="295D0F0E"/>
    <w:rsid w:val="296715D4"/>
    <w:rsid w:val="29683EFE"/>
    <w:rsid w:val="296E6940"/>
    <w:rsid w:val="29716048"/>
    <w:rsid w:val="29852351"/>
    <w:rsid w:val="299E16B4"/>
    <w:rsid w:val="29AC5B2F"/>
    <w:rsid w:val="29AE18A7"/>
    <w:rsid w:val="29B83B80"/>
    <w:rsid w:val="29BF0635"/>
    <w:rsid w:val="29D54965"/>
    <w:rsid w:val="29DF6672"/>
    <w:rsid w:val="29E325E0"/>
    <w:rsid w:val="29E7300B"/>
    <w:rsid w:val="29EF54DA"/>
    <w:rsid w:val="29F00D73"/>
    <w:rsid w:val="29FD7E09"/>
    <w:rsid w:val="2A077209"/>
    <w:rsid w:val="2A181417"/>
    <w:rsid w:val="2A1A0087"/>
    <w:rsid w:val="2A224043"/>
    <w:rsid w:val="2A225F57"/>
    <w:rsid w:val="2A261D85"/>
    <w:rsid w:val="2A291581"/>
    <w:rsid w:val="2A452503"/>
    <w:rsid w:val="2A4A3DDF"/>
    <w:rsid w:val="2A522B7B"/>
    <w:rsid w:val="2A571F3F"/>
    <w:rsid w:val="2A5B21A6"/>
    <w:rsid w:val="2A61691A"/>
    <w:rsid w:val="2A663F30"/>
    <w:rsid w:val="2A954815"/>
    <w:rsid w:val="2A984622"/>
    <w:rsid w:val="2AC44873"/>
    <w:rsid w:val="2AD81DD6"/>
    <w:rsid w:val="2AE00186"/>
    <w:rsid w:val="2AEC3063"/>
    <w:rsid w:val="2B0055AE"/>
    <w:rsid w:val="2B0C45AE"/>
    <w:rsid w:val="2B0D12EA"/>
    <w:rsid w:val="2B1011E2"/>
    <w:rsid w:val="2B1044E5"/>
    <w:rsid w:val="2B442FF1"/>
    <w:rsid w:val="2B54022C"/>
    <w:rsid w:val="2B5446D0"/>
    <w:rsid w:val="2B762899"/>
    <w:rsid w:val="2B940F71"/>
    <w:rsid w:val="2B9864EF"/>
    <w:rsid w:val="2B9D7E25"/>
    <w:rsid w:val="2B9E3B11"/>
    <w:rsid w:val="2BA54F2C"/>
    <w:rsid w:val="2BA67144"/>
    <w:rsid w:val="2BA936A8"/>
    <w:rsid w:val="2BAA69F8"/>
    <w:rsid w:val="2BB138D1"/>
    <w:rsid w:val="2BD77907"/>
    <w:rsid w:val="2BED2084"/>
    <w:rsid w:val="2BEE5268"/>
    <w:rsid w:val="2BF51A0F"/>
    <w:rsid w:val="2BFB0EC8"/>
    <w:rsid w:val="2C06436C"/>
    <w:rsid w:val="2C0B2FE1"/>
    <w:rsid w:val="2C217F97"/>
    <w:rsid w:val="2C2E04E6"/>
    <w:rsid w:val="2C315A5A"/>
    <w:rsid w:val="2C351E0C"/>
    <w:rsid w:val="2C4B162F"/>
    <w:rsid w:val="2C5C383D"/>
    <w:rsid w:val="2C631D41"/>
    <w:rsid w:val="2C7030A2"/>
    <w:rsid w:val="2C786181"/>
    <w:rsid w:val="2C7F0052"/>
    <w:rsid w:val="2C7F577D"/>
    <w:rsid w:val="2C8E4B62"/>
    <w:rsid w:val="2CA156F3"/>
    <w:rsid w:val="2CA57561"/>
    <w:rsid w:val="2CB113E6"/>
    <w:rsid w:val="2CB87DBF"/>
    <w:rsid w:val="2CBD7C60"/>
    <w:rsid w:val="2CD52468"/>
    <w:rsid w:val="2CDB5DAC"/>
    <w:rsid w:val="2CE27F15"/>
    <w:rsid w:val="2CEC5E40"/>
    <w:rsid w:val="2CEF2903"/>
    <w:rsid w:val="2CFB569E"/>
    <w:rsid w:val="2CFE2B46"/>
    <w:rsid w:val="2D0615B8"/>
    <w:rsid w:val="2D0D6D43"/>
    <w:rsid w:val="2D177764"/>
    <w:rsid w:val="2D1E4F96"/>
    <w:rsid w:val="2D276A64"/>
    <w:rsid w:val="2D3A1A8B"/>
    <w:rsid w:val="2D4331C7"/>
    <w:rsid w:val="2D55028C"/>
    <w:rsid w:val="2D5B085C"/>
    <w:rsid w:val="2D5F4233"/>
    <w:rsid w:val="2D76092E"/>
    <w:rsid w:val="2D821D81"/>
    <w:rsid w:val="2D8D3ECA"/>
    <w:rsid w:val="2D93624A"/>
    <w:rsid w:val="2D97311F"/>
    <w:rsid w:val="2D9C2F7E"/>
    <w:rsid w:val="2D9E56F5"/>
    <w:rsid w:val="2DBD030B"/>
    <w:rsid w:val="2DC27F9F"/>
    <w:rsid w:val="2DCC2611"/>
    <w:rsid w:val="2DCF7851"/>
    <w:rsid w:val="2DE16FF1"/>
    <w:rsid w:val="2DE25FC3"/>
    <w:rsid w:val="2DE53D06"/>
    <w:rsid w:val="2DED6716"/>
    <w:rsid w:val="2E0777D8"/>
    <w:rsid w:val="2E204D3E"/>
    <w:rsid w:val="2E24482E"/>
    <w:rsid w:val="2E301AD7"/>
    <w:rsid w:val="2E321B98"/>
    <w:rsid w:val="2E405A49"/>
    <w:rsid w:val="2E525AC4"/>
    <w:rsid w:val="2E5642BC"/>
    <w:rsid w:val="2E667F96"/>
    <w:rsid w:val="2E701821"/>
    <w:rsid w:val="2E7B108D"/>
    <w:rsid w:val="2E8226AB"/>
    <w:rsid w:val="2E8402B7"/>
    <w:rsid w:val="2E8B0409"/>
    <w:rsid w:val="2E9F3EB4"/>
    <w:rsid w:val="2EB77450"/>
    <w:rsid w:val="2EC03CB2"/>
    <w:rsid w:val="2ED022C0"/>
    <w:rsid w:val="2ED2428A"/>
    <w:rsid w:val="2EDC6EB7"/>
    <w:rsid w:val="2EE1150A"/>
    <w:rsid w:val="2EF778D3"/>
    <w:rsid w:val="2EFA5DF4"/>
    <w:rsid w:val="2F01691D"/>
    <w:rsid w:val="2F0361F1"/>
    <w:rsid w:val="2F1228D8"/>
    <w:rsid w:val="2F274283"/>
    <w:rsid w:val="2F2F55AF"/>
    <w:rsid w:val="2F360741"/>
    <w:rsid w:val="2F387B0D"/>
    <w:rsid w:val="2F562170"/>
    <w:rsid w:val="2F566C69"/>
    <w:rsid w:val="2F5B427F"/>
    <w:rsid w:val="2F7B047E"/>
    <w:rsid w:val="2F7C5FA4"/>
    <w:rsid w:val="2F832C79"/>
    <w:rsid w:val="2F897F15"/>
    <w:rsid w:val="2F99381C"/>
    <w:rsid w:val="2FB251DF"/>
    <w:rsid w:val="2FC811E9"/>
    <w:rsid w:val="2FD61B58"/>
    <w:rsid w:val="2FEA115F"/>
    <w:rsid w:val="2FED1556"/>
    <w:rsid w:val="2FEF2D58"/>
    <w:rsid w:val="2FFC44A6"/>
    <w:rsid w:val="2FFE3624"/>
    <w:rsid w:val="2FFF63F9"/>
    <w:rsid w:val="301303EC"/>
    <w:rsid w:val="301A13F4"/>
    <w:rsid w:val="301B2D20"/>
    <w:rsid w:val="302369A0"/>
    <w:rsid w:val="30244700"/>
    <w:rsid w:val="30251E7B"/>
    <w:rsid w:val="30350259"/>
    <w:rsid w:val="303F6BFA"/>
    <w:rsid w:val="30440ED2"/>
    <w:rsid w:val="30580BC9"/>
    <w:rsid w:val="306C26A5"/>
    <w:rsid w:val="306F77B8"/>
    <w:rsid w:val="307373A7"/>
    <w:rsid w:val="308275EA"/>
    <w:rsid w:val="309612E7"/>
    <w:rsid w:val="30961EF6"/>
    <w:rsid w:val="30A6332F"/>
    <w:rsid w:val="30A92DC8"/>
    <w:rsid w:val="30AB4D93"/>
    <w:rsid w:val="30BC0D4E"/>
    <w:rsid w:val="30BF083E"/>
    <w:rsid w:val="30C10490"/>
    <w:rsid w:val="30C65728"/>
    <w:rsid w:val="30C85944"/>
    <w:rsid w:val="30CA04AF"/>
    <w:rsid w:val="30D616E4"/>
    <w:rsid w:val="30D86B55"/>
    <w:rsid w:val="30E6401D"/>
    <w:rsid w:val="30FA1876"/>
    <w:rsid w:val="31083606"/>
    <w:rsid w:val="31183989"/>
    <w:rsid w:val="31191AA6"/>
    <w:rsid w:val="311E2ED7"/>
    <w:rsid w:val="312406A1"/>
    <w:rsid w:val="312565F0"/>
    <w:rsid w:val="31375948"/>
    <w:rsid w:val="313E79B5"/>
    <w:rsid w:val="31490108"/>
    <w:rsid w:val="314F1BC2"/>
    <w:rsid w:val="3154611C"/>
    <w:rsid w:val="31562CFE"/>
    <w:rsid w:val="315736D8"/>
    <w:rsid w:val="315760F4"/>
    <w:rsid w:val="315C449C"/>
    <w:rsid w:val="31612F97"/>
    <w:rsid w:val="316C5020"/>
    <w:rsid w:val="31752ADB"/>
    <w:rsid w:val="318765DF"/>
    <w:rsid w:val="318C4BC4"/>
    <w:rsid w:val="31921AAF"/>
    <w:rsid w:val="319F0414"/>
    <w:rsid w:val="31A62D61"/>
    <w:rsid w:val="31AB124D"/>
    <w:rsid w:val="31B25CAD"/>
    <w:rsid w:val="31B639EF"/>
    <w:rsid w:val="31B82709"/>
    <w:rsid w:val="31BE6E53"/>
    <w:rsid w:val="31C205E6"/>
    <w:rsid w:val="31C3610C"/>
    <w:rsid w:val="31C86ABC"/>
    <w:rsid w:val="31CB6D6E"/>
    <w:rsid w:val="31CF4AB1"/>
    <w:rsid w:val="31DD4FFF"/>
    <w:rsid w:val="31ED3189"/>
    <w:rsid w:val="31F933D5"/>
    <w:rsid w:val="320457A2"/>
    <w:rsid w:val="32193F7E"/>
    <w:rsid w:val="321C75CA"/>
    <w:rsid w:val="322F37A1"/>
    <w:rsid w:val="323808A8"/>
    <w:rsid w:val="3239174D"/>
    <w:rsid w:val="32400B34"/>
    <w:rsid w:val="324101D6"/>
    <w:rsid w:val="32421947"/>
    <w:rsid w:val="32550EA6"/>
    <w:rsid w:val="325927DB"/>
    <w:rsid w:val="32666042"/>
    <w:rsid w:val="327A2C6E"/>
    <w:rsid w:val="32803FFD"/>
    <w:rsid w:val="328533C1"/>
    <w:rsid w:val="328E62DD"/>
    <w:rsid w:val="32987598"/>
    <w:rsid w:val="329B0E37"/>
    <w:rsid w:val="329E6876"/>
    <w:rsid w:val="32B45ACB"/>
    <w:rsid w:val="32BA70B2"/>
    <w:rsid w:val="32C739DA"/>
    <w:rsid w:val="32D65350"/>
    <w:rsid w:val="32E16709"/>
    <w:rsid w:val="32E77BD8"/>
    <w:rsid w:val="32ED7014"/>
    <w:rsid w:val="32F10A57"/>
    <w:rsid w:val="331935FC"/>
    <w:rsid w:val="331F0BAF"/>
    <w:rsid w:val="3344502A"/>
    <w:rsid w:val="335C05C6"/>
    <w:rsid w:val="33600DAB"/>
    <w:rsid w:val="337A0A4C"/>
    <w:rsid w:val="338F274A"/>
    <w:rsid w:val="339D7865"/>
    <w:rsid w:val="339E7474"/>
    <w:rsid w:val="33AB32FB"/>
    <w:rsid w:val="33AF1889"/>
    <w:rsid w:val="33CD5020"/>
    <w:rsid w:val="33D934D4"/>
    <w:rsid w:val="33F7209D"/>
    <w:rsid w:val="33FE2F6A"/>
    <w:rsid w:val="342033A2"/>
    <w:rsid w:val="3422222F"/>
    <w:rsid w:val="343706EB"/>
    <w:rsid w:val="343A7D68"/>
    <w:rsid w:val="34452D8A"/>
    <w:rsid w:val="34474078"/>
    <w:rsid w:val="34496D9C"/>
    <w:rsid w:val="345136DB"/>
    <w:rsid w:val="345F6138"/>
    <w:rsid w:val="34657462"/>
    <w:rsid w:val="34687C50"/>
    <w:rsid w:val="34711E4F"/>
    <w:rsid w:val="34723EB6"/>
    <w:rsid w:val="347507BC"/>
    <w:rsid w:val="347D4D3B"/>
    <w:rsid w:val="34965062"/>
    <w:rsid w:val="34C40D15"/>
    <w:rsid w:val="34CA3750"/>
    <w:rsid w:val="34DA0A32"/>
    <w:rsid w:val="34DB0A44"/>
    <w:rsid w:val="34E73EBF"/>
    <w:rsid w:val="34FC2127"/>
    <w:rsid w:val="350606FD"/>
    <w:rsid w:val="351B1DBB"/>
    <w:rsid w:val="3531125E"/>
    <w:rsid w:val="353E374D"/>
    <w:rsid w:val="354B6B44"/>
    <w:rsid w:val="35675949"/>
    <w:rsid w:val="35683252"/>
    <w:rsid w:val="35687E40"/>
    <w:rsid w:val="356F0F35"/>
    <w:rsid w:val="357C3335"/>
    <w:rsid w:val="357E0CC8"/>
    <w:rsid w:val="358838F4"/>
    <w:rsid w:val="35A40002"/>
    <w:rsid w:val="35A43A11"/>
    <w:rsid w:val="35B54FC1"/>
    <w:rsid w:val="35B82687"/>
    <w:rsid w:val="35D52735"/>
    <w:rsid w:val="35DB6085"/>
    <w:rsid w:val="35F66AB0"/>
    <w:rsid w:val="35F94327"/>
    <w:rsid w:val="36074A7F"/>
    <w:rsid w:val="363C3B54"/>
    <w:rsid w:val="364A6DFC"/>
    <w:rsid w:val="365D08DD"/>
    <w:rsid w:val="366817A6"/>
    <w:rsid w:val="366A4DA8"/>
    <w:rsid w:val="366C4FC4"/>
    <w:rsid w:val="36775057"/>
    <w:rsid w:val="36791EB6"/>
    <w:rsid w:val="367D2D2D"/>
    <w:rsid w:val="36852CE8"/>
    <w:rsid w:val="368F0CB2"/>
    <w:rsid w:val="368F3F76"/>
    <w:rsid w:val="36923549"/>
    <w:rsid w:val="369A4E21"/>
    <w:rsid w:val="36A57545"/>
    <w:rsid w:val="36A662F0"/>
    <w:rsid w:val="36B75FBF"/>
    <w:rsid w:val="36BD312A"/>
    <w:rsid w:val="36EE057B"/>
    <w:rsid w:val="36F47976"/>
    <w:rsid w:val="36F530E8"/>
    <w:rsid w:val="36F6488E"/>
    <w:rsid w:val="36FB4891"/>
    <w:rsid w:val="36FD34CA"/>
    <w:rsid w:val="370818B2"/>
    <w:rsid w:val="37112DDD"/>
    <w:rsid w:val="374A4272"/>
    <w:rsid w:val="374D73FE"/>
    <w:rsid w:val="37527104"/>
    <w:rsid w:val="378B7ED8"/>
    <w:rsid w:val="379A790F"/>
    <w:rsid w:val="379E1FAB"/>
    <w:rsid w:val="379E6472"/>
    <w:rsid w:val="37BF4AA8"/>
    <w:rsid w:val="37C2544D"/>
    <w:rsid w:val="37C4673A"/>
    <w:rsid w:val="37CD3840"/>
    <w:rsid w:val="38002096"/>
    <w:rsid w:val="38017A45"/>
    <w:rsid w:val="380B168F"/>
    <w:rsid w:val="382B5AE9"/>
    <w:rsid w:val="383B2EA0"/>
    <w:rsid w:val="383D31EA"/>
    <w:rsid w:val="38727227"/>
    <w:rsid w:val="387622A7"/>
    <w:rsid w:val="38765C86"/>
    <w:rsid w:val="3885236D"/>
    <w:rsid w:val="38C06F01"/>
    <w:rsid w:val="38DD3F57"/>
    <w:rsid w:val="38EA6FCF"/>
    <w:rsid w:val="38F12CD3"/>
    <w:rsid w:val="38F511AE"/>
    <w:rsid w:val="38F94775"/>
    <w:rsid w:val="390B7A49"/>
    <w:rsid w:val="39131727"/>
    <w:rsid w:val="392751D2"/>
    <w:rsid w:val="39294E48"/>
    <w:rsid w:val="392971ED"/>
    <w:rsid w:val="39502CE1"/>
    <w:rsid w:val="3951224F"/>
    <w:rsid w:val="395D2765"/>
    <w:rsid w:val="396106E4"/>
    <w:rsid w:val="39623CF1"/>
    <w:rsid w:val="396300AA"/>
    <w:rsid w:val="397367C5"/>
    <w:rsid w:val="3987255E"/>
    <w:rsid w:val="399A5E03"/>
    <w:rsid w:val="399C171C"/>
    <w:rsid w:val="39B1059B"/>
    <w:rsid w:val="39D619B3"/>
    <w:rsid w:val="39D972DA"/>
    <w:rsid w:val="39E430C3"/>
    <w:rsid w:val="39E50FF9"/>
    <w:rsid w:val="39ED1F78"/>
    <w:rsid w:val="39FD3633"/>
    <w:rsid w:val="39FE10B4"/>
    <w:rsid w:val="3A125B37"/>
    <w:rsid w:val="3A1304A1"/>
    <w:rsid w:val="3A1D7307"/>
    <w:rsid w:val="3A230F6F"/>
    <w:rsid w:val="3A267723"/>
    <w:rsid w:val="3A2B3CC2"/>
    <w:rsid w:val="3A2E433E"/>
    <w:rsid w:val="3A316EDF"/>
    <w:rsid w:val="3A325BDD"/>
    <w:rsid w:val="3A325D32"/>
    <w:rsid w:val="3A375645"/>
    <w:rsid w:val="3A3F6E8C"/>
    <w:rsid w:val="3A4B6C9E"/>
    <w:rsid w:val="3A500759"/>
    <w:rsid w:val="3A5F65DC"/>
    <w:rsid w:val="3A7461F5"/>
    <w:rsid w:val="3A79072A"/>
    <w:rsid w:val="3A7A7CE8"/>
    <w:rsid w:val="3A7B1683"/>
    <w:rsid w:val="3AA50AA5"/>
    <w:rsid w:val="3AA86E5C"/>
    <w:rsid w:val="3ABC7B9C"/>
    <w:rsid w:val="3AD36221"/>
    <w:rsid w:val="3AD725D5"/>
    <w:rsid w:val="3AF51FAE"/>
    <w:rsid w:val="3AFF6974"/>
    <w:rsid w:val="3B02024B"/>
    <w:rsid w:val="3B0D0B61"/>
    <w:rsid w:val="3B100982"/>
    <w:rsid w:val="3B1479D8"/>
    <w:rsid w:val="3B2B6C54"/>
    <w:rsid w:val="3B334302"/>
    <w:rsid w:val="3B3763D1"/>
    <w:rsid w:val="3B4007CD"/>
    <w:rsid w:val="3B4B164C"/>
    <w:rsid w:val="3B55589E"/>
    <w:rsid w:val="3B5B2830"/>
    <w:rsid w:val="3B5B73B5"/>
    <w:rsid w:val="3B610E3A"/>
    <w:rsid w:val="3B6967B2"/>
    <w:rsid w:val="3B6A55BB"/>
    <w:rsid w:val="3B806E1C"/>
    <w:rsid w:val="3B8A2193"/>
    <w:rsid w:val="3B8C44D6"/>
    <w:rsid w:val="3B915C47"/>
    <w:rsid w:val="3B9C1479"/>
    <w:rsid w:val="3BA10C87"/>
    <w:rsid w:val="3BA42B0A"/>
    <w:rsid w:val="3BAA3FB1"/>
    <w:rsid w:val="3BB32120"/>
    <w:rsid w:val="3BB93BC1"/>
    <w:rsid w:val="3BC949FA"/>
    <w:rsid w:val="3BD11425"/>
    <w:rsid w:val="3BD771D7"/>
    <w:rsid w:val="3BE530FA"/>
    <w:rsid w:val="3BF05D4F"/>
    <w:rsid w:val="3BF57AD9"/>
    <w:rsid w:val="3C0C2E19"/>
    <w:rsid w:val="3C1C3D9E"/>
    <w:rsid w:val="3C273396"/>
    <w:rsid w:val="3C2E0626"/>
    <w:rsid w:val="3C300842"/>
    <w:rsid w:val="3C314235"/>
    <w:rsid w:val="3C344617"/>
    <w:rsid w:val="3C35598B"/>
    <w:rsid w:val="3C4131D2"/>
    <w:rsid w:val="3C430575"/>
    <w:rsid w:val="3C447E49"/>
    <w:rsid w:val="3C5207B8"/>
    <w:rsid w:val="3C566B00"/>
    <w:rsid w:val="3C575DCE"/>
    <w:rsid w:val="3C5C2C55"/>
    <w:rsid w:val="3C636521"/>
    <w:rsid w:val="3C663209"/>
    <w:rsid w:val="3C834E15"/>
    <w:rsid w:val="3C8618CD"/>
    <w:rsid w:val="3C9A6FC3"/>
    <w:rsid w:val="3C9B3F0D"/>
    <w:rsid w:val="3CAE307C"/>
    <w:rsid w:val="3CB42EE8"/>
    <w:rsid w:val="3CC77C5B"/>
    <w:rsid w:val="3CCF005B"/>
    <w:rsid w:val="3CD43F35"/>
    <w:rsid w:val="3CD45671"/>
    <w:rsid w:val="3CDA245A"/>
    <w:rsid w:val="3CDA396C"/>
    <w:rsid w:val="3CE55188"/>
    <w:rsid w:val="3CEE0A37"/>
    <w:rsid w:val="3CF12399"/>
    <w:rsid w:val="3D0B0176"/>
    <w:rsid w:val="3D0C7570"/>
    <w:rsid w:val="3D2A2E9E"/>
    <w:rsid w:val="3D2C764F"/>
    <w:rsid w:val="3D2E2080"/>
    <w:rsid w:val="3D374762"/>
    <w:rsid w:val="3D42082D"/>
    <w:rsid w:val="3D424758"/>
    <w:rsid w:val="3D621347"/>
    <w:rsid w:val="3D6215E7"/>
    <w:rsid w:val="3D672041"/>
    <w:rsid w:val="3D6A38DF"/>
    <w:rsid w:val="3D766728"/>
    <w:rsid w:val="3D7D6168"/>
    <w:rsid w:val="3D830794"/>
    <w:rsid w:val="3D8A580B"/>
    <w:rsid w:val="3D955EF1"/>
    <w:rsid w:val="3D9646D4"/>
    <w:rsid w:val="3D99065E"/>
    <w:rsid w:val="3DA27781"/>
    <w:rsid w:val="3DA908AC"/>
    <w:rsid w:val="3DB334D8"/>
    <w:rsid w:val="3DBB446A"/>
    <w:rsid w:val="3DBF5D22"/>
    <w:rsid w:val="3DC2371B"/>
    <w:rsid w:val="3DCB0822"/>
    <w:rsid w:val="3DD1395F"/>
    <w:rsid w:val="3DDD2303"/>
    <w:rsid w:val="3DF323C8"/>
    <w:rsid w:val="3E1509D8"/>
    <w:rsid w:val="3E2002F1"/>
    <w:rsid w:val="3E4E3201"/>
    <w:rsid w:val="3E5527E2"/>
    <w:rsid w:val="3E576115"/>
    <w:rsid w:val="3E627067"/>
    <w:rsid w:val="3E94004B"/>
    <w:rsid w:val="3EA12549"/>
    <w:rsid w:val="3EAD58EC"/>
    <w:rsid w:val="3EB069C3"/>
    <w:rsid w:val="3EBD3CCB"/>
    <w:rsid w:val="3EC36147"/>
    <w:rsid w:val="3ED25BE0"/>
    <w:rsid w:val="3EDA5B7D"/>
    <w:rsid w:val="3EDB58AE"/>
    <w:rsid w:val="3EDC6A5F"/>
    <w:rsid w:val="3EF26466"/>
    <w:rsid w:val="3EF618CF"/>
    <w:rsid w:val="3F025137"/>
    <w:rsid w:val="3F0D420A"/>
    <w:rsid w:val="3F1735F3"/>
    <w:rsid w:val="3F2F3033"/>
    <w:rsid w:val="3F30190B"/>
    <w:rsid w:val="3F370BCB"/>
    <w:rsid w:val="3F5648A0"/>
    <w:rsid w:val="3F660E74"/>
    <w:rsid w:val="3F6A7BC7"/>
    <w:rsid w:val="3F8073EA"/>
    <w:rsid w:val="3F892FBC"/>
    <w:rsid w:val="3F9924CC"/>
    <w:rsid w:val="3FA70E1B"/>
    <w:rsid w:val="3FAA090B"/>
    <w:rsid w:val="3FAF6A7A"/>
    <w:rsid w:val="3FB02111"/>
    <w:rsid w:val="3FB86B84"/>
    <w:rsid w:val="3FC4377B"/>
    <w:rsid w:val="3FD140EA"/>
    <w:rsid w:val="3FE2019B"/>
    <w:rsid w:val="3FE43E1D"/>
    <w:rsid w:val="3FE45BCB"/>
    <w:rsid w:val="3FE756BB"/>
    <w:rsid w:val="3FFD4EDF"/>
    <w:rsid w:val="40050660"/>
    <w:rsid w:val="401A783F"/>
    <w:rsid w:val="40223343"/>
    <w:rsid w:val="40224945"/>
    <w:rsid w:val="403311B0"/>
    <w:rsid w:val="403C77B5"/>
    <w:rsid w:val="404E74E8"/>
    <w:rsid w:val="40694322"/>
    <w:rsid w:val="40721A55"/>
    <w:rsid w:val="40730CFD"/>
    <w:rsid w:val="40752CC7"/>
    <w:rsid w:val="407A6407"/>
    <w:rsid w:val="407F36A6"/>
    <w:rsid w:val="407F4BE6"/>
    <w:rsid w:val="409B3F0C"/>
    <w:rsid w:val="40A44114"/>
    <w:rsid w:val="40A619A4"/>
    <w:rsid w:val="40A72962"/>
    <w:rsid w:val="40A92971"/>
    <w:rsid w:val="40AB3370"/>
    <w:rsid w:val="40AF5E65"/>
    <w:rsid w:val="40BA72C4"/>
    <w:rsid w:val="40BC08F6"/>
    <w:rsid w:val="40BD5A4E"/>
    <w:rsid w:val="40C77C97"/>
    <w:rsid w:val="40CB718C"/>
    <w:rsid w:val="40D43E92"/>
    <w:rsid w:val="40E13EB9"/>
    <w:rsid w:val="40E46846"/>
    <w:rsid w:val="4101455B"/>
    <w:rsid w:val="41021214"/>
    <w:rsid w:val="410A45DD"/>
    <w:rsid w:val="41287D39"/>
    <w:rsid w:val="41320BB8"/>
    <w:rsid w:val="4137363C"/>
    <w:rsid w:val="413C3FE6"/>
    <w:rsid w:val="413C5593"/>
    <w:rsid w:val="4142704D"/>
    <w:rsid w:val="4147390C"/>
    <w:rsid w:val="4154383A"/>
    <w:rsid w:val="41782A6F"/>
    <w:rsid w:val="41827323"/>
    <w:rsid w:val="418A09F4"/>
    <w:rsid w:val="41BC57E8"/>
    <w:rsid w:val="41D6508F"/>
    <w:rsid w:val="41F33FC2"/>
    <w:rsid w:val="41F65B4A"/>
    <w:rsid w:val="41FB71FC"/>
    <w:rsid w:val="420C67D1"/>
    <w:rsid w:val="42137699"/>
    <w:rsid w:val="423A3BCC"/>
    <w:rsid w:val="423F358D"/>
    <w:rsid w:val="42621071"/>
    <w:rsid w:val="426C1EA8"/>
    <w:rsid w:val="4271080F"/>
    <w:rsid w:val="42795EA7"/>
    <w:rsid w:val="427B5868"/>
    <w:rsid w:val="427C747D"/>
    <w:rsid w:val="427F3D18"/>
    <w:rsid w:val="42832E2D"/>
    <w:rsid w:val="42891A60"/>
    <w:rsid w:val="428E6874"/>
    <w:rsid w:val="429338D2"/>
    <w:rsid w:val="42935686"/>
    <w:rsid w:val="42A81CA0"/>
    <w:rsid w:val="42AB2039"/>
    <w:rsid w:val="42AD499A"/>
    <w:rsid w:val="42BF022A"/>
    <w:rsid w:val="42C501DA"/>
    <w:rsid w:val="42C5318D"/>
    <w:rsid w:val="42C67B8D"/>
    <w:rsid w:val="42CE616B"/>
    <w:rsid w:val="42E4099C"/>
    <w:rsid w:val="42E45EE2"/>
    <w:rsid w:val="43035923"/>
    <w:rsid w:val="43051503"/>
    <w:rsid w:val="43065E58"/>
    <w:rsid w:val="430F56AE"/>
    <w:rsid w:val="43155968"/>
    <w:rsid w:val="432261CE"/>
    <w:rsid w:val="4329746D"/>
    <w:rsid w:val="433A6FE6"/>
    <w:rsid w:val="43463194"/>
    <w:rsid w:val="43486471"/>
    <w:rsid w:val="4350713C"/>
    <w:rsid w:val="436653E0"/>
    <w:rsid w:val="43764BF9"/>
    <w:rsid w:val="439B4160"/>
    <w:rsid w:val="43AB7A8A"/>
    <w:rsid w:val="43AD7DB2"/>
    <w:rsid w:val="43C02E3F"/>
    <w:rsid w:val="43C867AC"/>
    <w:rsid w:val="43CF0940"/>
    <w:rsid w:val="43D1290A"/>
    <w:rsid w:val="43DD12AF"/>
    <w:rsid w:val="43EA338A"/>
    <w:rsid w:val="43ED3381"/>
    <w:rsid w:val="43FB34E3"/>
    <w:rsid w:val="440A0C04"/>
    <w:rsid w:val="442B0E36"/>
    <w:rsid w:val="443C17FD"/>
    <w:rsid w:val="444924A1"/>
    <w:rsid w:val="44557FB3"/>
    <w:rsid w:val="44627A06"/>
    <w:rsid w:val="44643203"/>
    <w:rsid w:val="446B7CB5"/>
    <w:rsid w:val="44797F00"/>
    <w:rsid w:val="448736FC"/>
    <w:rsid w:val="448F2126"/>
    <w:rsid w:val="448F7150"/>
    <w:rsid w:val="449B0822"/>
    <w:rsid w:val="44AE49FA"/>
    <w:rsid w:val="44B61C2D"/>
    <w:rsid w:val="44C5317E"/>
    <w:rsid w:val="44CD14E0"/>
    <w:rsid w:val="44D75EDF"/>
    <w:rsid w:val="44DC6FB0"/>
    <w:rsid w:val="44DE4C0B"/>
    <w:rsid w:val="44ED54DE"/>
    <w:rsid w:val="44FA6A22"/>
    <w:rsid w:val="44FC65D5"/>
    <w:rsid w:val="45091C30"/>
    <w:rsid w:val="452D3B70"/>
    <w:rsid w:val="452F508E"/>
    <w:rsid w:val="45350C77"/>
    <w:rsid w:val="45383EA0"/>
    <w:rsid w:val="453E552E"/>
    <w:rsid w:val="45482758"/>
    <w:rsid w:val="455D5537"/>
    <w:rsid w:val="456362F5"/>
    <w:rsid w:val="4570065B"/>
    <w:rsid w:val="458012DF"/>
    <w:rsid w:val="4588225B"/>
    <w:rsid w:val="458946E9"/>
    <w:rsid w:val="458D460F"/>
    <w:rsid w:val="459D4D36"/>
    <w:rsid w:val="45A02594"/>
    <w:rsid w:val="45A71B75"/>
    <w:rsid w:val="45B04295"/>
    <w:rsid w:val="45B872F1"/>
    <w:rsid w:val="45D478E4"/>
    <w:rsid w:val="45D54C12"/>
    <w:rsid w:val="45DE4E6B"/>
    <w:rsid w:val="45E306D3"/>
    <w:rsid w:val="45F72487"/>
    <w:rsid w:val="45F91CA4"/>
    <w:rsid w:val="45FC0CDF"/>
    <w:rsid w:val="46080139"/>
    <w:rsid w:val="461D0803"/>
    <w:rsid w:val="46220F1F"/>
    <w:rsid w:val="4662410F"/>
    <w:rsid w:val="46647A66"/>
    <w:rsid w:val="46775A0F"/>
    <w:rsid w:val="467D4684"/>
    <w:rsid w:val="46921389"/>
    <w:rsid w:val="46B67076"/>
    <w:rsid w:val="46B75F04"/>
    <w:rsid w:val="46BA58D8"/>
    <w:rsid w:val="46BF4C9C"/>
    <w:rsid w:val="46D7435A"/>
    <w:rsid w:val="46D955A7"/>
    <w:rsid w:val="46DD43F0"/>
    <w:rsid w:val="46E40E87"/>
    <w:rsid w:val="46E4358A"/>
    <w:rsid w:val="46F56910"/>
    <w:rsid w:val="46F81F5C"/>
    <w:rsid w:val="470E1780"/>
    <w:rsid w:val="4712105C"/>
    <w:rsid w:val="47133957"/>
    <w:rsid w:val="4717258D"/>
    <w:rsid w:val="471E7C15"/>
    <w:rsid w:val="47246A79"/>
    <w:rsid w:val="47314D4D"/>
    <w:rsid w:val="4734240D"/>
    <w:rsid w:val="474F5CEF"/>
    <w:rsid w:val="4779329E"/>
    <w:rsid w:val="478F4065"/>
    <w:rsid w:val="47A07E0C"/>
    <w:rsid w:val="47A4791A"/>
    <w:rsid w:val="47AD71EA"/>
    <w:rsid w:val="47B0504B"/>
    <w:rsid w:val="47B10A89"/>
    <w:rsid w:val="47B16CDB"/>
    <w:rsid w:val="47D26C51"/>
    <w:rsid w:val="47DB78B4"/>
    <w:rsid w:val="47E756FB"/>
    <w:rsid w:val="47EA17B7"/>
    <w:rsid w:val="47F31538"/>
    <w:rsid w:val="47F60B91"/>
    <w:rsid w:val="47FA4C87"/>
    <w:rsid w:val="4817543D"/>
    <w:rsid w:val="48382F58"/>
    <w:rsid w:val="4838675C"/>
    <w:rsid w:val="483919CC"/>
    <w:rsid w:val="4847590E"/>
    <w:rsid w:val="48561630"/>
    <w:rsid w:val="486A50DB"/>
    <w:rsid w:val="486C4563"/>
    <w:rsid w:val="486F6565"/>
    <w:rsid w:val="4870272E"/>
    <w:rsid w:val="48763314"/>
    <w:rsid w:val="487B2E45"/>
    <w:rsid w:val="48965ED0"/>
    <w:rsid w:val="48A03392"/>
    <w:rsid w:val="48A4075F"/>
    <w:rsid w:val="48AC71BA"/>
    <w:rsid w:val="48AE740B"/>
    <w:rsid w:val="48B87BF5"/>
    <w:rsid w:val="48BF5427"/>
    <w:rsid w:val="48C9414A"/>
    <w:rsid w:val="48D43A0A"/>
    <w:rsid w:val="48DB1EBA"/>
    <w:rsid w:val="48E67908"/>
    <w:rsid w:val="48EE094E"/>
    <w:rsid w:val="48FD385A"/>
    <w:rsid w:val="48FF50DD"/>
    <w:rsid w:val="490F7AD2"/>
    <w:rsid w:val="49151BA7"/>
    <w:rsid w:val="491A0FE8"/>
    <w:rsid w:val="492928A1"/>
    <w:rsid w:val="492E2815"/>
    <w:rsid w:val="4932269D"/>
    <w:rsid w:val="495A5150"/>
    <w:rsid w:val="496916B2"/>
    <w:rsid w:val="499E503D"/>
    <w:rsid w:val="49B46D87"/>
    <w:rsid w:val="49BB1CB5"/>
    <w:rsid w:val="49C43AD2"/>
    <w:rsid w:val="49D76DB1"/>
    <w:rsid w:val="49DC7715"/>
    <w:rsid w:val="49DE23C0"/>
    <w:rsid w:val="49E014BA"/>
    <w:rsid w:val="49E04914"/>
    <w:rsid w:val="49FC1D3A"/>
    <w:rsid w:val="4A023139"/>
    <w:rsid w:val="4A0550BC"/>
    <w:rsid w:val="4A0F158E"/>
    <w:rsid w:val="4A143551"/>
    <w:rsid w:val="4A1A60FD"/>
    <w:rsid w:val="4A204788"/>
    <w:rsid w:val="4A314103"/>
    <w:rsid w:val="4A365275"/>
    <w:rsid w:val="4A4831FA"/>
    <w:rsid w:val="4A567A71"/>
    <w:rsid w:val="4A5B2F2E"/>
    <w:rsid w:val="4A61619B"/>
    <w:rsid w:val="4A6C6EE9"/>
    <w:rsid w:val="4A7B576F"/>
    <w:rsid w:val="4A82495E"/>
    <w:rsid w:val="4A845FDD"/>
    <w:rsid w:val="4A8536D2"/>
    <w:rsid w:val="4A8D0DD3"/>
    <w:rsid w:val="4A8E3303"/>
    <w:rsid w:val="4A930919"/>
    <w:rsid w:val="4A993A56"/>
    <w:rsid w:val="4AC9433B"/>
    <w:rsid w:val="4AD03969"/>
    <w:rsid w:val="4AD403F5"/>
    <w:rsid w:val="4AE41175"/>
    <w:rsid w:val="4AFF1B0B"/>
    <w:rsid w:val="4B0C247A"/>
    <w:rsid w:val="4B251FA5"/>
    <w:rsid w:val="4B30404A"/>
    <w:rsid w:val="4B323C18"/>
    <w:rsid w:val="4B335C59"/>
    <w:rsid w:val="4B377B13"/>
    <w:rsid w:val="4B3F63AB"/>
    <w:rsid w:val="4B412124"/>
    <w:rsid w:val="4B414BEA"/>
    <w:rsid w:val="4B490FD8"/>
    <w:rsid w:val="4B5300A9"/>
    <w:rsid w:val="4B5C52CD"/>
    <w:rsid w:val="4B621C44"/>
    <w:rsid w:val="4B746DBF"/>
    <w:rsid w:val="4B9618A6"/>
    <w:rsid w:val="4B9A66C0"/>
    <w:rsid w:val="4BA81148"/>
    <w:rsid w:val="4BB41D73"/>
    <w:rsid w:val="4BD20FCE"/>
    <w:rsid w:val="4BEA27BB"/>
    <w:rsid w:val="4C4A0649"/>
    <w:rsid w:val="4C5365DE"/>
    <w:rsid w:val="4C5B45B9"/>
    <w:rsid w:val="4C660909"/>
    <w:rsid w:val="4C673E0C"/>
    <w:rsid w:val="4C806C7C"/>
    <w:rsid w:val="4C9F3127"/>
    <w:rsid w:val="4CA31598"/>
    <w:rsid w:val="4CA61360"/>
    <w:rsid w:val="4CA92A3D"/>
    <w:rsid w:val="4CAA3CF8"/>
    <w:rsid w:val="4CAF57B3"/>
    <w:rsid w:val="4CB3778E"/>
    <w:rsid w:val="4CC132CB"/>
    <w:rsid w:val="4CC90623"/>
    <w:rsid w:val="4CDE2382"/>
    <w:rsid w:val="4CE470D3"/>
    <w:rsid w:val="4CE8031A"/>
    <w:rsid w:val="4D0553D3"/>
    <w:rsid w:val="4D0F5105"/>
    <w:rsid w:val="4D1879C1"/>
    <w:rsid w:val="4D1D3D65"/>
    <w:rsid w:val="4D24438D"/>
    <w:rsid w:val="4D4723CF"/>
    <w:rsid w:val="4D504FAC"/>
    <w:rsid w:val="4D5A571F"/>
    <w:rsid w:val="4D5F2D35"/>
    <w:rsid w:val="4D602609"/>
    <w:rsid w:val="4D697710"/>
    <w:rsid w:val="4D706CF0"/>
    <w:rsid w:val="4D76426D"/>
    <w:rsid w:val="4D9C7AE5"/>
    <w:rsid w:val="4D9E12A3"/>
    <w:rsid w:val="4D9F055C"/>
    <w:rsid w:val="4DA1334D"/>
    <w:rsid w:val="4DAE5A6A"/>
    <w:rsid w:val="4DCB6F06"/>
    <w:rsid w:val="4DD92F6D"/>
    <w:rsid w:val="4DEC4FB0"/>
    <w:rsid w:val="4E0039F5"/>
    <w:rsid w:val="4E075D8A"/>
    <w:rsid w:val="4E0B4C6B"/>
    <w:rsid w:val="4E110281"/>
    <w:rsid w:val="4E1F4272"/>
    <w:rsid w:val="4E213D88"/>
    <w:rsid w:val="4E374A3F"/>
    <w:rsid w:val="4E4E414A"/>
    <w:rsid w:val="4E65467D"/>
    <w:rsid w:val="4E6574E2"/>
    <w:rsid w:val="4E802B2D"/>
    <w:rsid w:val="4EAD5D22"/>
    <w:rsid w:val="4EB038C3"/>
    <w:rsid w:val="4EBE2ACF"/>
    <w:rsid w:val="4EBE3A8B"/>
    <w:rsid w:val="4EC254B1"/>
    <w:rsid w:val="4EC42815"/>
    <w:rsid w:val="4EC72F54"/>
    <w:rsid w:val="4EC81323"/>
    <w:rsid w:val="4ECF6F50"/>
    <w:rsid w:val="4ED80FF1"/>
    <w:rsid w:val="4ED85F42"/>
    <w:rsid w:val="4EE03A01"/>
    <w:rsid w:val="4EF37BD9"/>
    <w:rsid w:val="4F032D50"/>
    <w:rsid w:val="4F0516BA"/>
    <w:rsid w:val="4F067A8F"/>
    <w:rsid w:val="4F0B065C"/>
    <w:rsid w:val="4F204746"/>
    <w:rsid w:val="4F2736A2"/>
    <w:rsid w:val="4F3B50DC"/>
    <w:rsid w:val="4F460A77"/>
    <w:rsid w:val="4F495A4B"/>
    <w:rsid w:val="4F4B79F8"/>
    <w:rsid w:val="4F5F526E"/>
    <w:rsid w:val="4F677E15"/>
    <w:rsid w:val="4F7725B8"/>
    <w:rsid w:val="4F8053FC"/>
    <w:rsid w:val="4F885D2B"/>
    <w:rsid w:val="4F904A1A"/>
    <w:rsid w:val="4F9A6216"/>
    <w:rsid w:val="4F9B5B7A"/>
    <w:rsid w:val="4FA27E5C"/>
    <w:rsid w:val="4FAC695F"/>
    <w:rsid w:val="4FAE58AE"/>
    <w:rsid w:val="4FBC621D"/>
    <w:rsid w:val="4FC151B1"/>
    <w:rsid w:val="4FC275AB"/>
    <w:rsid w:val="4FC62A8C"/>
    <w:rsid w:val="4FD13549"/>
    <w:rsid w:val="4FD712A8"/>
    <w:rsid w:val="4FDA1E85"/>
    <w:rsid w:val="4FE20F0D"/>
    <w:rsid w:val="4FE623E8"/>
    <w:rsid w:val="4FF10AAF"/>
    <w:rsid w:val="4FF9121F"/>
    <w:rsid w:val="4FFE59CD"/>
    <w:rsid w:val="50037BD1"/>
    <w:rsid w:val="5019541D"/>
    <w:rsid w:val="502E69EF"/>
    <w:rsid w:val="50330BC6"/>
    <w:rsid w:val="503A5393"/>
    <w:rsid w:val="504023D9"/>
    <w:rsid w:val="50504C4B"/>
    <w:rsid w:val="50555492"/>
    <w:rsid w:val="50601B7A"/>
    <w:rsid w:val="50744992"/>
    <w:rsid w:val="50845E48"/>
    <w:rsid w:val="508C2093"/>
    <w:rsid w:val="50903205"/>
    <w:rsid w:val="509C6E7C"/>
    <w:rsid w:val="50A349B5"/>
    <w:rsid w:val="50B82E88"/>
    <w:rsid w:val="50BF6BDE"/>
    <w:rsid w:val="50C730CB"/>
    <w:rsid w:val="50DC591D"/>
    <w:rsid w:val="50DD1804"/>
    <w:rsid w:val="50E00F7F"/>
    <w:rsid w:val="50F679C1"/>
    <w:rsid w:val="51071986"/>
    <w:rsid w:val="510A745C"/>
    <w:rsid w:val="511D718F"/>
    <w:rsid w:val="513069E6"/>
    <w:rsid w:val="514566E6"/>
    <w:rsid w:val="51542485"/>
    <w:rsid w:val="51586F4E"/>
    <w:rsid w:val="515C538B"/>
    <w:rsid w:val="5162104E"/>
    <w:rsid w:val="51654692"/>
    <w:rsid w:val="517843C5"/>
    <w:rsid w:val="517C45F8"/>
    <w:rsid w:val="518D64DB"/>
    <w:rsid w:val="51944027"/>
    <w:rsid w:val="51954A02"/>
    <w:rsid w:val="51A26DCD"/>
    <w:rsid w:val="51AF590D"/>
    <w:rsid w:val="51B757D0"/>
    <w:rsid w:val="51C25640"/>
    <w:rsid w:val="51E333FD"/>
    <w:rsid w:val="51E63A25"/>
    <w:rsid w:val="51F24178"/>
    <w:rsid w:val="51F61CE0"/>
    <w:rsid w:val="522E0F28"/>
    <w:rsid w:val="523C53F3"/>
    <w:rsid w:val="523E70FE"/>
    <w:rsid w:val="5245699D"/>
    <w:rsid w:val="524751DF"/>
    <w:rsid w:val="52522E68"/>
    <w:rsid w:val="52576539"/>
    <w:rsid w:val="525A6314"/>
    <w:rsid w:val="526037D7"/>
    <w:rsid w:val="526430F9"/>
    <w:rsid w:val="5268268C"/>
    <w:rsid w:val="52783526"/>
    <w:rsid w:val="527A5F1B"/>
    <w:rsid w:val="527E13D3"/>
    <w:rsid w:val="52834F24"/>
    <w:rsid w:val="52885CA8"/>
    <w:rsid w:val="528F5286"/>
    <w:rsid w:val="52903990"/>
    <w:rsid w:val="529214B7"/>
    <w:rsid w:val="5293624F"/>
    <w:rsid w:val="52992845"/>
    <w:rsid w:val="529C265F"/>
    <w:rsid w:val="52A47B79"/>
    <w:rsid w:val="52C250C7"/>
    <w:rsid w:val="52C673C7"/>
    <w:rsid w:val="52E10F88"/>
    <w:rsid w:val="52E33AC0"/>
    <w:rsid w:val="52E379E2"/>
    <w:rsid w:val="52EC6E19"/>
    <w:rsid w:val="53081779"/>
    <w:rsid w:val="530A57CE"/>
    <w:rsid w:val="531445C2"/>
    <w:rsid w:val="53184E30"/>
    <w:rsid w:val="532F27EE"/>
    <w:rsid w:val="533B1B4E"/>
    <w:rsid w:val="53402FC3"/>
    <w:rsid w:val="53486019"/>
    <w:rsid w:val="537F56AD"/>
    <w:rsid w:val="538452A3"/>
    <w:rsid w:val="53A039CC"/>
    <w:rsid w:val="53A1505A"/>
    <w:rsid w:val="53A63921"/>
    <w:rsid w:val="53AA2830"/>
    <w:rsid w:val="53B626A7"/>
    <w:rsid w:val="53BA4E02"/>
    <w:rsid w:val="53CE4770"/>
    <w:rsid w:val="53D2506A"/>
    <w:rsid w:val="53DF552A"/>
    <w:rsid w:val="53EB35B5"/>
    <w:rsid w:val="53F8359B"/>
    <w:rsid w:val="54063E08"/>
    <w:rsid w:val="54244390"/>
    <w:rsid w:val="54254A6D"/>
    <w:rsid w:val="542F72A2"/>
    <w:rsid w:val="543437E8"/>
    <w:rsid w:val="54382594"/>
    <w:rsid w:val="54484523"/>
    <w:rsid w:val="545B6043"/>
    <w:rsid w:val="545D0467"/>
    <w:rsid w:val="546E44B5"/>
    <w:rsid w:val="54705100"/>
    <w:rsid w:val="54816D63"/>
    <w:rsid w:val="549D01C5"/>
    <w:rsid w:val="54A0435F"/>
    <w:rsid w:val="54A11E85"/>
    <w:rsid w:val="54B51E36"/>
    <w:rsid w:val="54B576DE"/>
    <w:rsid w:val="54CC6D14"/>
    <w:rsid w:val="54E168AB"/>
    <w:rsid w:val="54E862B0"/>
    <w:rsid w:val="54F00716"/>
    <w:rsid w:val="550B72FE"/>
    <w:rsid w:val="551B1C37"/>
    <w:rsid w:val="552705DC"/>
    <w:rsid w:val="55272665"/>
    <w:rsid w:val="552A59D6"/>
    <w:rsid w:val="552E03B1"/>
    <w:rsid w:val="552E2619"/>
    <w:rsid w:val="5537030C"/>
    <w:rsid w:val="553B4087"/>
    <w:rsid w:val="55432F3C"/>
    <w:rsid w:val="554A7E27"/>
    <w:rsid w:val="55515248"/>
    <w:rsid w:val="55620D75"/>
    <w:rsid w:val="55782BE6"/>
    <w:rsid w:val="5579070C"/>
    <w:rsid w:val="558D1E6B"/>
    <w:rsid w:val="55904B7D"/>
    <w:rsid w:val="559B174B"/>
    <w:rsid w:val="55A002E1"/>
    <w:rsid w:val="55C21289"/>
    <w:rsid w:val="55CB1B59"/>
    <w:rsid w:val="55CE0CF4"/>
    <w:rsid w:val="55E42029"/>
    <w:rsid w:val="55FB2647"/>
    <w:rsid w:val="55FF7FE5"/>
    <w:rsid w:val="56175C35"/>
    <w:rsid w:val="561A1EEF"/>
    <w:rsid w:val="561C4BD2"/>
    <w:rsid w:val="5640122A"/>
    <w:rsid w:val="564362A7"/>
    <w:rsid w:val="564615AB"/>
    <w:rsid w:val="565023B2"/>
    <w:rsid w:val="56503C3D"/>
    <w:rsid w:val="565847C5"/>
    <w:rsid w:val="565F7902"/>
    <w:rsid w:val="56673BDC"/>
    <w:rsid w:val="567012F9"/>
    <w:rsid w:val="56783445"/>
    <w:rsid w:val="567C6706"/>
    <w:rsid w:val="567D7990"/>
    <w:rsid w:val="56877819"/>
    <w:rsid w:val="56900255"/>
    <w:rsid w:val="56905D0D"/>
    <w:rsid w:val="56A812AE"/>
    <w:rsid w:val="56AE2637"/>
    <w:rsid w:val="56B22A9C"/>
    <w:rsid w:val="56B31286"/>
    <w:rsid w:val="56B80FD4"/>
    <w:rsid w:val="56C40DB5"/>
    <w:rsid w:val="56C63E25"/>
    <w:rsid w:val="56D24578"/>
    <w:rsid w:val="56D402F0"/>
    <w:rsid w:val="56F60F76"/>
    <w:rsid w:val="56FC53E6"/>
    <w:rsid w:val="56FE27B8"/>
    <w:rsid w:val="56FE536D"/>
    <w:rsid w:val="570566FB"/>
    <w:rsid w:val="571050A0"/>
    <w:rsid w:val="57117823"/>
    <w:rsid w:val="57231423"/>
    <w:rsid w:val="572D203D"/>
    <w:rsid w:val="573945F7"/>
    <w:rsid w:val="573C40E7"/>
    <w:rsid w:val="574014E1"/>
    <w:rsid w:val="574B60D8"/>
    <w:rsid w:val="57554D6E"/>
    <w:rsid w:val="575651A9"/>
    <w:rsid w:val="57706A31"/>
    <w:rsid w:val="57772E5A"/>
    <w:rsid w:val="57821C5F"/>
    <w:rsid w:val="578735B4"/>
    <w:rsid w:val="57882E88"/>
    <w:rsid w:val="578C11A5"/>
    <w:rsid w:val="579139FB"/>
    <w:rsid w:val="57995095"/>
    <w:rsid w:val="579C55B7"/>
    <w:rsid w:val="579E26AC"/>
    <w:rsid w:val="57A47B2A"/>
    <w:rsid w:val="57B05201"/>
    <w:rsid w:val="57B72A76"/>
    <w:rsid w:val="57E2085B"/>
    <w:rsid w:val="57E502DB"/>
    <w:rsid w:val="58005114"/>
    <w:rsid w:val="58093FC9"/>
    <w:rsid w:val="581A4428"/>
    <w:rsid w:val="581A61D6"/>
    <w:rsid w:val="5825174F"/>
    <w:rsid w:val="58294241"/>
    <w:rsid w:val="582B03E3"/>
    <w:rsid w:val="583077A8"/>
    <w:rsid w:val="583A27BA"/>
    <w:rsid w:val="58403763"/>
    <w:rsid w:val="584E1FBB"/>
    <w:rsid w:val="584E5E80"/>
    <w:rsid w:val="58627B7D"/>
    <w:rsid w:val="586C7E58"/>
    <w:rsid w:val="587358E6"/>
    <w:rsid w:val="588B2C30"/>
    <w:rsid w:val="58A67C1C"/>
    <w:rsid w:val="58B90639"/>
    <w:rsid w:val="58D11441"/>
    <w:rsid w:val="58D81BED"/>
    <w:rsid w:val="58DF1EA0"/>
    <w:rsid w:val="58EE31BF"/>
    <w:rsid w:val="59083F15"/>
    <w:rsid w:val="590A39FA"/>
    <w:rsid w:val="59161258"/>
    <w:rsid w:val="591C0B87"/>
    <w:rsid w:val="591C553F"/>
    <w:rsid w:val="59232E69"/>
    <w:rsid w:val="59330A45"/>
    <w:rsid w:val="59352B56"/>
    <w:rsid w:val="593779A6"/>
    <w:rsid w:val="59411541"/>
    <w:rsid w:val="59486D73"/>
    <w:rsid w:val="595B4CF8"/>
    <w:rsid w:val="595D68B2"/>
    <w:rsid w:val="59600F4B"/>
    <w:rsid w:val="597162CA"/>
    <w:rsid w:val="59886A06"/>
    <w:rsid w:val="598C197E"/>
    <w:rsid w:val="59974DE6"/>
    <w:rsid w:val="59A0270B"/>
    <w:rsid w:val="59A02B41"/>
    <w:rsid w:val="59C2148F"/>
    <w:rsid w:val="59C54C85"/>
    <w:rsid w:val="59D10B16"/>
    <w:rsid w:val="59FD7B5D"/>
    <w:rsid w:val="59FE56A9"/>
    <w:rsid w:val="5A0E58C7"/>
    <w:rsid w:val="5A1A2213"/>
    <w:rsid w:val="5A1C45BD"/>
    <w:rsid w:val="5A2748B5"/>
    <w:rsid w:val="5A2A0227"/>
    <w:rsid w:val="5A3C747D"/>
    <w:rsid w:val="5A623D90"/>
    <w:rsid w:val="5A6E704A"/>
    <w:rsid w:val="5A783688"/>
    <w:rsid w:val="5A7B0A82"/>
    <w:rsid w:val="5A902780"/>
    <w:rsid w:val="5A9C7376"/>
    <w:rsid w:val="5ABA15AB"/>
    <w:rsid w:val="5ABD553F"/>
    <w:rsid w:val="5ABE2233"/>
    <w:rsid w:val="5AC727D6"/>
    <w:rsid w:val="5ADA1E9C"/>
    <w:rsid w:val="5AEF0919"/>
    <w:rsid w:val="5AFA6F68"/>
    <w:rsid w:val="5AFB7D2F"/>
    <w:rsid w:val="5B044F1C"/>
    <w:rsid w:val="5B070568"/>
    <w:rsid w:val="5B106EAE"/>
    <w:rsid w:val="5B120263"/>
    <w:rsid w:val="5B276D18"/>
    <w:rsid w:val="5B28056C"/>
    <w:rsid w:val="5B56343D"/>
    <w:rsid w:val="5B590DC3"/>
    <w:rsid w:val="5B593BA8"/>
    <w:rsid w:val="5B8F0C89"/>
    <w:rsid w:val="5B922527"/>
    <w:rsid w:val="5B9E71EA"/>
    <w:rsid w:val="5BB406F0"/>
    <w:rsid w:val="5BB5460B"/>
    <w:rsid w:val="5BBB382C"/>
    <w:rsid w:val="5BC85F49"/>
    <w:rsid w:val="5BCD20F1"/>
    <w:rsid w:val="5BD70683"/>
    <w:rsid w:val="5BDE576D"/>
    <w:rsid w:val="5BDF5D95"/>
    <w:rsid w:val="5BE93687"/>
    <w:rsid w:val="5C0A47B4"/>
    <w:rsid w:val="5C0C22DA"/>
    <w:rsid w:val="5C0C4088"/>
    <w:rsid w:val="5C1E2E18"/>
    <w:rsid w:val="5C2E163D"/>
    <w:rsid w:val="5C2F421A"/>
    <w:rsid w:val="5C310F4A"/>
    <w:rsid w:val="5C5767C2"/>
    <w:rsid w:val="5C687049"/>
    <w:rsid w:val="5C732359"/>
    <w:rsid w:val="5C761A3E"/>
    <w:rsid w:val="5C7F75E3"/>
    <w:rsid w:val="5C9347A9"/>
    <w:rsid w:val="5C9D1184"/>
    <w:rsid w:val="5C9F4EFC"/>
    <w:rsid w:val="5CA802DB"/>
    <w:rsid w:val="5CB14C2F"/>
    <w:rsid w:val="5CB90DC1"/>
    <w:rsid w:val="5CBF734C"/>
    <w:rsid w:val="5CD50CB1"/>
    <w:rsid w:val="5CEA1173"/>
    <w:rsid w:val="5D1276EC"/>
    <w:rsid w:val="5D1450ED"/>
    <w:rsid w:val="5D1458EA"/>
    <w:rsid w:val="5D246832"/>
    <w:rsid w:val="5D2670AC"/>
    <w:rsid w:val="5D2C42B6"/>
    <w:rsid w:val="5D380EAD"/>
    <w:rsid w:val="5D521F6E"/>
    <w:rsid w:val="5D55380D"/>
    <w:rsid w:val="5D5A2E78"/>
    <w:rsid w:val="5D665A1A"/>
    <w:rsid w:val="5D667DE3"/>
    <w:rsid w:val="5D6C282E"/>
    <w:rsid w:val="5D6E4CAC"/>
    <w:rsid w:val="5D752101"/>
    <w:rsid w:val="5D821D20"/>
    <w:rsid w:val="5DA54E78"/>
    <w:rsid w:val="5DA550B9"/>
    <w:rsid w:val="5DB449D7"/>
    <w:rsid w:val="5DB54E6D"/>
    <w:rsid w:val="5DB744C7"/>
    <w:rsid w:val="5DBF4F47"/>
    <w:rsid w:val="5DCB3ACF"/>
    <w:rsid w:val="5DD85D7E"/>
    <w:rsid w:val="5DDE6F83"/>
    <w:rsid w:val="5DE60909"/>
    <w:rsid w:val="5DF87A0F"/>
    <w:rsid w:val="5DFC3DAE"/>
    <w:rsid w:val="5DFE3EA4"/>
    <w:rsid w:val="5E022F04"/>
    <w:rsid w:val="5E080A84"/>
    <w:rsid w:val="5E14592A"/>
    <w:rsid w:val="5E1B2CA8"/>
    <w:rsid w:val="5E2D4789"/>
    <w:rsid w:val="5E364A4E"/>
    <w:rsid w:val="5E40706E"/>
    <w:rsid w:val="5E453881"/>
    <w:rsid w:val="5E587A58"/>
    <w:rsid w:val="5E705F80"/>
    <w:rsid w:val="5E7E508A"/>
    <w:rsid w:val="5E827618"/>
    <w:rsid w:val="5EA0107D"/>
    <w:rsid w:val="5EA52572"/>
    <w:rsid w:val="5EB033F0"/>
    <w:rsid w:val="5EB153BA"/>
    <w:rsid w:val="5EBA7C8A"/>
    <w:rsid w:val="5EC155FD"/>
    <w:rsid w:val="5EC37AEA"/>
    <w:rsid w:val="5EC836C0"/>
    <w:rsid w:val="5ED03A93"/>
    <w:rsid w:val="5EEC3359"/>
    <w:rsid w:val="5EF32E58"/>
    <w:rsid w:val="5F0C25F1"/>
    <w:rsid w:val="5F104D39"/>
    <w:rsid w:val="5F1A2B43"/>
    <w:rsid w:val="5F3F4774"/>
    <w:rsid w:val="5F412CC2"/>
    <w:rsid w:val="5F5A0513"/>
    <w:rsid w:val="5F70492E"/>
    <w:rsid w:val="5F7408C2"/>
    <w:rsid w:val="5F847960"/>
    <w:rsid w:val="5F8F74AA"/>
    <w:rsid w:val="5F9745B0"/>
    <w:rsid w:val="5F9A19AB"/>
    <w:rsid w:val="5FB837BB"/>
    <w:rsid w:val="5FBA204D"/>
    <w:rsid w:val="5FC657DD"/>
    <w:rsid w:val="5FCD57DA"/>
    <w:rsid w:val="5FDB26EF"/>
    <w:rsid w:val="5FDD698C"/>
    <w:rsid w:val="5FDF40EC"/>
    <w:rsid w:val="5FEA0B84"/>
    <w:rsid w:val="5FEB1832"/>
    <w:rsid w:val="5FFC400C"/>
    <w:rsid w:val="60006B5B"/>
    <w:rsid w:val="600216C7"/>
    <w:rsid w:val="600B4656"/>
    <w:rsid w:val="60213E7A"/>
    <w:rsid w:val="604B6664"/>
    <w:rsid w:val="60536011"/>
    <w:rsid w:val="605A37BF"/>
    <w:rsid w:val="60651565"/>
    <w:rsid w:val="606732F2"/>
    <w:rsid w:val="60815C04"/>
    <w:rsid w:val="608A5EC3"/>
    <w:rsid w:val="608C09CC"/>
    <w:rsid w:val="608C1557"/>
    <w:rsid w:val="60910B83"/>
    <w:rsid w:val="609E54CA"/>
    <w:rsid w:val="609F3CBA"/>
    <w:rsid w:val="60A2287F"/>
    <w:rsid w:val="60A54AAB"/>
    <w:rsid w:val="60AA14A4"/>
    <w:rsid w:val="60AB7FC1"/>
    <w:rsid w:val="60AE1BB1"/>
    <w:rsid w:val="60B44CEE"/>
    <w:rsid w:val="60B62E5B"/>
    <w:rsid w:val="60C340AF"/>
    <w:rsid w:val="60C4005A"/>
    <w:rsid w:val="60D62EB6"/>
    <w:rsid w:val="60D86C2E"/>
    <w:rsid w:val="60DD4DD7"/>
    <w:rsid w:val="60F11E42"/>
    <w:rsid w:val="61083A1C"/>
    <w:rsid w:val="611539DF"/>
    <w:rsid w:val="611834CF"/>
    <w:rsid w:val="61397AE4"/>
    <w:rsid w:val="613A315C"/>
    <w:rsid w:val="6142054C"/>
    <w:rsid w:val="614222FA"/>
    <w:rsid w:val="61720E31"/>
    <w:rsid w:val="61AF1358"/>
    <w:rsid w:val="61B606DC"/>
    <w:rsid w:val="61B65F29"/>
    <w:rsid w:val="61C47E4F"/>
    <w:rsid w:val="621F079F"/>
    <w:rsid w:val="62206ADF"/>
    <w:rsid w:val="62314848"/>
    <w:rsid w:val="62316D43"/>
    <w:rsid w:val="62364782"/>
    <w:rsid w:val="6239194F"/>
    <w:rsid w:val="6243675A"/>
    <w:rsid w:val="624A76B8"/>
    <w:rsid w:val="624F1172"/>
    <w:rsid w:val="62522BF9"/>
    <w:rsid w:val="6267026A"/>
    <w:rsid w:val="626A7FAB"/>
    <w:rsid w:val="627209BD"/>
    <w:rsid w:val="62740BD9"/>
    <w:rsid w:val="627D7A8D"/>
    <w:rsid w:val="628D1AC8"/>
    <w:rsid w:val="628E28E5"/>
    <w:rsid w:val="62943029"/>
    <w:rsid w:val="629F4BEA"/>
    <w:rsid w:val="62A63868"/>
    <w:rsid w:val="62B40FD5"/>
    <w:rsid w:val="62C95A86"/>
    <w:rsid w:val="62CE1A5B"/>
    <w:rsid w:val="62D859E9"/>
    <w:rsid w:val="62D977A4"/>
    <w:rsid w:val="62DA0B23"/>
    <w:rsid w:val="62DE6052"/>
    <w:rsid w:val="62FB2B62"/>
    <w:rsid w:val="62FD57CB"/>
    <w:rsid w:val="6320666B"/>
    <w:rsid w:val="63280FF6"/>
    <w:rsid w:val="632A721A"/>
    <w:rsid w:val="63351E60"/>
    <w:rsid w:val="63385F40"/>
    <w:rsid w:val="63470D50"/>
    <w:rsid w:val="63512CC8"/>
    <w:rsid w:val="63591459"/>
    <w:rsid w:val="635C3B47"/>
    <w:rsid w:val="6361115D"/>
    <w:rsid w:val="63670A14"/>
    <w:rsid w:val="63732C3E"/>
    <w:rsid w:val="63833090"/>
    <w:rsid w:val="6384309D"/>
    <w:rsid w:val="638C0197"/>
    <w:rsid w:val="63A4104A"/>
    <w:rsid w:val="63A63014"/>
    <w:rsid w:val="63BE65AF"/>
    <w:rsid w:val="63C17E4E"/>
    <w:rsid w:val="63C82AC9"/>
    <w:rsid w:val="63CC7BB4"/>
    <w:rsid w:val="63CD67F3"/>
    <w:rsid w:val="63D27965"/>
    <w:rsid w:val="63D40BE9"/>
    <w:rsid w:val="63E0211F"/>
    <w:rsid w:val="63F07540"/>
    <w:rsid w:val="63FB599C"/>
    <w:rsid w:val="63FE4C1B"/>
    <w:rsid w:val="64061E4B"/>
    <w:rsid w:val="64151F2C"/>
    <w:rsid w:val="641806A8"/>
    <w:rsid w:val="641A55BD"/>
    <w:rsid w:val="64204BDA"/>
    <w:rsid w:val="64274B71"/>
    <w:rsid w:val="642755DA"/>
    <w:rsid w:val="64410F8F"/>
    <w:rsid w:val="64485E79"/>
    <w:rsid w:val="645D4678"/>
    <w:rsid w:val="646B4008"/>
    <w:rsid w:val="64713DD8"/>
    <w:rsid w:val="647B2DF6"/>
    <w:rsid w:val="64846EDD"/>
    <w:rsid w:val="64917820"/>
    <w:rsid w:val="649317EA"/>
    <w:rsid w:val="649875C9"/>
    <w:rsid w:val="649D70AF"/>
    <w:rsid w:val="64A75ABD"/>
    <w:rsid w:val="64A82DBC"/>
    <w:rsid w:val="64A96E72"/>
    <w:rsid w:val="64B930D1"/>
    <w:rsid w:val="64C179D9"/>
    <w:rsid w:val="64E741F2"/>
    <w:rsid w:val="64E75692"/>
    <w:rsid w:val="64ED7F67"/>
    <w:rsid w:val="64EE06F3"/>
    <w:rsid w:val="64EF2799"/>
    <w:rsid w:val="65000ECC"/>
    <w:rsid w:val="650A63BE"/>
    <w:rsid w:val="650A75D2"/>
    <w:rsid w:val="652777D6"/>
    <w:rsid w:val="65373578"/>
    <w:rsid w:val="654970E0"/>
    <w:rsid w:val="654A79CF"/>
    <w:rsid w:val="657F3B1C"/>
    <w:rsid w:val="65847385"/>
    <w:rsid w:val="658C5F92"/>
    <w:rsid w:val="65AA1556"/>
    <w:rsid w:val="65C11375"/>
    <w:rsid w:val="65EA4144"/>
    <w:rsid w:val="65EC64C3"/>
    <w:rsid w:val="660E6C4E"/>
    <w:rsid w:val="661324B7"/>
    <w:rsid w:val="66187ACD"/>
    <w:rsid w:val="661B7C6A"/>
    <w:rsid w:val="661C6B52"/>
    <w:rsid w:val="661D46E2"/>
    <w:rsid w:val="66256DBE"/>
    <w:rsid w:val="662D3578"/>
    <w:rsid w:val="6635242D"/>
    <w:rsid w:val="66364232"/>
    <w:rsid w:val="66433697"/>
    <w:rsid w:val="66495ED8"/>
    <w:rsid w:val="66560D21"/>
    <w:rsid w:val="665925BF"/>
    <w:rsid w:val="66805D9E"/>
    <w:rsid w:val="66837F7B"/>
    <w:rsid w:val="669E4476"/>
    <w:rsid w:val="66A4436F"/>
    <w:rsid w:val="66A852F5"/>
    <w:rsid w:val="66DB1226"/>
    <w:rsid w:val="66DD4F9F"/>
    <w:rsid w:val="66E159EC"/>
    <w:rsid w:val="66EB5B17"/>
    <w:rsid w:val="66F2031E"/>
    <w:rsid w:val="66F917BD"/>
    <w:rsid w:val="66FE3167"/>
    <w:rsid w:val="670A6AA8"/>
    <w:rsid w:val="671464E6"/>
    <w:rsid w:val="67213B6E"/>
    <w:rsid w:val="67220595"/>
    <w:rsid w:val="6727016E"/>
    <w:rsid w:val="67346B89"/>
    <w:rsid w:val="67366A4A"/>
    <w:rsid w:val="673F2C7A"/>
    <w:rsid w:val="67430D38"/>
    <w:rsid w:val="677245FB"/>
    <w:rsid w:val="67801DCE"/>
    <w:rsid w:val="67824383"/>
    <w:rsid w:val="678673E4"/>
    <w:rsid w:val="678E5BEE"/>
    <w:rsid w:val="679B2764"/>
    <w:rsid w:val="67A33AFF"/>
    <w:rsid w:val="67A930D3"/>
    <w:rsid w:val="67A96C2F"/>
    <w:rsid w:val="67C1364E"/>
    <w:rsid w:val="67C223E6"/>
    <w:rsid w:val="67D26A1E"/>
    <w:rsid w:val="67D514E1"/>
    <w:rsid w:val="67D77C40"/>
    <w:rsid w:val="67FA392E"/>
    <w:rsid w:val="68033A1F"/>
    <w:rsid w:val="681905FC"/>
    <w:rsid w:val="681F6961"/>
    <w:rsid w:val="682D3C2C"/>
    <w:rsid w:val="68356714"/>
    <w:rsid w:val="68386205"/>
    <w:rsid w:val="683E75F2"/>
    <w:rsid w:val="684140AE"/>
    <w:rsid w:val="68420E31"/>
    <w:rsid w:val="68441266"/>
    <w:rsid w:val="684A6664"/>
    <w:rsid w:val="68531116"/>
    <w:rsid w:val="68610A2F"/>
    <w:rsid w:val="6865349E"/>
    <w:rsid w:val="687C2595"/>
    <w:rsid w:val="68805514"/>
    <w:rsid w:val="68851B37"/>
    <w:rsid w:val="68890C27"/>
    <w:rsid w:val="688D6550"/>
    <w:rsid w:val="688F4E56"/>
    <w:rsid w:val="68965D35"/>
    <w:rsid w:val="68C61A62"/>
    <w:rsid w:val="68CA23D1"/>
    <w:rsid w:val="68D66648"/>
    <w:rsid w:val="68D7589B"/>
    <w:rsid w:val="68F71C1C"/>
    <w:rsid w:val="693370F8"/>
    <w:rsid w:val="694E2071"/>
    <w:rsid w:val="69567CE1"/>
    <w:rsid w:val="69594684"/>
    <w:rsid w:val="696C7FA8"/>
    <w:rsid w:val="697A3B33"/>
    <w:rsid w:val="697B45FB"/>
    <w:rsid w:val="697D48A2"/>
    <w:rsid w:val="69841F02"/>
    <w:rsid w:val="698C2CAC"/>
    <w:rsid w:val="6991693E"/>
    <w:rsid w:val="69925B6A"/>
    <w:rsid w:val="699B6A4B"/>
    <w:rsid w:val="699E02E9"/>
    <w:rsid w:val="699E2456"/>
    <w:rsid w:val="69A41463"/>
    <w:rsid w:val="69A63C93"/>
    <w:rsid w:val="69C51D1A"/>
    <w:rsid w:val="69DA3A17"/>
    <w:rsid w:val="69E9424C"/>
    <w:rsid w:val="69EC54F9"/>
    <w:rsid w:val="69F402A6"/>
    <w:rsid w:val="69F820EF"/>
    <w:rsid w:val="69FB573C"/>
    <w:rsid w:val="6A08639F"/>
    <w:rsid w:val="6A24240C"/>
    <w:rsid w:val="6A717D4B"/>
    <w:rsid w:val="6A8252DA"/>
    <w:rsid w:val="6A902328"/>
    <w:rsid w:val="6A96067E"/>
    <w:rsid w:val="6AB62A0E"/>
    <w:rsid w:val="6AC87D14"/>
    <w:rsid w:val="6ACE1584"/>
    <w:rsid w:val="6AD83AD4"/>
    <w:rsid w:val="6ADC731B"/>
    <w:rsid w:val="6ADD4D4C"/>
    <w:rsid w:val="6AE21755"/>
    <w:rsid w:val="6AE30927"/>
    <w:rsid w:val="6AEB3A02"/>
    <w:rsid w:val="6AF66D84"/>
    <w:rsid w:val="6AF863DD"/>
    <w:rsid w:val="6B011F97"/>
    <w:rsid w:val="6B057271"/>
    <w:rsid w:val="6B1271E1"/>
    <w:rsid w:val="6B1336F4"/>
    <w:rsid w:val="6B1B3DAE"/>
    <w:rsid w:val="6B1B42E7"/>
    <w:rsid w:val="6B295AA1"/>
    <w:rsid w:val="6B2B6F3E"/>
    <w:rsid w:val="6B322639"/>
    <w:rsid w:val="6B4227D3"/>
    <w:rsid w:val="6B423CEE"/>
    <w:rsid w:val="6B451364"/>
    <w:rsid w:val="6B5275DD"/>
    <w:rsid w:val="6B5D71DA"/>
    <w:rsid w:val="6B712159"/>
    <w:rsid w:val="6BBF1117"/>
    <w:rsid w:val="6BBF210D"/>
    <w:rsid w:val="6BC71D79"/>
    <w:rsid w:val="6BCF16EA"/>
    <w:rsid w:val="6BD36970"/>
    <w:rsid w:val="6BDF4621"/>
    <w:rsid w:val="6BF32A99"/>
    <w:rsid w:val="6C094140"/>
    <w:rsid w:val="6C133210"/>
    <w:rsid w:val="6C255926"/>
    <w:rsid w:val="6C272092"/>
    <w:rsid w:val="6C293FE6"/>
    <w:rsid w:val="6C2B67AC"/>
    <w:rsid w:val="6C3513D9"/>
    <w:rsid w:val="6C35541B"/>
    <w:rsid w:val="6C476B40"/>
    <w:rsid w:val="6C5555D7"/>
    <w:rsid w:val="6C5B0E93"/>
    <w:rsid w:val="6C5C4BB7"/>
    <w:rsid w:val="6C636C38"/>
    <w:rsid w:val="6C7F2654"/>
    <w:rsid w:val="6C865790"/>
    <w:rsid w:val="6CAD0F6F"/>
    <w:rsid w:val="6CB20E55"/>
    <w:rsid w:val="6CCD7768"/>
    <w:rsid w:val="6CD02742"/>
    <w:rsid w:val="6CD209D6"/>
    <w:rsid w:val="6CE626D3"/>
    <w:rsid w:val="6CED5810"/>
    <w:rsid w:val="6D056FFD"/>
    <w:rsid w:val="6D0A42DF"/>
    <w:rsid w:val="6D0D1A0E"/>
    <w:rsid w:val="6D2317C0"/>
    <w:rsid w:val="6D396CA7"/>
    <w:rsid w:val="6D481DDA"/>
    <w:rsid w:val="6D5E670D"/>
    <w:rsid w:val="6D765B32"/>
    <w:rsid w:val="6D7C0AE9"/>
    <w:rsid w:val="6D8C7F00"/>
    <w:rsid w:val="6D912219"/>
    <w:rsid w:val="6D920165"/>
    <w:rsid w:val="6DA929B8"/>
    <w:rsid w:val="6DB225B5"/>
    <w:rsid w:val="6DB34098"/>
    <w:rsid w:val="6DB545B6"/>
    <w:rsid w:val="6DC9002B"/>
    <w:rsid w:val="6DCD5CB1"/>
    <w:rsid w:val="6DD50263"/>
    <w:rsid w:val="6DEA7FA1"/>
    <w:rsid w:val="6DEE32ED"/>
    <w:rsid w:val="6DEE7A91"/>
    <w:rsid w:val="6DEF114A"/>
    <w:rsid w:val="6E072901"/>
    <w:rsid w:val="6E0F345F"/>
    <w:rsid w:val="6E106332"/>
    <w:rsid w:val="6E114367"/>
    <w:rsid w:val="6E2E7D17"/>
    <w:rsid w:val="6E31797E"/>
    <w:rsid w:val="6E3336E6"/>
    <w:rsid w:val="6E396833"/>
    <w:rsid w:val="6E3A33B0"/>
    <w:rsid w:val="6E3C26AA"/>
    <w:rsid w:val="6E421387"/>
    <w:rsid w:val="6E4375A0"/>
    <w:rsid w:val="6E4678CD"/>
    <w:rsid w:val="6E4E6782"/>
    <w:rsid w:val="6E514CED"/>
    <w:rsid w:val="6E516FAE"/>
    <w:rsid w:val="6E59299A"/>
    <w:rsid w:val="6E677844"/>
    <w:rsid w:val="6E6829CA"/>
    <w:rsid w:val="6E6E2980"/>
    <w:rsid w:val="6E79491A"/>
    <w:rsid w:val="6E7A3414"/>
    <w:rsid w:val="6E7D32FC"/>
    <w:rsid w:val="6E901A44"/>
    <w:rsid w:val="6E9D2788"/>
    <w:rsid w:val="6E9D5DAA"/>
    <w:rsid w:val="6EAE135C"/>
    <w:rsid w:val="6EB563D5"/>
    <w:rsid w:val="6EBD1212"/>
    <w:rsid w:val="6EC72090"/>
    <w:rsid w:val="6EC73074"/>
    <w:rsid w:val="6ECE01AD"/>
    <w:rsid w:val="6EE13152"/>
    <w:rsid w:val="6EF70BC7"/>
    <w:rsid w:val="6EF71009"/>
    <w:rsid w:val="6EF822A2"/>
    <w:rsid w:val="6EF84E1E"/>
    <w:rsid w:val="6EFC4E00"/>
    <w:rsid w:val="6EFF5CCE"/>
    <w:rsid w:val="6F1843FB"/>
    <w:rsid w:val="6F2179F2"/>
    <w:rsid w:val="6F225983"/>
    <w:rsid w:val="6F293D2F"/>
    <w:rsid w:val="6F2B261F"/>
    <w:rsid w:val="6F322B11"/>
    <w:rsid w:val="6F3332FA"/>
    <w:rsid w:val="6F38357B"/>
    <w:rsid w:val="6F62308B"/>
    <w:rsid w:val="6F71472B"/>
    <w:rsid w:val="6F7C598B"/>
    <w:rsid w:val="6F7D6439"/>
    <w:rsid w:val="6F871F4B"/>
    <w:rsid w:val="6FA04DBB"/>
    <w:rsid w:val="6FBB32CD"/>
    <w:rsid w:val="6FC3279B"/>
    <w:rsid w:val="6FC33FD3"/>
    <w:rsid w:val="6FD0136E"/>
    <w:rsid w:val="6FD607DD"/>
    <w:rsid w:val="6FF1412A"/>
    <w:rsid w:val="6FFC5590"/>
    <w:rsid w:val="70057314"/>
    <w:rsid w:val="7020414E"/>
    <w:rsid w:val="70253512"/>
    <w:rsid w:val="70301DA3"/>
    <w:rsid w:val="703419A7"/>
    <w:rsid w:val="70461BF6"/>
    <w:rsid w:val="704B11CB"/>
    <w:rsid w:val="70666005"/>
    <w:rsid w:val="706D1DD0"/>
    <w:rsid w:val="70702A2C"/>
    <w:rsid w:val="70702E41"/>
    <w:rsid w:val="7073427E"/>
    <w:rsid w:val="70737301"/>
    <w:rsid w:val="707C2E80"/>
    <w:rsid w:val="70856B87"/>
    <w:rsid w:val="7089584F"/>
    <w:rsid w:val="70944D11"/>
    <w:rsid w:val="70957CC5"/>
    <w:rsid w:val="709661BE"/>
    <w:rsid w:val="709A3F00"/>
    <w:rsid w:val="709F453F"/>
    <w:rsid w:val="70A5064C"/>
    <w:rsid w:val="70B328CC"/>
    <w:rsid w:val="70B85FFA"/>
    <w:rsid w:val="70C44AD9"/>
    <w:rsid w:val="70D421A3"/>
    <w:rsid w:val="70D527EE"/>
    <w:rsid w:val="70E1438C"/>
    <w:rsid w:val="70E364A3"/>
    <w:rsid w:val="70EF10D2"/>
    <w:rsid w:val="70F5124E"/>
    <w:rsid w:val="70FC4273"/>
    <w:rsid w:val="710F11CF"/>
    <w:rsid w:val="711C2B67"/>
    <w:rsid w:val="711C60A2"/>
    <w:rsid w:val="715673E9"/>
    <w:rsid w:val="715B5300"/>
    <w:rsid w:val="715F4BD7"/>
    <w:rsid w:val="71664926"/>
    <w:rsid w:val="71810C1C"/>
    <w:rsid w:val="71887ECD"/>
    <w:rsid w:val="718D75C1"/>
    <w:rsid w:val="71B05A96"/>
    <w:rsid w:val="71B12CD7"/>
    <w:rsid w:val="71C058B9"/>
    <w:rsid w:val="71C254BD"/>
    <w:rsid w:val="71CE323A"/>
    <w:rsid w:val="71D27F8A"/>
    <w:rsid w:val="71D95ABF"/>
    <w:rsid w:val="71E573FD"/>
    <w:rsid w:val="71F272E6"/>
    <w:rsid w:val="71F744C6"/>
    <w:rsid w:val="71F960CF"/>
    <w:rsid w:val="720535FB"/>
    <w:rsid w:val="72097BAE"/>
    <w:rsid w:val="72192252"/>
    <w:rsid w:val="722515A8"/>
    <w:rsid w:val="72293333"/>
    <w:rsid w:val="723E22A6"/>
    <w:rsid w:val="724D3CEF"/>
    <w:rsid w:val="72536115"/>
    <w:rsid w:val="725C6020"/>
    <w:rsid w:val="725E7322"/>
    <w:rsid w:val="726E2F4F"/>
    <w:rsid w:val="72854A5A"/>
    <w:rsid w:val="72881782"/>
    <w:rsid w:val="728A58AF"/>
    <w:rsid w:val="729B1A87"/>
    <w:rsid w:val="729B5D0E"/>
    <w:rsid w:val="72AB6C77"/>
    <w:rsid w:val="72B648F6"/>
    <w:rsid w:val="72BB015E"/>
    <w:rsid w:val="72BB59BE"/>
    <w:rsid w:val="72C43282"/>
    <w:rsid w:val="72C60FDD"/>
    <w:rsid w:val="72D33945"/>
    <w:rsid w:val="72D752CA"/>
    <w:rsid w:val="72D8343A"/>
    <w:rsid w:val="72E6342D"/>
    <w:rsid w:val="72EC3195"/>
    <w:rsid w:val="72FE2C1A"/>
    <w:rsid w:val="73011896"/>
    <w:rsid w:val="7318735E"/>
    <w:rsid w:val="731F5D5E"/>
    <w:rsid w:val="73214465"/>
    <w:rsid w:val="73243C56"/>
    <w:rsid w:val="732D2E0A"/>
    <w:rsid w:val="732E6EBC"/>
    <w:rsid w:val="734B0AAB"/>
    <w:rsid w:val="734B14E2"/>
    <w:rsid w:val="7356771A"/>
    <w:rsid w:val="73640081"/>
    <w:rsid w:val="73836ECE"/>
    <w:rsid w:val="738A5B9F"/>
    <w:rsid w:val="7391749F"/>
    <w:rsid w:val="73982F48"/>
    <w:rsid w:val="739F1E75"/>
    <w:rsid w:val="73A56E44"/>
    <w:rsid w:val="73AF016D"/>
    <w:rsid w:val="73BE47DE"/>
    <w:rsid w:val="73C117A4"/>
    <w:rsid w:val="73C42070"/>
    <w:rsid w:val="73C85B40"/>
    <w:rsid w:val="73D239B1"/>
    <w:rsid w:val="73D41640"/>
    <w:rsid w:val="73D95FC1"/>
    <w:rsid w:val="73E060CE"/>
    <w:rsid w:val="73EA052A"/>
    <w:rsid w:val="73EA205F"/>
    <w:rsid w:val="73F9507C"/>
    <w:rsid w:val="73FB367F"/>
    <w:rsid w:val="741C0D47"/>
    <w:rsid w:val="741E793C"/>
    <w:rsid w:val="7427745B"/>
    <w:rsid w:val="7431370C"/>
    <w:rsid w:val="743A3291"/>
    <w:rsid w:val="744E128A"/>
    <w:rsid w:val="74512B28"/>
    <w:rsid w:val="745D7F11"/>
    <w:rsid w:val="745E1854"/>
    <w:rsid w:val="7475039B"/>
    <w:rsid w:val="74836938"/>
    <w:rsid w:val="748F1CC1"/>
    <w:rsid w:val="749B605C"/>
    <w:rsid w:val="749D2D5C"/>
    <w:rsid w:val="74A569D0"/>
    <w:rsid w:val="74A72748"/>
    <w:rsid w:val="74AE1D28"/>
    <w:rsid w:val="74C56B7E"/>
    <w:rsid w:val="74C70FE0"/>
    <w:rsid w:val="74C90910"/>
    <w:rsid w:val="74D46575"/>
    <w:rsid w:val="74D54F3C"/>
    <w:rsid w:val="74E4399C"/>
    <w:rsid w:val="75151DA7"/>
    <w:rsid w:val="75183646"/>
    <w:rsid w:val="751B1584"/>
    <w:rsid w:val="75232CC1"/>
    <w:rsid w:val="752A3B98"/>
    <w:rsid w:val="752A7CD3"/>
    <w:rsid w:val="752D5343"/>
    <w:rsid w:val="752E7274"/>
    <w:rsid w:val="75306043"/>
    <w:rsid w:val="75394176"/>
    <w:rsid w:val="75431FEB"/>
    <w:rsid w:val="754D07DA"/>
    <w:rsid w:val="755723C0"/>
    <w:rsid w:val="75575F1C"/>
    <w:rsid w:val="75653C64"/>
    <w:rsid w:val="756B594D"/>
    <w:rsid w:val="756B5E6B"/>
    <w:rsid w:val="756B730A"/>
    <w:rsid w:val="75722A45"/>
    <w:rsid w:val="757F3A75"/>
    <w:rsid w:val="757F4EE4"/>
    <w:rsid w:val="758D1F43"/>
    <w:rsid w:val="758D75E2"/>
    <w:rsid w:val="75947170"/>
    <w:rsid w:val="759977B7"/>
    <w:rsid w:val="75BB5DF7"/>
    <w:rsid w:val="75C91840"/>
    <w:rsid w:val="75CB3577"/>
    <w:rsid w:val="75ED7F88"/>
    <w:rsid w:val="75F25C45"/>
    <w:rsid w:val="75FC4D15"/>
    <w:rsid w:val="75FF26F5"/>
    <w:rsid w:val="76022B63"/>
    <w:rsid w:val="76051E1C"/>
    <w:rsid w:val="7610431D"/>
    <w:rsid w:val="7619667B"/>
    <w:rsid w:val="761B3AA1"/>
    <w:rsid w:val="761D2516"/>
    <w:rsid w:val="76200A04"/>
    <w:rsid w:val="76206D49"/>
    <w:rsid w:val="76263B40"/>
    <w:rsid w:val="7630676D"/>
    <w:rsid w:val="763C15B6"/>
    <w:rsid w:val="763D0250"/>
    <w:rsid w:val="76525BE7"/>
    <w:rsid w:val="76654669"/>
    <w:rsid w:val="76733229"/>
    <w:rsid w:val="768D0F4C"/>
    <w:rsid w:val="76960CC6"/>
    <w:rsid w:val="76BF709D"/>
    <w:rsid w:val="76CD1DA1"/>
    <w:rsid w:val="76F7737E"/>
    <w:rsid w:val="770518F3"/>
    <w:rsid w:val="770C7339"/>
    <w:rsid w:val="77214AD6"/>
    <w:rsid w:val="772207AC"/>
    <w:rsid w:val="772B755F"/>
    <w:rsid w:val="77446974"/>
    <w:rsid w:val="77464AF8"/>
    <w:rsid w:val="775E2934"/>
    <w:rsid w:val="776C1A27"/>
    <w:rsid w:val="77762421"/>
    <w:rsid w:val="77830123"/>
    <w:rsid w:val="778E5E41"/>
    <w:rsid w:val="779571D0"/>
    <w:rsid w:val="77A955CB"/>
    <w:rsid w:val="77B7489D"/>
    <w:rsid w:val="77B75398"/>
    <w:rsid w:val="77C43611"/>
    <w:rsid w:val="77D5775F"/>
    <w:rsid w:val="77E048EF"/>
    <w:rsid w:val="77E31CE9"/>
    <w:rsid w:val="77E43CB3"/>
    <w:rsid w:val="77EE050C"/>
    <w:rsid w:val="77F27A3E"/>
    <w:rsid w:val="77F51A1C"/>
    <w:rsid w:val="780F09F4"/>
    <w:rsid w:val="782B7A82"/>
    <w:rsid w:val="782C253B"/>
    <w:rsid w:val="7846016E"/>
    <w:rsid w:val="784B4BDC"/>
    <w:rsid w:val="784C211C"/>
    <w:rsid w:val="78766784"/>
    <w:rsid w:val="78786305"/>
    <w:rsid w:val="787B0173"/>
    <w:rsid w:val="789C4F47"/>
    <w:rsid w:val="78A21BA4"/>
    <w:rsid w:val="78A51694"/>
    <w:rsid w:val="78A90480"/>
    <w:rsid w:val="78AF42C1"/>
    <w:rsid w:val="78B813C8"/>
    <w:rsid w:val="78BE4504"/>
    <w:rsid w:val="78CD1717"/>
    <w:rsid w:val="78CE1FE7"/>
    <w:rsid w:val="78D65BEF"/>
    <w:rsid w:val="78E51A91"/>
    <w:rsid w:val="78E6295C"/>
    <w:rsid w:val="78E87223"/>
    <w:rsid w:val="78F46178"/>
    <w:rsid w:val="78F63C9E"/>
    <w:rsid w:val="7915026D"/>
    <w:rsid w:val="791907C6"/>
    <w:rsid w:val="7951077C"/>
    <w:rsid w:val="795B6287"/>
    <w:rsid w:val="796926C2"/>
    <w:rsid w:val="79794D72"/>
    <w:rsid w:val="79811327"/>
    <w:rsid w:val="79836B0A"/>
    <w:rsid w:val="7993773F"/>
    <w:rsid w:val="79A220FB"/>
    <w:rsid w:val="79B3393D"/>
    <w:rsid w:val="79BA36A6"/>
    <w:rsid w:val="79C46A79"/>
    <w:rsid w:val="79CA6FD0"/>
    <w:rsid w:val="79D15FC6"/>
    <w:rsid w:val="79DC10E6"/>
    <w:rsid w:val="79E70D0C"/>
    <w:rsid w:val="79E94EAD"/>
    <w:rsid w:val="79EA2C5F"/>
    <w:rsid w:val="79EA61EA"/>
    <w:rsid w:val="79F85E80"/>
    <w:rsid w:val="79FF4DD4"/>
    <w:rsid w:val="7A020420"/>
    <w:rsid w:val="7A07196A"/>
    <w:rsid w:val="7A097A01"/>
    <w:rsid w:val="7A0C1A6C"/>
    <w:rsid w:val="7A0C2FD8"/>
    <w:rsid w:val="7A1510FB"/>
    <w:rsid w:val="7A1663B5"/>
    <w:rsid w:val="7A1C14E2"/>
    <w:rsid w:val="7A1E34AC"/>
    <w:rsid w:val="7A1F5E8C"/>
    <w:rsid w:val="7A2F5B40"/>
    <w:rsid w:val="7A364017"/>
    <w:rsid w:val="7A3727C0"/>
    <w:rsid w:val="7A3C4946"/>
    <w:rsid w:val="7A4854B0"/>
    <w:rsid w:val="7A5769BE"/>
    <w:rsid w:val="7A587B47"/>
    <w:rsid w:val="7A6449BB"/>
    <w:rsid w:val="7A690B4B"/>
    <w:rsid w:val="7A7B26AD"/>
    <w:rsid w:val="7A8265E1"/>
    <w:rsid w:val="7A8A01C7"/>
    <w:rsid w:val="7A9E45ED"/>
    <w:rsid w:val="7A9E5A95"/>
    <w:rsid w:val="7AA8546C"/>
    <w:rsid w:val="7ABC4A73"/>
    <w:rsid w:val="7AD63D87"/>
    <w:rsid w:val="7AEA5A84"/>
    <w:rsid w:val="7B0433F3"/>
    <w:rsid w:val="7B0F1874"/>
    <w:rsid w:val="7B1D667F"/>
    <w:rsid w:val="7B2014A6"/>
    <w:rsid w:val="7B242D44"/>
    <w:rsid w:val="7B3265FA"/>
    <w:rsid w:val="7B486307"/>
    <w:rsid w:val="7B4D1357"/>
    <w:rsid w:val="7B530E1C"/>
    <w:rsid w:val="7B536746"/>
    <w:rsid w:val="7B5F5B2A"/>
    <w:rsid w:val="7B686D42"/>
    <w:rsid w:val="7B784E3E"/>
    <w:rsid w:val="7B7D06A6"/>
    <w:rsid w:val="7B803CF3"/>
    <w:rsid w:val="7B841746"/>
    <w:rsid w:val="7B8F1213"/>
    <w:rsid w:val="7B922DED"/>
    <w:rsid w:val="7B9A586D"/>
    <w:rsid w:val="7BA64D48"/>
    <w:rsid w:val="7BB22021"/>
    <w:rsid w:val="7BB22970"/>
    <w:rsid w:val="7BBF481B"/>
    <w:rsid w:val="7BDF338E"/>
    <w:rsid w:val="7BF22E42"/>
    <w:rsid w:val="7C025570"/>
    <w:rsid w:val="7C044924"/>
    <w:rsid w:val="7C1475DC"/>
    <w:rsid w:val="7C547EF9"/>
    <w:rsid w:val="7C613B24"/>
    <w:rsid w:val="7C6230DB"/>
    <w:rsid w:val="7C7349C3"/>
    <w:rsid w:val="7C7E2011"/>
    <w:rsid w:val="7C7F110C"/>
    <w:rsid w:val="7C8A4E29"/>
    <w:rsid w:val="7C8D2C1A"/>
    <w:rsid w:val="7C9931A2"/>
    <w:rsid w:val="7CA42128"/>
    <w:rsid w:val="7CC04CEF"/>
    <w:rsid w:val="7CCF3496"/>
    <w:rsid w:val="7CD460A4"/>
    <w:rsid w:val="7CDC4FC8"/>
    <w:rsid w:val="7CE3371D"/>
    <w:rsid w:val="7CE85E00"/>
    <w:rsid w:val="7CEF2EDE"/>
    <w:rsid w:val="7CF624BE"/>
    <w:rsid w:val="7D0239FF"/>
    <w:rsid w:val="7D080444"/>
    <w:rsid w:val="7D15366F"/>
    <w:rsid w:val="7D1E5AD5"/>
    <w:rsid w:val="7D285395"/>
    <w:rsid w:val="7D4274B2"/>
    <w:rsid w:val="7D52684D"/>
    <w:rsid w:val="7D5947FB"/>
    <w:rsid w:val="7D5E40CD"/>
    <w:rsid w:val="7D693BED"/>
    <w:rsid w:val="7D7A3BEF"/>
    <w:rsid w:val="7D80447E"/>
    <w:rsid w:val="7D871368"/>
    <w:rsid w:val="7D8F021D"/>
    <w:rsid w:val="7D9029B1"/>
    <w:rsid w:val="7D9615AC"/>
    <w:rsid w:val="7DA0242A"/>
    <w:rsid w:val="7DAA37F9"/>
    <w:rsid w:val="7DB36601"/>
    <w:rsid w:val="7DB756B8"/>
    <w:rsid w:val="7DD45476"/>
    <w:rsid w:val="7DDC1631"/>
    <w:rsid w:val="7E06627E"/>
    <w:rsid w:val="7E096221"/>
    <w:rsid w:val="7E132BFC"/>
    <w:rsid w:val="7E1E2589"/>
    <w:rsid w:val="7E4712E8"/>
    <w:rsid w:val="7E492AC2"/>
    <w:rsid w:val="7E5D03E0"/>
    <w:rsid w:val="7E663674"/>
    <w:rsid w:val="7E7C2E97"/>
    <w:rsid w:val="7E841D32"/>
    <w:rsid w:val="7E857F9E"/>
    <w:rsid w:val="7E8B43E5"/>
    <w:rsid w:val="7E8B4E88"/>
    <w:rsid w:val="7EA360F3"/>
    <w:rsid w:val="7EAF501B"/>
    <w:rsid w:val="7EC363D0"/>
    <w:rsid w:val="7EC565EC"/>
    <w:rsid w:val="7EC576CC"/>
    <w:rsid w:val="7EC912A5"/>
    <w:rsid w:val="7EC9775F"/>
    <w:rsid w:val="7EDC6378"/>
    <w:rsid w:val="7EE36A72"/>
    <w:rsid w:val="7EEA0E80"/>
    <w:rsid w:val="7F066F18"/>
    <w:rsid w:val="7F0A04A3"/>
    <w:rsid w:val="7F0E192E"/>
    <w:rsid w:val="7F0F56D1"/>
    <w:rsid w:val="7F1D6D3B"/>
    <w:rsid w:val="7F2F740A"/>
    <w:rsid w:val="7F345520"/>
    <w:rsid w:val="7F34757D"/>
    <w:rsid w:val="7F365FF7"/>
    <w:rsid w:val="7F3B737D"/>
    <w:rsid w:val="7F4F4108"/>
    <w:rsid w:val="7F540256"/>
    <w:rsid w:val="7F6A7194"/>
    <w:rsid w:val="7F6A7A3B"/>
    <w:rsid w:val="7F7F2FD4"/>
    <w:rsid w:val="7F983D01"/>
    <w:rsid w:val="7F98785D"/>
    <w:rsid w:val="7FA51F7A"/>
    <w:rsid w:val="7FA61459"/>
    <w:rsid w:val="7FAC3558"/>
    <w:rsid w:val="7FBD5515"/>
    <w:rsid w:val="7FBF303C"/>
    <w:rsid w:val="7FBF5AB3"/>
    <w:rsid w:val="7FC543CA"/>
    <w:rsid w:val="7FD02953"/>
    <w:rsid w:val="7FD34D39"/>
    <w:rsid w:val="7FE47E50"/>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ocked="1"/>
    <w:lsdException w:qFormat="1" w:unhideWhenUsed="0" w:uiPriority="0" w:semiHidden="0" w:name="Emphasis" w:locked="1"/>
    <w:lsdException w:unhideWhenUsed="0" w:uiPriority="0" w:semiHidden="0" w:name="Document Map"/>
    <w:lsdException w:qFormat="1" w:uiPriority="99"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6">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unhideWhenUsed/>
    <w:qFormat/>
    <w:locked/>
    <w:uiPriority w:val="0"/>
    <w:pPr>
      <w:keepNext/>
      <w:keepLines/>
      <w:numPr>
        <w:ilvl w:val="1"/>
        <w:numId w:val="1"/>
      </w:numPr>
      <w:adjustRightInd w:val="0"/>
      <w:spacing w:before="200" w:after="200" w:line="413" w:lineRule="auto"/>
      <w:ind w:firstLineChars="0"/>
      <w:outlineLvl w:val="1"/>
    </w:pPr>
    <w:rPr>
      <w:rFonts w:ascii="Arial" w:hAnsi="Arial"/>
      <w:b/>
      <w:sz w:val="30"/>
    </w:rPr>
  </w:style>
  <w:style w:type="paragraph" w:styleId="8">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9">
    <w:name w:val="heading 4"/>
    <w:basedOn w:val="1"/>
    <w:next w:val="1"/>
    <w:unhideWhenUsed/>
    <w:qFormat/>
    <w:locked/>
    <w:uiPriority w:val="0"/>
    <w:pPr>
      <w:keepNext/>
      <w:keepLines/>
      <w:numPr>
        <w:ilvl w:val="3"/>
        <w:numId w:val="2"/>
      </w:numPr>
      <w:spacing w:before="280" w:after="290" w:line="372" w:lineRule="auto"/>
      <w:ind w:firstLineChars="0"/>
      <w:outlineLvl w:val="3"/>
    </w:pPr>
    <w:rPr>
      <w:rFonts w:ascii="Arial" w:hAnsi="Arial" w:eastAsia="黑体"/>
      <w:b/>
      <w:sz w:val="28"/>
    </w:rPr>
  </w:style>
  <w:style w:type="paragraph" w:styleId="10">
    <w:name w:val="heading 5"/>
    <w:basedOn w:val="1"/>
    <w:next w:val="11"/>
    <w:unhideWhenUsed/>
    <w:qFormat/>
    <w:locked/>
    <w:uiPriority w:val="0"/>
    <w:pPr>
      <w:keepNext/>
      <w:keepLines/>
      <w:numPr>
        <w:ilvl w:val="4"/>
        <w:numId w:val="3"/>
      </w:numPr>
      <w:tabs>
        <w:tab w:val="left" w:pos="420"/>
      </w:tabs>
      <w:adjustRightInd w:val="0"/>
      <w:snapToGrid w:val="0"/>
      <w:ind w:left="0" w:firstLineChars="0"/>
      <w:jc w:val="center"/>
      <w:outlineLvl w:val="4"/>
    </w:pPr>
    <w:rPr>
      <w:b/>
      <w:bCs/>
      <w:sz w:val="21"/>
      <w:szCs w:val="21"/>
    </w:rPr>
  </w:style>
  <w:style w:type="character" w:default="1" w:styleId="42">
    <w:name w:val="Default Paragraph Font"/>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59"/>
    <w:qFormat/>
    <w:uiPriority w:val="0"/>
    <w:pPr>
      <w:ind w:firstLine="420"/>
    </w:pPr>
  </w:style>
  <w:style w:type="paragraph" w:styleId="3">
    <w:name w:val="Body Text Indent"/>
    <w:basedOn w:val="1"/>
    <w:link w:val="51"/>
    <w:semiHidden/>
    <w:qFormat/>
    <w:uiPriority w:val="0"/>
    <w:pPr>
      <w:spacing w:after="120"/>
      <w:ind w:left="420" w:leftChars="200"/>
    </w:pPr>
  </w:style>
  <w:style w:type="paragraph" w:styleId="4">
    <w:name w:val="Body Text First Indent"/>
    <w:basedOn w:val="5"/>
    <w:next w:val="1"/>
    <w:link w:val="58"/>
    <w:qFormat/>
    <w:uiPriority w:val="0"/>
    <w:pPr>
      <w:widowControl w:val="0"/>
      <w:snapToGrid/>
      <w:spacing w:before="0" w:after="120" w:line="360" w:lineRule="auto"/>
      <w:ind w:right="0" w:firstLine="420" w:firstLineChars="100"/>
    </w:pPr>
    <w:rPr>
      <w:kern w:val="2"/>
      <w:sz w:val="24"/>
      <w:szCs w:val="24"/>
    </w:rPr>
  </w:style>
  <w:style w:type="paragraph" w:styleId="5">
    <w:name w:val="Body Text"/>
    <w:basedOn w:val="1"/>
    <w:next w:val="1"/>
    <w:link w:val="50"/>
    <w:qFormat/>
    <w:uiPriority w:val="0"/>
    <w:pPr>
      <w:widowControl/>
      <w:snapToGrid w:val="0"/>
      <w:spacing w:before="60" w:after="160" w:line="259" w:lineRule="auto"/>
      <w:ind w:right="113"/>
    </w:pPr>
    <w:rPr>
      <w:kern w:val="0"/>
      <w:sz w:val="18"/>
      <w:szCs w:val="18"/>
    </w:rPr>
  </w:style>
  <w:style w:type="paragraph" w:customStyle="1" w:styleId="11">
    <w:name w:val="正文文字"/>
    <w:basedOn w:val="1"/>
    <w:qFormat/>
    <w:uiPriority w:val="0"/>
    <w:pPr>
      <w:ind w:firstLine="480"/>
    </w:pPr>
  </w:style>
  <w:style w:type="paragraph" w:styleId="12">
    <w:name w:val="E-mail Signature"/>
    <w:basedOn w:val="1"/>
    <w:next w:val="13"/>
    <w:qFormat/>
    <w:uiPriority w:val="99"/>
    <w:pPr>
      <w:spacing w:line="460" w:lineRule="exact"/>
      <w:ind w:firstLine="200"/>
    </w:pPr>
  </w:style>
  <w:style w:type="paragraph" w:customStyle="1" w:styleId="13">
    <w:name w:val="文章"/>
    <w:next w:val="14"/>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4">
    <w:name w:val="List"/>
    <w:basedOn w:val="1"/>
    <w:next w:val="15"/>
    <w:qFormat/>
    <w:uiPriority w:val="0"/>
    <w:pPr>
      <w:widowControl/>
      <w:ind w:left="200" w:hanging="200" w:hangingChars="200"/>
      <w:jc w:val="left"/>
    </w:pPr>
    <w:rPr>
      <w:rFonts w:ascii="宋体" w:hAnsi="宋体" w:cs="宋体"/>
      <w:kern w:val="0"/>
      <w:sz w:val="24"/>
    </w:rPr>
  </w:style>
  <w:style w:type="paragraph" w:styleId="15">
    <w:name w:val="List Bullet 2"/>
    <w:basedOn w:val="1"/>
    <w:next w:val="16"/>
    <w:qFormat/>
    <w:uiPriority w:val="0"/>
    <w:pPr>
      <w:numPr>
        <w:ilvl w:val="0"/>
        <w:numId w:val="4"/>
      </w:numPr>
    </w:pPr>
  </w:style>
  <w:style w:type="paragraph" w:customStyle="1" w:styleId="16">
    <w:name w:val="xl70"/>
    <w:basedOn w:val="1"/>
    <w:next w:val="17"/>
    <w:qFormat/>
    <w:uiPriority w:val="0"/>
    <w:pPr>
      <w:widowControl/>
      <w:spacing w:before="280" w:after="280"/>
    </w:pPr>
    <w:rPr>
      <w:rFonts w:ascii="宋体"/>
    </w:rPr>
  </w:style>
  <w:style w:type="paragraph" w:customStyle="1" w:styleId="17">
    <w:name w:val="正文缩进1"/>
    <w:basedOn w:val="1"/>
    <w:next w:val="18"/>
    <w:qFormat/>
    <w:uiPriority w:val="0"/>
    <w:pPr>
      <w:ind w:firstLine="420"/>
    </w:pPr>
    <w:rPr>
      <w:rFonts w:ascii="宋体"/>
    </w:rPr>
  </w:style>
  <w:style w:type="paragraph" w:customStyle="1" w:styleId="18">
    <w:name w:val="td1"/>
    <w:basedOn w:val="1"/>
    <w:next w:val="1"/>
    <w:qFormat/>
    <w:uiPriority w:val="0"/>
    <w:pPr>
      <w:widowControl/>
      <w:spacing w:before="280" w:after="280" w:line="300" w:lineRule="atLeast"/>
      <w:ind w:firstLine="200"/>
    </w:pPr>
    <w:rPr>
      <w:color w:val="000000"/>
      <w:sz w:val="18"/>
    </w:rPr>
  </w:style>
  <w:style w:type="paragraph" w:styleId="19">
    <w:name w:val="Normal Indent"/>
    <w:basedOn w:val="1"/>
    <w:unhideWhenUsed/>
    <w:qFormat/>
    <w:uiPriority w:val="99"/>
    <w:pPr>
      <w:adjustRightInd w:val="0"/>
      <w:ind w:firstLine="420"/>
      <w:jc w:val="left"/>
    </w:pPr>
  </w:style>
  <w:style w:type="paragraph" w:styleId="20">
    <w:name w:val="toa heading"/>
    <w:basedOn w:val="1"/>
    <w:next w:val="1"/>
    <w:qFormat/>
    <w:uiPriority w:val="0"/>
    <w:pPr>
      <w:spacing w:before="120"/>
    </w:pPr>
    <w:rPr>
      <w:rFonts w:ascii="Arial" w:hAnsi="Arial"/>
    </w:rPr>
  </w:style>
  <w:style w:type="paragraph" w:styleId="21">
    <w:name w:val="annotation text"/>
    <w:basedOn w:val="1"/>
    <w:link w:val="49"/>
    <w:semiHidden/>
    <w:qFormat/>
    <w:uiPriority w:val="0"/>
    <w:pPr>
      <w:jc w:val="left"/>
    </w:pPr>
    <w:rPr>
      <w:kern w:val="0"/>
      <w:sz w:val="20"/>
    </w:rPr>
  </w:style>
  <w:style w:type="paragraph" w:styleId="22">
    <w:name w:val="toc 3"/>
    <w:basedOn w:val="1"/>
    <w:next w:val="1"/>
    <w:qFormat/>
    <w:locked/>
    <w:uiPriority w:val="0"/>
    <w:pPr>
      <w:ind w:left="840" w:leftChars="400"/>
    </w:pPr>
  </w:style>
  <w:style w:type="paragraph" w:styleId="23">
    <w:name w:val="Plain Text"/>
    <w:basedOn w:val="1"/>
    <w:next w:val="24"/>
    <w:unhideWhenUsed/>
    <w:qFormat/>
    <w:uiPriority w:val="99"/>
    <w:pPr>
      <w:autoSpaceDE w:val="0"/>
      <w:autoSpaceDN w:val="0"/>
      <w:adjustRightInd w:val="0"/>
      <w:spacing w:line="288" w:lineRule="auto"/>
      <w:ind w:firstLine="601"/>
      <w:textAlignment w:val="baseline"/>
    </w:pPr>
    <w:rPr>
      <w:rFonts w:ascii="宋体" w:hAnsi="Courier New"/>
      <w:kern w:val="0"/>
      <w:szCs w:val="20"/>
    </w:rPr>
  </w:style>
  <w:style w:type="paragraph" w:customStyle="1" w:styleId="24">
    <w:name w:val="Default"/>
    <w:basedOn w:val="25"/>
    <w:next w:val="26"/>
    <w:qFormat/>
    <w:uiPriority w:val="0"/>
    <w:pPr>
      <w:autoSpaceDE w:val="0"/>
      <w:autoSpaceDN w:val="0"/>
    </w:pPr>
    <w:rPr>
      <w:rFonts w:hAnsi="Times New Roman"/>
      <w:color w:val="000000"/>
      <w:szCs w:val="24"/>
    </w:rPr>
  </w:style>
  <w:style w:type="paragraph" w:customStyle="1" w:styleId="25">
    <w:name w:val="纯文本1"/>
    <w:basedOn w:val="1"/>
    <w:qFormat/>
    <w:uiPriority w:val="0"/>
    <w:pPr>
      <w:adjustRightInd w:val="0"/>
    </w:pPr>
    <w:rPr>
      <w:rFonts w:ascii="宋体" w:hAnsi="Courier New"/>
      <w:szCs w:val="20"/>
    </w:rPr>
  </w:style>
  <w:style w:type="paragraph" w:customStyle="1" w:styleId="26">
    <w:name w:val="样式35"/>
    <w:next w:val="27"/>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27">
    <w:name w:val="font6"/>
    <w:basedOn w:val="1"/>
    <w:next w:val="28"/>
    <w:qFormat/>
    <w:uiPriority w:val="0"/>
    <w:pPr>
      <w:widowControl/>
      <w:spacing w:before="100" w:beforeAutospacing="1" w:after="100" w:afterAutospacing="1"/>
      <w:jc w:val="left"/>
    </w:pPr>
    <w:rPr>
      <w:rFonts w:ascii="宋体" w:hAnsi="宋体" w:cs="宋体"/>
      <w:kern w:val="0"/>
      <w:szCs w:val="28"/>
    </w:rPr>
  </w:style>
  <w:style w:type="paragraph" w:styleId="28">
    <w:name w:val="toc 2"/>
    <w:basedOn w:val="1"/>
    <w:next w:val="1"/>
    <w:qFormat/>
    <w:locked/>
    <w:uiPriority w:val="39"/>
    <w:pPr>
      <w:ind w:left="420" w:leftChars="200"/>
    </w:pPr>
  </w:style>
  <w:style w:type="paragraph" w:styleId="29">
    <w:name w:val="Date"/>
    <w:basedOn w:val="1"/>
    <w:next w:val="1"/>
    <w:link w:val="52"/>
    <w:qFormat/>
    <w:uiPriority w:val="0"/>
    <w:pPr>
      <w:ind w:left="100" w:leftChars="2500"/>
    </w:pPr>
    <w:rPr>
      <w:kern w:val="0"/>
      <w:sz w:val="20"/>
    </w:rPr>
  </w:style>
  <w:style w:type="paragraph" w:styleId="30">
    <w:name w:val="Body Text Indent 2"/>
    <w:basedOn w:val="1"/>
    <w:unhideWhenUsed/>
    <w:qFormat/>
    <w:uiPriority w:val="99"/>
    <w:pPr>
      <w:ind w:firstLine="567"/>
    </w:pPr>
  </w:style>
  <w:style w:type="paragraph" w:styleId="31">
    <w:name w:val="Balloon Text"/>
    <w:basedOn w:val="1"/>
    <w:link w:val="53"/>
    <w:semiHidden/>
    <w:qFormat/>
    <w:uiPriority w:val="0"/>
    <w:rPr>
      <w:sz w:val="18"/>
      <w:szCs w:val="18"/>
    </w:rPr>
  </w:style>
  <w:style w:type="paragraph" w:styleId="32">
    <w:name w:val="footer"/>
    <w:basedOn w:val="1"/>
    <w:link w:val="54"/>
    <w:qFormat/>
    <w:uiPriority w:val="0"/>
    <w:pPr>
      <w:tabs>
        <w:tab w:val="center" w:pos="4153"/>
        <w:tab w:val="right" w:pos="8306"/>
      </w:tabs>
      <w:snapToGrid w:val="0"/>
      <w:jc w:val="left"/>
    </w:pPr>
    <w:rPr>
      <w:sz w:val="18"/>
      <w:szCs w:val="18"/>
    </w:rPr>
  </w:style>
  <w:style w:type="paragraph" w:styleId="33">
    <w:name w:val="header"/>
    <w:basedOn w:val="1"/>
    <w:next w:val="1"/>
    <w:link w:val="55"/>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locked/>
    <w:uiPriority w:val="0"/>
  </w:style>
  <w:style w:type="paragraph" w:styleId="35">
    <w:name w:val="index heading"/>
    <w:basedOn w:val="1"/>
    <w:next w:val="36"/>
    <w:unhideWhenUsed/>
    <w:qFormat/>
    <w:uiPriority w:val="99"/>
    <w:rPr>
      <w:rFonts w:ascii="宋体"/>
      <w:bCs/>
    </w:rPr>
  </w:style>
  <w:style w:type="paragraph" w:styleId="36">
    <w:name w:val="index 1"/>
    <w:basedOn w:val="1"/>
    <w:next w:val="1"/>
    <w:unhideWhenUsed/>
    <w:qFormat/>
    <w:uiPriority w:val="99"/>
    <w:rPr>
      <w:szCs w:val="20"/>
    </w:rPr>
  </w:style>
  <w:style w:type="paragraph" w:styleId="37">
    <w:name w:val="Normal (Web)"/>
    <w:basedOn w:val="1"/>
    <w:link w:val="56"/>
    <w:qFormat/>
    <w:uiPriority w:val="0"/>
    <w:pPr>
      <w:widowControl/>
      <w:spacing w:before="100" w:beforeAutospacing="1" w:after="100" w:afterAutospacing="1"/>
      <w:jc w:val="left"/>
    </w:pPr>
    <w:rPr>
      <w:rFonts w:ascii="宋体" w:hAnsi="宋体"/>
      <w:kern w:val="0"/>
    </w:rPr>
  </w:style>
  <w:style w:type="paragraph" w:styleId="38">
    <w:name w:val="Title"/>
    <w:basedOn w:val="1"/>
    <w:next w:val="1"/>
    <w:qFormat/>
    <w:locked/>
    <w:uiPriority w:val="0"/>
    <w:pPr>
      <w:spacing w:before="240" w:after="60"/>
      <w:jc w:val="center"/>
      <w:outlineLvl w:val="0"/>
    </w:pPr>
    <w:rPr>
      <w:rFonts w:ascii="Arial" w:hAnsi="Arial" w:cs="Arial"/>
      <w:b/>
      <w:bCs/>
      <w:sz w:val="30"/>
      <w:szCs w:val="32"/>
    </w:rPr>
  </w:style>
  <w:style w:type="paragraph" w:styleId="39">
    <w:name w:val="annotation subject"/>
    <w:basedOn w:val="21"/>
    <w:next w:val="21"/>
    <w:link w:val="57"/>
    <w:semiHidden/>
    <w:qFormat/>
    <w:uiPriority w:val="0"/>
    <w:rPr>
      <w:b/>
      <w:bCs/>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locked/>
    <w:uiPriority w:val="22"/>
    <w:rPr>
      <w:b/>
    </w:rPr>
  </w:style>
  <w:style w:type="character" w:styleId="44">
    <w:name w:val="page number"/>
    <w:qFormat/>
    <w:uiPriority w:val="0"/>
  </w:style>
  <w:style w:type="character" w:styleId="45">
    <w:name w:val="Emphasis"/>
    <w:basedOn w:val="42"/>
    <w:qFormat/>
    <w:locked/>
    <w:uiPriority w:val="0"/>
    <w:rPr>
      <w:i/>
    </w:rPr>
  </w:style>
  <w:style w:type="character" w:styleId="46">
    <w:name w:val="Hyperlink"/>
    <w:unhideWhenUsed/>
    <w:qFormat/>
    <w:uiPriority w:val="99"/>
    <w:rPr>
      <w:color w:val="0000FF"/>
      <w:u w:val="none"/>
    </w:rPr>
  </w:style>
  <w:style w:type="character" w:styleId="47">
    <w:name w:val="annotation reference"/>
    <w:semiHidden/>
    <w:qFormat/>
    <w:uiPriority w:val="0"/>
    <w:rPr>
      <w:sz w:val="21"/>
    </w:rPr>
  </w:style>
  <w:style w:type="paragraph" w:customStyle="1" w:styleId="48">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9">
    <w:name w:val="批注文字 字符"/>
    <w:link w:val="21"/>
    <w:qFormat/>
    <w:locked/>
    <w:uiPriority w:val="0"/>
    <w:rPr>
      <w:rFonts w:ascii="Times New Roman" w:hAnsi="Times New Roman" w:eastAsia="宋体"/>
      <w:sz w:val="24"/>
    </w:rPr>
  </w:style>
  <w:style w:type="character" w:customStyle="1" w:styleId="50">
    <w:name w:val="正文文本 字符"/>
    <w:link w:val="5"/>
    <w:qFormat/>
    <w:locked/>
    <w:uiPriority w:val="0"/>
    <w:rPr>
      <w:sz w:val="18"/>
    </w:rPr>
  </w:style>
  <w:style w:type="character" w:customStyle="1" w:styleId="51">
    <w:name w:val="正文文本缩进 字符"/>
    <w:link w:val="3"/>
    <w:semiHidden/>
    <w:qFormat/>
    <w:locked/>
    <w:uiPriority w:val="0"/>
    <w:rPr>
      <w:rFonts w:ascii="Times New Roman" w:hAnsi="Times New Roman" w:eastAsia="宋体" w:cs="Times New Roman"/>
      <w:sz w:val="24"/>
      <w:szCs w:val="24"/>
    </w:rPr>
  </w:style>
  <w:style w:type="character" w:customStyle="1" w:styleId="52">
    <w:name w:val="日期 字符1"/>
    <w:link w:val="29"/>
    <w:qFormat/>
    <w:locked/>
    <w:uiPriority w:val="0"/>
    <w:rPr>
      <w:rFonts w:ascii="Times New Roman" w:hAnsi="Times New Roman" w:eastAsia="宋体"/>
      <w:sz w:val="24"/>
    </w:rPr>
  </w:style>
  <w:style w:type="character" w:customStyle="1" w:styleId="53">
    <w:name w:val="批注框文本 字符"/>
    <w:link w:val="31"/>
    <w:semiHidden/>
    <w:qFormat/>
    <w:locked/>
    <w:uiPriority w:val="0"/>
    <w:rPr>
      <w:rFonts w:ascii="Times New Roman" w:hAnsi="Times New Roman" w:eastAsia="宋体" w:cs="Times New Roman"/>
      <w:sz w:val="18"/>
      <w:szCs w:val="18"/>
    </w:rPr>
  </w:style>
  <w:style w:type="character" w:customStyle="1" w:styleId="54">
    <w:name w:val="页脚 字符"/>
    <w:link w:val="32"/>
    <w:qFormat/>
    <w:locked/>
    <w:uiPriority w:val="0"/>
    <w:rPr>
      <w:rFonts w:cs="Times New Roman"/>
      <w:sz w:val="18"/>
      <w:szCs w:val="18"/>
    </w:rPr>
  </w:style>
  <w:style w:type="character" w:customStyle="1" w:styleId="55">
    <w:name w:val="页眉 字符"/>
    <w:link w:val="33"/>
    <w:qFormat/>
    <w:locked/>
    <w:uiPriority w:val="0"/>
    <w:rPr>
      <w:rFonts w:cs="Times New Roman"/>
      <w:sz w:val="18"/>
      <w:szCs w:val="18"/>
    </w:rPr>
  </w:style>
  <w:style w:type="character" w:customStyle="1" w:styleId="56">
    <w:name w:val="普通(网站) 字符"/>
    <w:link w:val="37"/>
    <w:qFormat/>
    <w:locked/>
    <w:uiPriority w:val="0"/>
    <w:rPr>
      <w:rFonts w:ascii="宋体" w:hAnsi="宋体" w:eastAsia="宋体"/>
      <w:sz w:val="24"/>
    </w:rPr>
  </w:style>
  <w:style w:type="character" w:customStyle="1" w:styleId="57">
    <w:name w:val="批注主题 字符"/>
    <w:link w:val="39"/>
    <w:semiHidden/>
    <w:qFormat/>
    <w:locked/>
    <w:uiPriority w:val="0"/>
    <w:rPr>
      <w:rFonts w:cs="Times New Roman"/>
      <w:b/>
      <w:bCs/>
      <w:kern w:val="2"/>
      <w:szCs w:val="24"/>
    </w:rPr>
  </w:style>
  <w:style w:type="character" w:customStyle="1" w:styleId="58">
    <w:name w:val="正文文本首行缩进 字符"/>
    <w:link w:val="4"/>
    <w:qFormat/>
    <w:uiPriority w:val="0"/>
    <w:rPr>
      <w:kern w:val="2"/>
      <w:sz w:val="24"/>
      <w:szCs w:val="24"/>
    </w:rPr>
  </w:style>
  <w:style w:type="character" w:customStyle="1" w:styleId="59">
    <w:name w:val="正文文本首行缩进 2 字符"/>
    <w:link w:val="2"/>
    <w:qFormat/>
    <w:uiPriority w:val="0"/>
    <w:rPr>
      <w:rFonts w:ascii="Times New Roman" w:hAnsi="Times New Roman" w:eastAsia="宋体" w:cs="Times New Roman"/>
      <w:kern w:val="2"/>
      <w:sz w:val="24"/>
      <w:szCs w:val="24"/>
    </w:rPr>
  </w:style>
  <w:style w:type="character" w:customStyle="1" w:styleId="60">
    <w:name w:val="日期 字符"/>
    <w:semiHidden/>
    <w:qFormat/>
    <w:uiPriority w:val="0"/>
    <w:rPr>
      <w:rFonts w:ascii="Times New Roman" w:hAnsi="Times New Roman" w:eastAsia="宋体" w:cs="Times New Roman"/>
      <w:sz w:val="24"/>
      <w:szCs w:val="24"/>
    </w:rPr>
  </w:style>
  <w:style w:type="character" w:customStyle="1" w:styleId="61">
    <w:name w:val="正文文本 字符1"/>
    <w:semiHidden/>
    <w:qFormat/>
    <w:uiPriority w:val="0"/>
    <w:rPr>
      <w:rFonts w:ascii="Times New Roman" w:hAnsi="Times New Roman" w:eastAsia="宋体" w:cs="Times New Roman"/>
      <w:sz w:val="24"/>
      <w:szCs w:val="24"/>
    </w:rPr>
  </w:style>
  <w:style w:type="paragraph" w:customStyle="1" w:styleId="62">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63">
    <w:name w:val="表格 Char"/>
    <w:link w:val="64"/>
    <w:qFormat/>
    <w:locked/>
    <w:uiPriority w:val="0"/>
    <w:rPr>
      <w:rFonts w:ascii="宋体"/>
      <w:sz w:val="21"/>
    </w:rPr>
  </w:style>
  <w:style w:type="paragraph" w:customStyle="1" w:styleId="64">
    <w:name w:val="表格"/>
    <w:basedOn w:val="65"/>
    <w:link w:val="63"/>
    <w:qFormat/>
    <w:uiPriority w:val="0"/>
    <w:pPr>
      <w:adjustRightInd w:val="0"/>
      <w:snapToGrid w:val="0"/>
      <w:spacing w:beforeLines="10" w:afterLines="10" w:line="259" w:lineRule="auto"/>
      <w:jc w:val="center"/>
    </w:pPr>
    <w:rPr>
      <w:rFonts w:ascii="宋体"/>
      <w:kern w:val="0"/>
      <w:sz w:val="20"/>
      <w:szCs w:val="21"/>
    </w:rPr>
  </w:style>
  <w:style w:type="paragraph" w:customStyle="1" w:styleId="65">
    <w:name w:val="表头"/>
    <w:basedOn w:val="1"/>
    <w:next w:val="19"/>
    <w:qFormat/>
    <w:uiPriority w:val="0"/>
    <w:pPr>
      <w:adjustRightInd/>
      <w:snapToGrid/>
      <w:jc w:val="center"/>
      <w:outlineLvl w:val="9"/>
    </w:pPr>
    <w:rPr>
      <w:rFonts w:asciiTheme="minorHAnsi" w:hAnsiTheme="minorHAnsi" w:eastAsiaTheme="minorEastAsia" w:cstheme="minorBidi"/>
      <w:b/>
      <w:sz w:val="24"/>
      <w:szCs w:val="22"/>
    </w:rPr>
  </w:style>
  <w:style w:type="character" w:customStyle="1" w:styleId="66">
    <w:name w:val="批注文字 字符1"/>
    <w:semiHidden/>
    <w:qFormat/>
    <w:uiPriority w:val="0"/>
    <w:rPr>
      <w:rFonts w:ascii="Times New Roman" w:hAnsi="Times New Roman" w:eastAsia="宋体" w:cs="Times New Roman"/>
      <w:sz w:val="24"/>
      <w:szCs w:val="24"/>
    </w:rPr>
  </w:style>
  <w:style w:type="character" w:customStyle="1" w:styleId="67">
    <w:name w:val="普通(网站) Char"/>
    <w:qFormat/>
    <w:locked/>
    <w:uiPriority w:val="0"/>
    <w:rPr>
      <w:rFonts w:ascii="宋体" w:hAnsi="宋体" w:eastAsia="宋体"/>
      <w:sz w:val="24"/>
    </w:rPr>
  </w:style>
  <w:style w:type="paragraph" w:customStyle="1" w:styleId="68">
    <w:name w:val="正文 首行缩进:  2 字符"/>
    <w:basedOn w:val="1"/>
    <w:semiHidden/>
    <w:qFormat/>
    <w:uiPriority w:val="0"/>
    <w:rPr>
      <w:rFonts w:cs="宋体"/>
      <w:szCs w:val="20"/>
    </w:rPr>
  </w:style>
  <w:style w:type="paragraph" w:customStyle="1" w:styleId="69">
    <w:name w:val="正文（缩进）"/>
    <w:basedOn w:val="70"/>
    <w:next w:val="1"/>
    <w:qFormat/>
    <w:uiPriority w:val="99"/>
    <w:pPr>
      <w:ind w:firstLine="480"/>
    </w:pPr>
  </w:style>
  <w:style w:type="paragraph" w:customStyle="1" w:styleId="70">
    <w:name w:val="正文(首行缩进)"/>
    <w:basedOn w:val="1"/>
    <w:qFormat/>
    <w:uiPriority w:val="99"/>
  </w:style>
  <w:style w:type="paragraph" w:customStyle="1" w:styleId="71">
    <w:name w:val="表标题"/>
    <w:basedOn w:val="1"/>
    <w:next w:val="1"/>
    <w:qFormat/>
    <w:uiPriority w:val="0"/>
    <w:pPr>
      <w:spacing w:line="240" w:lineRule="auto"/>
      <w:ind w:firstLine="0" w:firstLineChars="0"/>
      <w:jc w:val="center"/>
    </w:pPr>
    <w:rPr>
      <w:b/>
      <w:kern w:val="0"/>
      <w:sz w:val="21"/>
      <w:szCs w:val="20"/>
    </w:rPr>
  </w:style>
  <w:style w:type="paragraph" w:customStyle="1" w:styleId="72">
    <w:name w:val="文本正文"/>
    <w:basedOn w:val="1"/>
    <w:qFormat/>
    <w:uiPriority w:val="0"/>
    <w:pPr>
      <w:snapToGrid w:val="0"/>
      <w:ind w:firstLine="510"/>
      <w:jc w:val="left"/>
    </w:pPr>
    <w:rPr>
      <w:spacing w:val="4"/>
      <w:kern w:val="24"/>
      <w:lang w:val="zh-CN"/>
    </w:rPr>
  </w:style>
  <w:style w:type="paragraph" w:customStyle="1" w:styleId="73">
    <w:name w:val="文字"/>
    <w:basedOn w:val="1"/>
    <w:qFormat/>
    <w:uiPriority w:val="99"/>
    <w:pPr>
      <w:spacing w:before="156" w:beforeLines="50" w:line="300" w:lineRule="auto"/>
      <w:ind w:firstLine="480"/>
    </w:pPr>
  </w:style>
  <w:style w:type="paragraph" w:customStyle="1" w:styleId="74">
    <w:name w:val="表格内容‘’"/>
    <w:basedOn w:val="1"/>
    <w:link w:val="75"/>
    <w:qFormat/>
    <w:uiPriority w:val="0"/>
    <w:pPr>
      <w:snapToGrid w:val="0"/>
      <w:spacing w:line="240" w:lineRule="auto"/>
      <w:ind w:firstLine="0" w:firstLineChars="0"/>
      <w:contextualSpacing/>
      <w:jc w:val="center"/>
    </w:pPr>
    <w:rPr>
      <w:color w:val="000000"/>
      <w:sz w:val="21"/>
      <w:szCs w:val="22"/>
    </w:rPr>
  </w:style>
  <w:style w:type="character" w:customStyle="1" w:styleId="75">
    <w:name w:val="表格内容‘’ 字符"/>
    <w:link w:val="74"/>
    <w:qFormat/>
    <w:uiPriority w:val="0"/>
    <w:rPr>
      <w:color w:val="000000"/>
      <w:kern w:val="2"/>
      <w:sz w:val="21"/>
      <w:szCs w:val="22"/>
    </w:rPr>
  </w:style>
  <w:style w:type="character" w:customStyle="1" w:styleId="76">
    <w:name w:val="新标题2 Char"/>
    <w:qFormat/>
    <w:uiPriority w:val="0"/>
    <w:rPr>
      <w:rFonts w:ascii="宋体" w:hAnsi="宋体" w:eastAsia="宋体"/>
      <w:kern w:val="2"/>
      <w:sz w:val="24"/>
      <w:szCs w:val="24"/>
      <w:lang w:val="en-US" w:eastAsia="zh-CN" w:bidi="ar-SA"/>
    </w:rPr>
  </w:style>
  <w:style w:type="paragraph" w:customStyle="1" w:styleId="77">
    <w:name w:val="Char Char Char Char"/>
    <w:basedOn w:val="1"/>
    <w:qFormat/>
    <w:uiPriority w:val="0"/>
  </w:style>
  <w:style w:type="paragraph" w:customStyle="1" w:styleId="78">
    <w:name w:val="WPSOffice手动目录 1"/>
    <w:qFormat/>
    <w:uiPriority w:val="0"/>
    <w:rPr>
      <w:rFonts w:ascii="Times New Roman" w:hAnsi="Times New Roman" w:eastAsia="宋体" w:cs="Times New Roman"/>
      <w:lang w:val="en-US" w:eastAsia="zh-CN" w:bidi="ar-SA"/>
    </w:rPr>
  </w:style>
  <w:style w:type="paragraph" w:customStyle="1" w:styleId="79">
    <w:name w:val="Char Char Char Char1"/>
    <w:basedOn w:val="1"/>
    <w:qFormat/>
    <w:uiPriority w:val="0"/>
    <w:pPr>
      <w:ind w:firstLine="200"/>
    </w:pPr>
    <w:rPr>
      <w:rFonts w:ascii="宋体" w:hAnsi="宋体" w:cs="宋体"/>
    </w:rPr>
  </w:style>
  <w:style w:type="paragraph" w:customStyle="1" w:styleId="80">
    <w:name w:val="图表文字注释"/>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paragraph" w:customStyle="1" w:styleId="81">
    <w:name w:val="表名"/>
    <w:basedOn w:val="1"/>
    <w:next w:val="64"/>
    <w:qFormat/>
    <w:uiPriority w:val="0"/>
    <w:pPr>
      <w:overflowPunct w:val="0"/>
      <w:spacing w:before="120" w:line="300" w:lineRule="exact"/>
      <w:textAlignment w:val="baseline"/>
    </w:pPr>
    <w:rPr>
      <w:rFonts w:eastAsia="黑体"/>
      <w:sz w:val="28"/>
      <w:szCs w:val="20"/>
    </w:rPr>
  </w:style>
  <w:style w:type="paragraph" w:customStyle="1" w:styleId="82">
    <w:name w:val="zw"/>
    <w:basedOn w:val="23"/>
    <w:qFormat/>
    <w:uiPriority w:val="0"/>
    <w:pPr>
      <w:shd w:val="clear" w:color="auto" w:fill="FFFFFF"/>
      <w:snapToGrid w:val="0"/>
      <w:spacing w:line="360" w:lineRule="auto"/>
      <w:ind w:firstLine="480"/>
    </w:pPr>
    <w:rPr>
      <w:snapToGrid w:val="0"/>
      <w:shd w:val="clear" w:color="auto" w:fill="FFFFFF"/>
    </w:rPr>
  </w:style>
  <w:style w:type="paragraph" w:customStyle="1" w:styleId="83">
    <w:name w:val="（一）正文"/>
    <w:qFormat/>
    <w:uiPriority w:val="0"/>
    <w:pPr>
      <w:widowControl w:val="0"/>
      <w:spacing w:line="360" w:lineRule="auto"/>
      <w:ind w:firstLine="480" w:firstLineChars="200"/>
      <w:jc w:val="both"/>
    </w:pPr>
    <w:rPr>
      <w:rFonts w:ascii="Calibri" w:hAnsi="Calibri" w:eastAsia="宋体" w:cs="Times New Roman"/>
      <w:kern w:val="2"/>
      <w:sz w:val="24"/>
      <w:szCs w:val="21"/>
      <w:lang w:val="en-US" w:eastAsia="zh-CN" w:bidi="ar-SA"/>
    </w:rPr>
  </w:style>
  <w:style w:type="paragraph" w:customStyle="1" w:styleId="84">
    <w:name w:val="表格1"/>
    <w:basedOn w:val="1"/>
    <w:qFormat/>
    <w:uiPriority w:val="0"/>
    <w:pPr>
      <w:autoSpaceDE w:val="0"/>
      <w:autoSpaceDN w:val="0"/>
      <w:spacing w:line="240" w:lineRule="auto"/>
      <w:ind w:firstLine="0" w:firstLineChars="0"/>
      <w:jc w:val="center"/>
    </w:pPr>
    <w:rPr>
      <w:kern w:val="0"/>
      <w:sz w:val="21"/>
    </w:rPr>
  </w:style>
  <w:style w:type="character" w:customStyle="1" w:styleId="85">
    <w:name w:val="NormalCharacter"/>
    <w:qFormat/>
    <w:uiPriority w:val="0"/>
  </w:style>
  <w:style w:type="paragraph" w:customStyle="1" w:styleId="86">
    <w:name w:val="段"/>
    <w:basedOn w:val="1"/>
    <w:semiHidden/>
    <w:qFormat/>
    <w:uiPriority w:val="0"/>
    <w:pPr>
      <w:topLinePunct/>
      <w:adjustRightInd w:val="0"/>
      <w:spacing w:line="440" w:lineRule="exact"/>
      <w:ind w:firstLine="560"/>
    </w:pPr>
    <w:rPr>
      <w:rFonts w:ascii="宋体" w:hAnsi="宋体" w:cs="Sendnya"/>
      <w:lang w:val="zh-CN" w:bidi="or-IN"/>
    </w:rPr>
  </w:style>
  <w:style w:type="paragraph" w:customStyle="1" w:styleId="87">
    <w:name w:val="表中文字-lxd"/>
    <w:next w:val="1"/>
    <w:qFormat/>
    <w:uiPriority w:val="0"/>
    <w:pPr>
      <w:widowControl w:val="0"/>
      <w:tabs>
        <w:tab w:val="center" w:pos="383"/>
      </w:tabs>
      <w:jc w:val="center"/>
    </w:pPr>
    <w:rPr>
      <w:rFonts w:ascii="Times New Roman" w:hAnsi="Times New Roman" w:eastAsia="宋体" w:cs="Arial"/>
      <w:kern w:val="2"/>
      <w:sz w:val="21"/>
      <w:szCs w:val="24"/>
      <w:lang w:val="en-US" w:eastAsia="zh-CN" w:bidi="ar-SA"/>
    </w:rPr>
  </w:style>
  <w:style w:type="paragraph" w:customStyle="1" w:styleId="88">
    <w:name w:val="正文首行缩进 21"/>
    <w:basedOn w:val="1"/>
    <w:qFormat/>
    <w:uiPriority w:val="0"/>
    <w:pPr>
      <w:spacing w:before="100" w:beforeAutospacing="1" w:after="120"/>
      <w:ind w:left="200" w:leftChars="200" w:firstLine="420"/>
    </w:pPr>
    <w:rPr>
      <w:rFonts w:ascii="Calibri" w:hAnsi="Calibri"/>
      <w:sz w:val="28"/>
      <w:szCs w:val="28"/>
    </w:rPr>
  </w:style>
  <w:style w:type="paragraph" w:customStyle="1" w:styleId="89">
    <w:name w:val="表格文字"/>
    <w:basedOn w:val="71"/>
    <w:qFormat/>
    <w:uiPriority w:val="0"/>
    <w:pPr>
      <w:wordWrap w:val="0"/>
    </w:pPr>
  </w:style>
  <w:style w:type="paragraph" w:customStyle="1" w:styleId="90">
    <w:name w:val="XG图名"/>
    <w:basedOn w:val="1"/>
    <w:qFormat/>
    <w:uiPriority w:val="0"/>
    <w:pPr>
      <w:spacing w:after="50" w:afterLines="50"/>
      <w:jc w:val="center"/>
    </w:pPr>
    <w:rPr>
      <w:b/>
      <w:szCs w:val="21"/>
    </w:rPr>
  </w:style>
  <w:style w:type="paragraph" w:customStyle="1" w:styleId="91">
    <w:name w:val="正文1"/>
    <w:qFormat/>
    <w:uiPriority w:val="0"/>
    <w:pPr>
      <w:widowControl w:val="0"/>
      <w:adjustRightInd w:val="0"/>
      <w:snapToGrid w:val="0"/>
      <w:spacing w:afterLines="50" w:line="300" w:lineRule="auto"/>
      <w:ind w:firstLine="200" w:firstLineChars="200"/>
      <w:jc w:val="both"/>
    </w:pPr>
    <w:rPr>
      <w:rFonts w:ascii="宋体" w:hAnsiTheme="minorHAnsi" w:eastAsiaTheme="minorEastAsia" w:cstheme="minorBidi"/>
      <w:spacing w:val="10"/>
      <w:kern w:val="2"/>
      <w:sz w:val="24"/>
      <w:szCs w:val="32"/>
      <w:lang w:val="en-US" w:eastAsia="zh-CN" w:bidi="ar-SA"/>
    </w:rPr>
  </w:style>
  <w:style w:type="paragraph" w:customStyle="1" w:styleId="92">
    <w:name w:val="_Style 5"/>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93">
    <w:name w:val="正文4"/>
    <w:basedOn w:val="1"/>
    <w:qFormat/>
    <w:uiPriority w:val="0"/>
    <w:pPr>
      <w:autoSpaceDE w:val="0"/>
      <w:autoSpaceDN w:val="0"/>
      <w:adjustRightInd w:val="0"/>
    </w:pPr>
    <w:rPr>
      <w:rFonts w:hAnsi="宋体"/>
      <w:szCs w:val="28"/>
    </w:rPr>
  </w:style>
  <w:style w:type="paragraph" w:customStyle="1" w:styleId="94">
    <w:name w:val="正文样"/>
    <w:basedOn w:val="1"/>
    <w:qFormat/>
    <w:uiPriority w:val="0"/>
    <w:pPr>
      <w:spacing w:line="360" w:lineRule="auto"/>
      <w:ind w:firstLine="480" w:firstLineChars="200"/>
    </w:pPr>
    <w:rPr>
      <w:rFonts w:ascii="仿宋" w:hAnsi="仿宋" w:eastAsia="仿宋" w:cs="Times New Roman"/>
      <w:color w:val="FF0000"/>
      <w:sz w:val="24"/>
      <w:szCs w:val="24"/>
    </w:rPr>
  </w:style>
  <w:style w:type="paragraph" w:customStyle="1" w:styleId="95">
    <w:name w:val="4级"/>
    <w:basedOn w:val="1"/>
    <w:qFormat/>
    <w:uiPriority w:val="0"/>
    <w:pPr>
      <w:spacing w:before="120" w:line="360" w:lineRule="auto"/>
      <w:outlineLvl w:val="3"/>
    </w:pPr>
    <w:rPr>
      <w:b/>
      <w:bCs/>
      <w:szCs w:val="22"/>
    </w:rPr>
  </w:style>
  <w:style w:type="paragraph" w:customStyle="1" w:styleId="96">
    <w:name w:val="表格正文"/>
    <w:qFormat/>
    <w:uiPriority w:val="0"/>
    <w:pPr>
      <w:framePr w:wrap="notBeside" w:vAnchor="margin" w:hAnchor="text" w:xAlign="center" w:yAlign="center"/>
      <w:jc w:val="center"/>
    </w:pPr>
    <w:rPr>
      <w:rFonts w:ascii="宋体" w:hAnsi="Times New Roman" w:eastAsia="宋体" w:cs="Times New Roman"/>
      <w:kern w:val="2"/>
      <w:sz w:val="21"/>
      <w:szCs w:val="21"/>
      <w:lang w:val="en-US" w:eastAsia="zh-CN" w:bidi="ar-SA"/>
    </w:rPr>
  </w:style>
  <w:style w:type="paragraph" w:customStyle="1" w:styleId="97">
    <w:name w:val="图后名"/>
    <w:basedOn w:val="90"/>
    <w:qFormat/>
    <w:uiPriority w:val="0"/>
    <w:pPr>
      <w:spacing w:afterLines="50" w:line="360" w:lineRule="auto"/>
    </w:pPr>
    <w:rPr>
      <w:rFonts w:ascii="Times New Roman" w:hAnsi="Times New Roman"/>
      <w:sz w:val="24"/>
    </w:rPr>
  </w:style>
  <w:style w:type="paragraph" w:customStyle="1" w:styleId="98">
    <w:name w:val="5正文"/>
    <w:basedOn w:val="1"/>
    <w:qFormat/>
    <w:uiPriority w:val="0"/>
    <w:pPr>
      <w:spacing w:line="360" w:lineRule="auto"/>
      <w:ind w:firstLine="200" w:firstLineChars="200"/>
    </w:pPr>
    <w:rPr>
      <w:rFonts w:ascii="Times New Roman" w:hAnsi="Times New Roman" w:eastAsia="仿宋_GB2312"/>
      <w:bCs/>
      <w:sz w:val="24"/>
      <w:szCs w:val="24"/>
    </w:rPr>
  </w:style>
  <w:style w:type="paragraph" w:customStyle="1" w:styleId="99">
    <w:name w:val="表头：样式 五号 加粗 居中 行距: 多倍行距 1.15 字行 首行缩进:  0 字符"/>
    <w:basedOn w:val="1"/>
    <w:qFormat/>
    <w:uiPriority w:val="0"/>
    <w:pPr>
      <w:spacing w:line="276" w:lineRule="auto"/>
      <w:ind w:firstLine="480" w:firstLineChars="200"/>
      <w:jc w:val="center"/>
    </w:pPr>
    <w:rPr>
      <w:rFonts w:ascii="Times New Roman" w:hAnsi="Times New Roman" w:cs="宋体"/>
      <w:b/>
      <w:bCs/>
      <w:sz w:val="24"/>
    </w:rPr>
  </w:style>
  <w:style w:type="paragraph" w:customStyle="1" w:styleId="100">
    <w:name w:val="表内1：样式 (中文) 仿宋 五号 居中 行距: 单倍行距 首行缩进:  0 字符"/>
    <w:basedOn w:val="1"/>
    <w:qFormat/>
    <w:uiPriority w:val="0"/>
    <w:pPr>
      <w:spacing w:line="360" w:lineRule="auto"/>
      <w:ind w:firstLine="480" w:firstLineChars="200"/>
      <w:jc w:val="center"/>
    </w:pPr>
    <w:rPr>
      <w:rFonts w:ascii="Times New Roman" w:hAnsi="Times New Roman" w:eastAsia="仿宋" w:cs="宋体"/>
      <w:sz w:val="24"/>
    </w:rPr>
  </w:style>
  <w:style w:type="paragraph" w:customStyle="1" w:styleId="101">
    <w:name w:val="图名索引"/>
    <w:basedOn w:val="1"/>
    <w:next w:val="1"/>
    <w:qFormat/>
    <w:uiPriority w:val="0"/>
    <w:pPr>
      <w:spacing w:after="0" w:afterLines="0"/>
      <w:ind w:firstLine="0" w:firstLineChars="0"/>
      <w:jc w:val="center"/>
    </w:pPr>
    <w:rPr>
      <w:kern w:val="21"/>
      <w:sz w:val="21"/>
      <w:szCs w:val="28"/>
    </w:rPr>
  </w:style>
  <w:style w:type="paragraph" w:customStyle="1" w:styleId="102">
    <w:name w:val="sy正文"/>
    <w:basedOn w:val="1"/>
    <w:qFormat/>
    <w:uiPriority w:val="0"/>
    <w:pPr>
      <w:adjustRightInd w:val="0"/>
      <w:snapToGrid w:val="0"/>
      <w:spacing w:line="360" w:lineRule="auto"/>
      <w:ind w:firstLine="200" w:firstLineChars="200"/>
    </w:pPr>
    <w:rPr>
      <w:sz w:val="24"/>
      <w:szCs w:val="28"/>
      <w:lang w:val="zh-CN"/>
    </w:rPr>
  </w:style>
  <w:style w:type="paragraph" w:customStyle="1" w:styleId="103">
    <w:name w:val="表头名"/>
    <w:basedOn w:val="94"/>
    <w:qFormat/>
    <w:uiPriority w:val="0"/>
    <w:pPr>
      <w:ind w:firstLine="0" w:firstLineChars="0"/>
      <w:jc w:val="center"/>
    </w:pPr>
    <w:rPr>
      <w:b/>
      <w:bCs/>
      <w:sz w:val="24"/>
      <w:szCs w:val="21"/>
    </w:rPr>
  </w:style>
  <w:style w:type="paragraph" w:customStyle="1" w:styleId="104">
    <w:name w:val="B正文"/>
    <w:basedOn w:val="1"/>
    <w:qFormat/>
    <w:uiPriority w:val="0"/>
    <w:pPr>
      <w:spacing w:line="360" w:lineRule="auto"/>
      <w:ind w:firstLine="480" w:firstLineChars="200"/>
    </w:pPr>
    <w:rPr>
      <w:rFonts w:ascii="Arial" w:hAnsi="Arial"/>
      <w:sz w:val="24"/>
      <w:szCs w:val="21"/>
    </w:rPr>
  </w:style>
  <w:style w:type="table" w:customStyle="1" w:styleId="105">
    <w:name w:val="Table Normal"/>
    <w:unhideWhenUsed/>
    <w:qFormat/>
    <w:uiPriority w:val="0"/>
    <w:tblPr>
      <w:tblCellMar>
        <w:top w:w="0" w:type="dxa"/>
        <w:left w:w="0" w:type="dxa"/>
        <w:bottom w:w="0" w:type="dxa"/>
        <w:right w:w="0" w:type="dxa"/>
      </w:tblCellMar>
    </w:tblPr>
  </w:style>
  <w:style w:type="paragraph" w:customStyle="1" w:styleId="106">
    <w:name w:val="表格居中"/>
    <w:basedOn w:val="1"/>
    <w:qFormat/>
    <w:uiPriority w:val="0"/>
    <w:pPr>
      <w:spacing w:line="240" w:lineRule="auto"/>
      <w:jc w:val="center"/>
    </w:pPr>
    <w:rPr>
      <w:rFonts w:ascii="Times New Roman" w:hAnsi="Times New Roman"/>
      <w:sz w:val="21"/>
    </w:rPr>
  </w:style>
  <w:style w:type="paragraph" w:customStyle="1" w:styleId="107">
    <w:name w:val="正文2"/>
    <w:qFormat/>
    <w:uiPriority w:val="0"/>
    <w:pPr>
      <w:jc w:val="center"/>
    </w:pPr>
    <w:rPr>
      <w:rFonts w:ascii="等线" w:hAnsi="等线" w:eastAsia="宋体" w:cs="宋体"/>
      <w:kern w:val="2"/>
      <w:sz w:val="24"/>
      <w:szCs w:val="21"/>
      <w:lang w:val="en-US" w:eastAsia="zh-CN" w:bidi="ar-SA"/>
    </w:rPr>
  </w:style>
  <w:style w:type="paragraph" w:customStyle="1" w:styleId="108">
    <w:name w:val="文档正文"/>
    <w:basedOn w:val="1"/>
    <w:qFormat/>
    <w:uiPriority w:val="0"/>
    <w:pPr>
      <w:ind w:firstLine="200"/>
    </w:pPr>
  </w:style>
  <w:style w:type="paragraph" w:customStyle="1" w:styleId="10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image" Target="media/image13.wmf"/><Relationship Id="rId31" Type="http://schemas.openxmlformats.org/officeDocument/2006/relationships/image" Target="media/image12.wmf"/><Relationship Id="rId30" Type="http://schemas.openxmlformats.org/officeDocument/2006/relationships/image" Target="media/image11.e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0.emf"/><Relationship Id="rId27" Type="http://schemas.openxmlformats.org/officeDocument/2006/relationships/oleObject" Target="embeddings/oleObject4.bin"/><Relationship Id="rId26" Type="http://schemas.openxmlformats.org/officeDocument/2006/relationships/image" Target="media/image9.emf"/><Relationship Id="rId25" Type="http://schemas.openxmlformats.org/officeDocument/2006/relationships/oleObject" Target="embeddings/oleObject3.bin"/><Relationship Id="rId24" Type="http://schemas.openxmlformats.org/officeDocument/2006/relationships/image" Target="media/image8.emf"/><Relationship Id="rId23" Type="http://schemas.openxmlformats.org/officeDocument/2006/relationships/oleObject" Target="embeddings/oleObject2.bin"/><Relationship Id="rId22" Type="http://schemas.openxmlformats.org/officeDocument/2006/relationships/image" Target="media/image7.png"/><Relationship Id="rId21" Type="http://schemas.openxmlformats.org/officeDocument/2006/relationships/image" Target="media/image6.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e301bf31-f1ba-4033-b4fd-a4636c31b9d2</errorID>
      <errorWord>设置</errorWord>
      <group>L1_Word</group>
      <groupName>字词问题</groupName>
      <ability>L2_Typo</ability>
      <abilityName>字词错误</abilityName>
      <candidateList>
        <item>设施</item>
      </candidateList>
      <explain/>
      <paraID>542AFDDE</paraID>
      <start>34</start>
      <end>36</end>
      <status>ignored</status>
      <modifiedWord/>
      <trackRevisions>false</trackRevisions>
    </reviewItem>
    <reviewItem>
      <errorID>3dad1101-4a9a-4de4-8bb0-a5eab7aa79bc</errorID>
      <errorWord>提</errorWord>
      <group>L1_Word</group>
      <groupName>字词问题</groupName>
      <ability>L2_Typo</ability>
      <abilityName>字词错误</abilityName>
      <candidateList>
        <item>提出</item>
      </candidateList>
      <explain/>
      <paraID>78DAB919</paraID>
      <start>78</start>
      <end>80</end>
      <status>modified</status>
      <modifiedWord>提出</modifiedWord>
      <trackRevisions>false</trackRevisions>
    </reviewItem>
    <reviewItem>
      <errorID>1946e4d5-b9e7-4492-ad57-f8eee6ddb600</errorID>
      <errorWord>务</errorWord>
      <group>L1_Word</group>
      <groupName>字词问题</groupName>
      <ability>L2_Typo</ability>
      <abilityName>字词错误</abilityName>
      <candidateList>
        <item>务是</item>
      </candidateList>
      <explain/>
      <paraID> 8986DB9</paraID>
      <start>51</start>
      <end>52</end>
      <status>unmodified</status>
      <modifiedWord/>
      <trackRevisions>false</trackRevisions>
    </reviewItem>
    <reviewItem>
      <errorID>50886795-fb14-46cd-9ea3-1e26ecafa42e</errorID>
      <errorWord>各</errorWord>
      <group>L1_Word</group>
      <groupName>字词问题</groupName>
      <ability>L2_Typo</ability>
      <abilityName>字词错误</abilityName>
      <candidateList>
        <item>各项</item>
      </candidateList>
      <explain/>
      <paraID>24F3B047</paraID>
      <start>38</start>
      <end>39</end>
      <status>unmodified</status>
      <modifiedWord/>
      <trackRevisions>false</trackRevisions>
    </reviewItem>
    <reviewItem>
      <errorID>8e7d799f-ead6-44b6-b2b6-6e5926501192</errorID>
      <errorWord>令友</errorWord>
      <group>L1_Word</group>
      <groupName>字词问题</groupName>
      <ability>L2_Typo</ability>
      <abilityName>字词错误</abilityName>
      <candidateList>
        <item>良友</item>
      </candidateList>
      <explain>存在发音相近字词的误用。</explain>
      <paraID> 8D9E61F</paraID>
      <start>93</start>
      <end>95</end>
      <status>ignored</status>
      <modifiedWord/>
      <trackRevisions>false</trackRevisions>
    </reviewItem>
    <reviewItem>
      <errorID>aec1b4c5-11f0-46cb-a2bd-38e04ab18d81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364A048C</paraID>
      <start>24</start>
      <end>25</end>
      <status>ignored</status>
      <modifiedWord/>
      <trackRevisions>false</trackRevisions>
    </reviewItem>
    <reviewItem>
      <errorID>cc6594c1-1234-4bde-addd-a1fcf0ca590e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364A048C</paraID>
      <start>129</start>
      <end>130</end>
      <status>ignored</status>
      <modifiedWord/>
      <trackRevisions>false</trackRevisions>
    </reviewItem>
    <reviewItem>
      <errorID>b930463c-995b-44b8-8b65-a8225c160b06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509D42DA</paraID>
      <start>27</start>
      <end>28</end>
      <status>ignored</status>
      <modifiedWord/>
      <trackRevisions>false</trackRevisions>
    </reviewItem>
    <reviewItem>
      <errorID>6312c5cd-a64b-4b4c-bf92-ecf4d9f760dd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509D42DA</paraID>
      <start>125</start>
      <end>126</end>
      <status>ignored</status>
      <modifiedWord/>
      <trackRevisions>false</trackRevisions>
    </reviewItem>
    <reviewItem>
      <errorID>cfc25d63-13fb-4867-974c-81ef3990f7e4</errorID>
      <errorWord>土壤监测</errorWord>
      <group>L1_Word</group>
      <groupName>字词问题</groupName>
      <ability>L2_Typo</ability>
      <abilityName>字词错误</abilityName>
      <candidateList>
        <item>土壤检测</item>
      </candidateList>
      <explain/>
      <paraID>545D7728</paraID>
      <start>4</start>
      <end>8</end>
      <status>ignored</status>
      <modifiedWord/>
      <trackRevisions>false</trackRevisions>
    </reviewItem>
    <reviewItem>
      <errorID>f37c2bbe-5756-4e4d-a268-0363f80bd08f</errorID>
      <errorWord>地下水年</errorWord>
      <group>L1_Word</group>
      <groupName>字词问题</groupName>
      <ability>L2_Typo</ability>
      <abilityName>字词错误</abilityName>
      <candidateList>
        <item>地下水面</item>
      </candidateList>
      <explain>存在发音相近字词的误用。</explain>
      <paraID>4C5F7F38</paraID>
      <start>178</start>
      <end>182</end>
      <status>ignored</status>
      <modifiedWord/>
      <trackRevisions>false</trackRevisions>
    </reviewItem>
    <reviewItem>
      <errorID>2af8c912-57a3-4c32-bcab-4daa0b2a4f88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47985B58</paraID>
      <start>68</start>
      <end>69</end>
      <status>unmodified</status>
      <modifiedWord/>
      <trackRevisions>false</trackRevisions>
    </reviewItem>
    <reviewItem>
      <errorID>3dcea5a4-5de6-4a5a-a319-553cf49aa928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47985B58</paraID>
      <start>138</start>
      <end>139</end>
      <status>unmodified</status>
      <modifiedWord/>
      <trackRevisions>false</trackRevisions>
    </reviewItem>
    <reviewItem>
      <errorID>0247498c-6443-4ef8-8c23-dba4f88713a6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59F0BCC1</paraID>
      <start>33</start>
      <end>34</end>
      <status>unmodified</status>
      <modifiedWord/>
      <trackRevisions>false</trackRevisions>
    </reviewItem>
    <reviewItem>
      <errorID>a3a88ea3-3b67-4ac0-af40-7aa0361a9621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59F0BCC1</paraID>
      <start>131</start>
      <end>132</end>
      <status>unmodified</status>
      <modifiedWord/>
      <trackRevisions>false</trackRevisions>
    </reviewItem>
    <reviewItem>
      <errorID>64290913-13f9-4937-b7e8-a29cb557d55c</errorID>
      <errorWord>包括了</errorWord>
      <group>L1_Word</group>
      <groupName>字词问题</groupName>
      <ability>L2_Typo</ability>
      <abilityName>字词错误</abilityName>
      <candidateList>
        <item>包括</item>
      </candidateList>
      <explain/>
      <paraID>2F365676</paraID>
      <start>24</start>
      <end>27</end>
      <status>ignored</status>
      <modifiedWord/>
      <trackRevisions>false</trackRevisions>
    </reviewItem>
    <reviewItem>
      <errorID>6e79ac59-f0e6-4d0f-9d4b-8a85f9a7a4a0</errorID>
      <errorWord>来自于</errorWord>
      <group>L1_Word</group>
      <groupName>字词问题</groupName>
      <ability>L2_Typo</ability>
      <abilityName>字词错误</abilityName>
      <candidateList>
        <item>来自</item>
      </candidateList>
      <explain/>
      <paraID>29A151A3</paraID>
      <start>252</start>
      <end>255</end>
      <status>unmodified</status>
      <modifiedWord/>
      <trackRevisions>false</trackRevisions>
    </reviewItem>
    <reviewItem>
      <errorID>8e7d5e45-893a-4701-8234-a77002bdad24</errorID>
      <errorWord>覆</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41D4E122</paraID>
      <start>8</start>
      <end>9</end>
      <status>unmodified</status>
      <modifiedWord/>
      <trackRevisions>false</trackRevisions>
    </reviewItem>
    <reviewItem>
      <errorID>52313261-0376-4625-8855-cc125ab694f1</errorID>
      <errorWord>覆</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7DBC2DBF</paraID>
      <start>8</start>
      <end>9</end>
      <status>unmodified</status>
      <modifiedWord/>
      <trackRevisions>false</trackRevisions>
    </reviewItem>
    <reviewItem>
      <errorID>4c459664-40de-46fa-b847-bcd2c9f62ae8</errorID>
      <errorWord>板结等</errorWord>
      <group>L1_Word</group>
      <groupName>字词问题</groupName>
      <ability>L2_Typo</ability>
      <abilityName>字词错误</abilityName>
      <candidateList>
        <item>板结</item>
      </candidateList>
      <explain/>
      <paraID>576CC101</paraID>
      <start>42</start>
      <end>45</end>
      <status>unmodified</status>
      <modifiedWord/>
      <trackRevisions>false</trackRevisions>
    </reviewItem>
    <reviewItem>
      <errorID>068b15bf-afac-4531-86fd-84df2000f862</errorID>
      <errorWord>采</errorWord>
      <group>L1_Word</group>
      <groupName>字词问题</groupName>
      <ability>L2_Typo</ability>
      <abilityName>字词错误</abilityName>
      <candidateList>
        <item>采石</item>
      </candidateList>
      <explain/>
      <paraID>7C50F986</paraID>
      <start>111</start>
      <end>112</end>
      <status>unmodified</status>
      <modifiedWord/>
      <trackRevisions>false</trackRevisions>
    </reviewItem>
    <reviewItem>
      <errorID>38637912-8abb-4b5e-9736-cdf2268b1929</errorID>
      <errorWord>成</errorWord>
      <group>L1_Word</group>
      <groupName>字词问题</groupName>
      <ability>L2_Typo</ability>
      <abilityName>字词错误</abilityName>
      <candidateList>
        <item>成后</item>
      </candidateList>
      <explain/>
      <paraID>54A8085B</paraID>
      <start>58</start>
      <end>59</end>
      <status>unmodified</status>
      <modifiedWord/>
      <trackRevisions>false</trackRevisions>
    </reviewItem>
    <reviewItem>
      <errorID>50439eb8-29f4-455f-9562-f5d7283371e2</errorID>
      <errorWord>导排</errorWord>
      <group>L1_Word</group>
      <groupName>字词问题</groupName>
      <ability>L2_Typo</ability>
      <abilityName>字词错误</abilityName>
      <candidateList>
        <item>倒排</item>
      </candidateList>
      <explain/>
      <paraID> 795E4E2</paraID>
      <start>124</start>
      <end>126</end>
      <status>unmodified</status>
      <modifiedWord/>
      <trackRevisions>false</trackRevisions>
    </reviewItem>
    <reviewItem>
      <errorID>86612050-9351-4703-a4e9-39a290771f3f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658CCA5E</paraID>
      <start>122</start>
      <end>123</end>
      <status>unmodified</status>
      <modifiedWord/>
      <trackRevisions>false</trackRevisions>
    </reviewItem>
    <reviewItem>
      <errorID>d5d43363-9b22-4f50-a4ae-fe5e99494f76</errorID>
      <errorWord>纳基</errorWord>
      <group>L1_Word</group>
      <groupName>字词问题</groupName>
      <ability>L2_Typo</ability>
      <abilityName>字词错误</abilityName>
      <candidateList>
        <item>钠基</item>
      </candidateList>
      <explain/>
      <paraID>5E393317</paraID>
      <start>41</start>
      <end>43</end>
      <status>unmodified</status>
      <modifiedWord/>
      <trackRevisions>false</trackRevisions>
    </reviewItem>
    <reviewItem>
      <errorID>1724d556-9c13-436d-97ee-1ad3e5d17128</errorID>
      <errorWord>地下水检测</errorWord>
      <group>L1_Word</group>
      <groupName>字词问题</groupName>
      <ability>L2_Typo</ability>
      <abilityName>字词错误</abilityName>
      <candidateList>
        <item>地下水监测</item>
      </candidateList>
      <explain/>
      <paraID>3CB1D91C</paraID>
      <start>95</start>
      <end>100</end>
      <status>unmodified</status>
      <modifiedWord/>
      <trackRevisions>false</trackRevisions>
    </reviewItem>
    <reviewItem>
      <errorID>e8d81a22-393f-484a-950d-11eceff16a23</errorID>
      <errorWord>粘土</errorWord>
      <group>L1_Word</group>
      <groupName>字词问题</groupName>
      <ability>L2_Typo</ability>
      <abilityName>字词错误</abilityName>
      <candidateList>
        <item>黏土</item>
      </candidateList>
      <explain>存在发音相同字词的误用。</explain>
      <paraID>30AFEEEB</paraID>
      <start>0</start>
      <end>2</end>
      <status>modified</status>
      <modifiedWord>黏土</modifiedWord>
      <trackRevisions>false</trackRevisions>
    </reviewItem>
    <reviewItem>
      <errorID>809e54df-4554-45ad-ac47-4f57a65dc4b0</errorID>
      <errorWord>纳基</errorWord>
      <group>L1_Word</group>
      <groupName>字词问题</groupName>
      <ability>L2_Typo</ability>
      <abilityName>字词错误</abilityName>
      <candidateList>
        <item>钠基</item>
      </candidateList>
      <explain/>
      <paraID>717B2774</paraID>
      <start>8</start>
      <end>10</end>
      <status>ignored</status>
      <modifiedWord/>
      <trackRevisions>false</trackRevisions>
    </reviewItem>
    <reviewItem>
      <errorID>6588f9e7-158d-49a0-a2ed-32eb364d4e07</errorID>
      <errorWord>采</errorWord>
      <group>L1_Word</group>
      <groupName>字词问题</groupName>
      <ability>L2_Typo</ability>
      <abilityName>字词错误</abilityName>
      <candidateList>
        <item>采石</item>
      </candidateList>
      <explain/>
      <paraID>6E2F45EC</paraID>
      <start>111</start>
      <end>112</end>
      <status>unmodified</status>
      <modifiedWord/>
      <trackRevisions>false</trackRevisions>
    </reviewItem>
    <reviewItem>
      <errorID>5abd1251-16e4-4926-b6ea-87165cf36843</errorID>
      <errorWord>粘接</errorWord>
      <group>L1_Word</group>
      <groupName>字词问题</groupName>
      <ability>L2_Typo</ability>
      <abilityName>字词错误</abilityName>
      <candidateList>
        <item>黏接</item>
      </candidateList>
      <explain>存在发音相同字词的误用。</explain>
      <paraID>7E664E69</paraID>
      <start>19</start>
      <end>21</end>
      <status>ignored</status>
      <modifiedWord/>
      <trackRevisions>false</trackRevisions>
    </reviewItem>
    <reviewItem>
      <errorID>fd004b0a-a791-4c72-97c3-04c81efdb593</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5F7D7F8D</paraID>
      <start>142</start>
      <end>145</end>
      <status>unmodified</status>
      <modifiedWord/>
      <trackRevisions>false</trackRevisions>
    </reviewItem>
    <reviewItem>
      <errorID>0618b299-39b7-4cce-9ac2-72153376617e</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5F7D7F8D</paraID>
      <start>166</start>
      <end>169</end>
      <status>ignored</status>
      <modifiedWord/>
      <trackRevisions>false</trackRevisions>
    </reviewItem>
    <reviewItem>
      <errorID>8a1a5f84-c3a7-43d6-92c3-5bf2838b8907</errorID>
      <errorWord>土壤检测</errorWord>
      <group>L1_Word</group>
      <groupName>字词问题</groupName>
      <ability>L2_Typo</ability>
      <abilityName>字词错误</abilityName>
      <candidateList>
        <item>土壤监测</item>
      </candidateList>
      <explain/>
      <paraID>10C8C21B</paraID>
      <start>11</start>
      <end>15</end>
      <status>ignored</status>
      <modifiedWord/>
      <trackRevisions>false</trackRevisions>
    </reviewItem>
    <reviewItem>
      <errorID>666f70f8-bee5-4901-b468-c8186db32ae9</errorID>
      <errorWord>土壤检测</errorWord>
      <group>L1_Word</group>
      <groupName>字词问题</groupName>
      <ability>L2_Typo</ability>
      <abilityName>字词错误</abilityName>
      <candidateList>
        <item>土壤监测</item>
      </candidateList>
      <explain/>
      <paraID>107CAF9B</paraID>
      <start>11</start>
      <end>15</end>
      <status>ignored</status>
      <modifiedWord/>
      <trackRevisions>false</trackRevisions>
    </reviewItem>
    <reviewItem>
      <errorID>9d20871a-8bb5-45a6-a589-c84c2f21241b</errorID>
      <errorWord>侧游</errorWord>
      <group>L1_Word</group>
      <groupName>字词问题</groupName>
      <ability>L2_Typo</ability>
      <abilityName>字词错误</abilityName>
      <candidateList>
        <item>侧</item>
      </candidateList>
      <explain/>
      <paraID>2E7196D0</paraID>
      <start>151</start>
      <end>153</end>
      <status>ignored</status>
      <modifiedWord/>
      <trackRevisions>false</trackRevisions>
    </reviewItem>
    <reviewItem>
      <errorID>0e4ee2c0-b878-46ef-a110-42d1588c65e1</errorID>
      <errorWord>监测点应</errorWord>
      <group>L1_Knowledge</group>
      <groupName>知识性问题</groupName>
      <ability>L2_Term</ability>
      <abilityName>专业术语</abilityName>
      <candidateList>
        <item>监测点位</item>
      </candidateList>
      <explain/>
      <paraID>59CE25CC</paraID>
      <start>163</start>
      <end>167</end>
      <status>ignored</status>
      <modifiedWord/>
      <trackRevisions>false</trackRevisions>
    </reviewItem>
    <reviewItem>
      <errorID>2a09821f-da84-4447-b9d8-c13d8536d8c7</errorID>
      <errorWord>甸</errorWord>
      <group>L1_Word</group>
      <groupName>字词问题</groupName>
      <ability>L2_Typo</ability>
      <abilityName>字词错误</abilityName>
      <candidateList>
        <item>甸县</item>
      </candidateList>
      <explain/>
      <paraID>29F75DA2</paraID>
      <start>4</start>
      <end>5</end>
      <status>unmodified</status>
      <modifiedWord/>
      <trackRevisions>false</trackRevisions>
    </reviewItem>
    <reviewItem>
      <errorID>67e0cfce-8e0a-4739-a13f-b0347bc3f1df</errorID>
      <errorWord>已发</errorWord>
      <group>L1_Word</group>
      <groupName>字词问题</groupName>
      <ability>L2_Typo</ability>
      <abilityName>字词错误</abilityName>
      <candidateList>
        <item>印发</item>
      </candidateList>
      <explain>存在发音相近字词的误用。</explain>
      <paraID>19D1EA32</paraID>
      <start>164</start>
      <end>166</end>
      <status>unmodified</status>
      <modifiedWord/>
      <trackRevisions>false</trackRevisions>
    </reviewItem>
    <reviewItem>
      <errorID>a4914a42-8d74-46de-a833-3957402d9dd1</errorID>
      <errorWord>地址</errorWord>
      <group>L1_Word</group>
      <groupName>字词问题</groupName>
      <ability>L2_Typo</ability>
      <abilityName>字词错误</abilityName>
      <candidateList>
        <item>地质</item>
      </candidateList>
      <explain/>
      <paraID>27F6A7A5</paraID>
      <start>4</start>
      <end>6</end>
      <status>unmodified</status>
      <modifiedWord/>
      <trackRevisions>false</trackRevisions>
    </reviewItem>
    <reviewItem>
      <errorID>b8045977-85f8-4bf1-ade0-c469389695ad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41CC25B5</paraID>
      <start>80</start>
      <end>81</end>
      <status>unmodified</status>
      <modifiedWord/>
      <trackRevisions>false</trackRevisions>
    </reviewItem>
    <reviewItem>
      <errorID>0aa20809-197f-4668-8eaf-012cbf79517d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41CC25B5</paraID>
      <start>185</start>
      <end>186</end>
      <status>unmodified</status>
      <modifiedWord/>
      <trackRevisions>false</trackRevisions>
    </reviewItem>
    <reviewItem>
      <errorID>db8428a3-7985-41e9-acd6-7591e8a72b6e</errorID>
      <errorWord>发现有</errorWord>
      <group>L1_Word</group>
      <groupName>字词问题</groupName>
      <ability>L2_Typo</ability>
      <abilityName>字词错误</abilityName>
      <candidateList>
        <item>发现</item>
      </candidateList>
      <explain/>
      <paraID>41CC25B5</paraID>
      <start>329</start>
      <end>332</end>
      <status>unmodified</status>
      <modifiedWord/>
      <trackRevisions>false</trackRevisions>
    </reviewItem>
    <reviewItem>
      <errorID>9558a80f-e176-4784-86d2-c9d823f319af</errorID>
      <errorWord>堆积高度</errorWord>
      <group>L1_Knowledge</group>
      <groupName>知识性问题</groupName>
      <ability>L2_Term</ability>
      <abilityName>专业术语</abilityName>
      <candidateList>
        <item>堆芯高度</item>
      </candidateList>
      <explain/>
      <paraID>603465C9</paraID>
      <start>44</start>
      <end>48</end>
      <status>unmodified</status>
      <modifiedWord/>
      <trackRevisions>false</trackRevisions>
    </reviewItem>
    <reviewItem>
      <errorID>5929ac0c-160d-438f-bfbb-43ffd072f209</errorID>
      <errorWord>行使</errorWord>
      <group>L1_Word</group>
      <groupName>字词问题</groupName>
      <ability>L2_Typo</ability>
      <abilityName>字词错误</abilityName>
      <candidateList>
        <item>行驶</item>
      </candidateList>
      <explain>〈动〉（车、船）行走：列车向南～｜长江下游可以～万吨轮船。</explain>
      <paraID> 5DFEB96</paraID>
      <start>59</start>
      <end>61</end>
      <status>unmodified</status>
      <modifiedWord/>
      <trackRevisions>false</trackRevisions>
    </reviewItem>
    <reviewItem>
      <errorID>bd59a224-eb44-4191-b955-d37341315f8e</errorID>
      <errorWord>延</errorWord>
      <group>L1_Word</group>
      <groupName>字词问题</groupName>
      <ability>L2_Typo</ability>
      <abilityName>字词错误</abilityName>
      <candidateList>
        <item>沿</item>
      </candidateList>
      <explain>存在发音相同字词的误用。</explain>
      <paraID>302FE796</paraID>
      <start>216</start>
      <end>217</end>
      <status>unmodified</status>
      <modifiedWord/>
      <trackRevisions>false</trackRevisions>
    </reviewItem>
    <reviewItem>
      <errorID>063869e2-08ae-4bc4-b88d-656a7dd8b037</errorID>
      <errorWord>来自于</errorWord>
      <group>L1_Grammar</group>
      <groupName>语法问题</groupName>
      <ability>L2_Grammar</ability>
      <abilityName>语法错误</abilityName>
      <candidateList>
        <item>来自</item>
      </candidateList>
      <explain/>
      <paraID>703556BD</paraID>
      <start>63</start>
      <end>66</end>
      <status>unmodified</status>
      <modifiedWord/>
      <trackRevisions>false</trackRevisions>
    </reviewItem>
    <reviewItem>
      <errorID>553416a7-2051-4ab2-9dad-97192caf5187</errorID>
      <errorWord>滤液发</errorWord>
      <group>L1_Word</group>
      <groupName>字词问题</groupName>
      <ability>L2_Typo</ability>
      <abilityName>字词错误</abilityName>
      <candidateList>
        <item>滤液</item>
      </candidateList>
      <explain/>
      <paraID>6435A3A6</paraID>
      <start>26</start>
      <end>29</end>
      <status>unmodified</status>
      <modifiedWord/>
      <trackRevisions>false</trackRevisions>
    </reviewItem>
    <reviewItem>
      <errorID>2c3fc4c2-ac35-46e5-8c5d-fe40f9a09bc8</errorID>
      <errorWord>堆积高度</errorWord>
      <group>L1_Knowledge</group>
      <groupName>知识性问题</groupName>
      <ability>L2_Term</ability>
      <abilityName>专业术语</abilityName>
      <candidateList>
        <item>堆芯高度</item>
      </candidateList>
      <explain/>
      <paraID>15E94C9E</paraID>
      <start>222</start>
      <end>226</end>
      <status>ignored</status>
      <modifiedWord/>
      <trackRevisions>false</trackRevisions>
    </reviewItem>
    <reviewItem>
      <errorID>9bf51818-fbb4-42e9-9258-52d2d36f14e8</errorID>
      <errorWord>运入</errorWord>
      <group>L1_Word</group>
      <groupName>字词问题</groupName>
      <ability>L2_Typo</ability>
      <abilityName>字词错误</abilityName>
      <candidateList>
        <item>进入</item>
      </candidateList>
      <explain>〈动〉支进到某个范围或某个时期里：～学校｜～新阶段◇～角色。</explain>
      <paraID>322D0DA9</paraID>
      <start>101</start>
      <end>103</end>
      <status>ignored</status>
      <modifiedWord/>
      <trackRevisions>false</trackRevisions>
    </reviewItem>
    <reviewItem>
      <errorID>2c1cc19e-83f4-4fc0-a3b0-0e5c0127dc62</errorID>
      <errorWord>源头起</errorWord>
      <group>L1_Word</group>
      <groupName>字词问题</groupName>
      <ability>L2_Typo</ability>
      <abilityName>字词错误</abilityName>
      <candidateList>
        <item>源头</item>
      </candidateList>
      <explain/>
      <paraID> 571D215</paraID>
      <start>2</start>
      <end>5</end>
      <status>ignored</status>
      <modifiedWord/>
      <trackRevisions>false</trackRevisions>
    </reviewItem>
    <reviewItem>
      <errorID>11776f1b-ac06-4337-9cbe-3f18c31c565f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3235DCB8</paraID>
      <start>77</start>
      <end>78</end>
      <status>ignored</status>
      <modifiedWord/>
      <trackRevisions>false</trackRevisions>
    </reviewItem>
    <reviewItem>
      <errorID>aad36e66-16f1-42fc-9b3a-0a1b82d65d87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3235DCB8</paraID>
      <start>182</start>
      <end>183</end>
      <status>ignored</status>
      <modifiedWord/>
      <trackRevisions>false</trackRevisions>
    </reviewItem>
    <reviewItem>
      <errorID>a3259aae-1c13-43a1-ae7d-cb187cb5d03b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57615AA1</paraID>
      <start>100</start>
      <end>101</end>
      <status>ignored</status>
      <modifiedWord/>
      <trackRevisions>false</trackRevisions>
    </reviewItem>
    <reviewItem>
      <errorID>ad947f62-f8fb-4c45-822c-7ce8c2b81c1e</errorID>
      <errorWord>具</errorWord>
      <group>L1_Word</group>
      <groupName>字词问题</groupName>
      <ability>L2_Typo</ability>
      <abilityName>字词错误</abilityName>
      <candidateList>
        <item>具有</item>
      </candidateList>
      <explain>〈动〉有（多用于抽象事物）：～信心｜～伟大的意义。</explain>
      <paraID>45B2E511</paraID>
      <start>372</start>
      <end>373</end>
      <status>unmodified</status>
      <modifiedWord/>
      <trackRevisions>false</trackRevisions>
    </reviewItem>
    <reviewItem>
      <errorID>37663786-b3bc-476f-a62b-f25058a15639</errorID>
      <errorWord>勘察</errorWord>
      <group>L1_Word</group>
      <groupName>字词问题</groupName>
      <ability>L2_Typo</ability>
      <abilityName>字词错误</abilityName>
      <candidateList>
        <item>勘查</item>
      </candidateList>
      <explain/>
      <paraID>45B2E511</paraID>
      <start>385</start>
      <end>387</end>
      <status>unmodified</status>
      <modifiedWord/>
      <trackRevisions>false</trackRevisions>
    </reviewItem>
    <reviewItem>
      <errorID>add26b8a-b748-4f6a-a614-e939c7456d91</errorID>
      <errorWord>运入</errorWord>
      <group>L1_Word</group>
      <groupName>字词问题</groupName>
      <ability>L2_Typo</ability>
      <abilityName>字词错误</abilityName>
      <candidateList>
        <item>进入</item>
      </candidateList>
      <explain>〈动〉支进到某个范围或某个时期里：～学校｜～新阶段◇～角色。</explain>
      <paraID>5A57B5FD</paraID>
      <start>225</start>
      <end>227</end>
      <status>unmodified</status>
      <modifiedWord/>
      <trackRevisions>false</trackRevisions>
    </reviewItem>
    <reviewItem>
      <errorID>90b24dad-8198-4b7b-955a-e2c4462539d3</errorID>
      <errorWord>及时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5A57B5FD</paraID>
      <start>360</start>
      <end>362</end>
      <status>ignored</status>
      <modifiedWord/>
      <trackRevisions>false</trackRevisions>
    </reviewItem>
    <reviewItem>
      <errorID>5022d88b-785f-4aa1-9b5b-3036723df33a</errorID>
      <errorWord>源头起</errorWord>
      <group>L1_Word</group>
      <groupName>字词问题</groupName>
      <ability>L2_Typo</ability>
      <abilityName>字词错误</abilityName>
      <candidateList>
        <item>源头</item>
      </candidateList>
      <explain/>
      <paraID>15279E97</paraID>
      <start>2</start>
      <end>5</end>
      <status>ignored</status>
      <modifiedWord/>
      <trackRevisions>false</trackRevisions>
    </reviewItem>
    <reviewItem>
      <errorID>885f5a96-3098-46e7-b9ff-5bb3c5c68b03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701ACEC3</paraID>
      <start>58</start>
      <end>59</end>
      <status>ignored</status>
      <modifiedWord/>
      <trackRevisions>false</trackRevisions>
    </reviewItem>
    <reviewItem>
      <errorID>e1759bf9-9afa-4af2-9177-e7aaf8e55566</errorID>
      <errorWord>交汇法</errorWord>
      <group>L1_Word</group>
      <groupName>字词问题</groupName>
      <ability>L2_Typo</ability>
      <abilityName>字词错误</abilityName>
      <candidateList>
        <item>交会法</item>
      </candidateList>
      <explain>存在发音相同字词的误用。</explain>
      <paraID>2CA1AF52</paraID>
      <start>58</start>
      <end>61</end>
      <status>ignored</status>
      <modifiedWord/>
      <trackRevisions>false</trackRevisions>
    </reviewItem>
    <reviewItem>
      <errorID>e2195f86-b4f8-4e71-b36d-d07ad354c89f</errorID>
      <errorWord>源头起</errorWord>
      <group>L1_Word</group>
      <groupName>字词问题</groupName>
      <ability>L2_Typo</ability>
      <abilityName>字词错误</abilityName>
      <candidateList>
        <item>源头</item>
      </candidateList>
      <explain/>
      <paraID>  82C365</paraID>
      <start>2</start>
      <end>5</end>
      <status>ignored</status>
      <modifiedWord/>
      <trackRevisions>false</trackRevisions>
    </reviewItem>
    <reviewItem>
      <errorID>1f488f4d-02ea-4ff2-8b94-1f24334fa695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3F777C27</paraID>
      <start>58</start>
      <end>59</end>
      <status>ignored</status>
      <modifiedWord/>
      <trackRevisions>false</trackRevisions>
    </reviewItem>
    <reviewItem>
      <errorID>7e02b344-1b79-43a3-b75a-f4c497667e29</errorID>
      <errorWord>交汇法</errorWord>
      <group>L1_Word</group>
      <groupName>字词问题</groupName>
      <ability>L2_Typo</ability>
      <abilityName>字词错误</abilityName>
      <candidateList>
        <item>交会法</item>
      </candidateList>
      <explain>存在发音相同字词的误用。</explain>
      <paraID>75567753</paraID>
      <start>58</start>
      <end>61</end>
      <status>ignored</status>
      <modifiedWord/>
      <trackRevisions>false</trackRevisions>
    </reviewItem>
    <reviewItem>
      <errorID>685e7937-8114-4c93-bc7d-fa84eebdd6b9</errorID>
      <errorWord>升</errorWord>
      <group>L1_Word</group>
      <groupName>字词问题</groupName>
      <ability>L2_Typo</ability>
      <abilityName>字词错误</abilityName>
      <candidateList>
        <item>升具</item>
      </candidateList>
      <explain/>
      <paraID>35717324</paraID>
      <start>15</start>
      <end>16</end>
      <status>ignored</status>
      <modifiedWord/>
      <trackRevisions>false</trackRevisions>
    </reviewItem>
    <reviewItem>
      <errorID>4bddadf5-84a4-4688-8817-e4ec4eeb8bb3</errorID>
      <errorWord>并应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2924DCB1</paraID>
      <start>20</start>
      <end>22</end>
      <status>ignored</status>
      <modifiedWord/>
      <trackRevisions>false</trackRevisions>
    </reviewItem>
    <reviewItem>
      <errorID>925088ed-bbee-4467-9525-6daa803268ae</errorID>
      <errorWord>符</errorWord>
      <group>L1_Word</group>
      <groupName>字词问题</groupName>
      <ability>L2_Typo</ability>
      <abilityName>字词错误</abilityName>
      <candidateList>
        <item>符合</item>
      </candidateList>
      <explain>〈动〉（数量、形状、情节等）相合：～事实｜这些产品不～质量标准。</explain>
      <paraID> 6333A03</paraID>
      <start>9</start>
      <end>10</end>
      <status>unmodified</status>
      <modifiedWord/>
      <trackRevisions>false</trackRevisions>
    </reviewItem>
    <reviewItem>
      <errorID>45ca021a-1579-4e7e-b77f-32f71d2384c7</errorID>
      <errorWord>发现稍端枯萎</errorWord>
      <group>L1_Word</group>
      <groupName>字词问题</groupName>
      <ability>L2_Typo</ability>
      <abilityName>字词错误</abilityName>
      <candidateList>
        <item>发现梢端枯萎</item>
      </candidateList>
      <explain/>
      <paraID> 6333A03</paraID>
      <start>24</start>
      <end>30</end>
      <status>ignored</status>
      <modifiedWord/>
      <trackRevisions>false</trackRevisions>
    </reviewItem>
    <reviewItem>
      <errorID>a52a2a41-31e7-40d7-9334-357848e2d931</errorID>
      <errorWord>联通性</errorWord>
      <group>L1_Word</group>
      <groupName>字词问题</groupName>
      <ability>L2_Typo</ability>
      <abilityName>字词错误</abilityName>
      <candidateList>
        <item>连通性</item>
      </candidateList>
      <explain>存在发音相同字词的误用。</explain>
      <paraID>2439575C</paraID>
      <start>72</start>
      <end>75</end>
      <status>ignored</status>
      <modifiedWord/>
      <trackRevisions>false</trackRevisions>
    </reviewItem>
    <reviewItem>
      <errorID>bc742c15-c85a-4583-8c45-4a618a53194a</errorID>
      <errorWord>于</errorWord>
      <group>L1_Word</group>
      <groupName>字词问题</groupName>
      <ability>L2_Typo</ability>
      <abilityName>字词错误</abilityName>
      <candidateList>
        <item>于地</item>
      </candidateList>
      <explain/>
      <paraID>2439575C</paraID>
      <start>79</start>
      <end>80</end>
      <status>ignored</status>
      <modifiedWord/>
      <trackRevisions>false</trackRevisions>
    </reviewItem>
    <reviewItem>
      <errorID>bb16fec5-56df-4d5e-9f6d-bcbff4e017c0</errorID>
      <errorWord>延</errorWord>
      <group>L1_Word</group>
      <groupName>字词问题</groupName>
      <ability>L2_Typo</ability>
      <abilityName>字词错误</abilityName>
      <candidateList>
        <item>沿</item>
      </candidateList>
      <explain>存在发音相同字词的误用。</explain>
      <paraID>79D123CC</paraID>
      <start>90</start>
      <end>91</end>
      <status>ignored</status>
      <modifiedWord/>
      <trackRevisions>false</trackRevisions>
    </reviewItem>
    <reviewItem>
      <errorID>9a2623f5-d874-45c5-b1be-e9c6ae247217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3624F439</paraID>
      <start>58</start>
      <end>59</end>
      <status>ignored</status>
      <modifiedWord/>
      <trackRevisions>false</trackRevisions>
    </reviewItem>
    <reviewItem>
      <errorID>e1b4a5dc-da89-44e2-b257-8e62bf80cdf8</errorID>
      <errorWord>改善</errorWord>
      <group>L1_Grammar</group>
      <groupName>语法问题</groupName>
      <ability>L2_Grammar</ability>
      <abilityName>语法错误</abilityName>
      <candidateList>
        <item>解决</item>
      </candidateList>
      <explain>“改善～问题”搭配不当，建议修改为“解决～问题”。</explain>
      <paraID> CCDB9BA</paraID>
      <start>31</start>
      <end>33</end>
      <status>ignored</status>
      <modifiedWord/>
      <trackRevisions>false</trackRevisions>
    </reviewItem>
    <reviewItem>
      <errorID>bb856fdb-7c96-4ac2-9218-03e7e1fd063c</errorID>
      <errorWord>地下水超标</errorWord>
      <group>L1_Knowledge</group>
      <groupName>知识性问题</groupName>
      <ability>L2_Term</ability>
      <abilityName>专业术语</abilityName>
      <candidateList>
        <item>地下水超采</item>
      </candidateList>
      <explain/>
      <paraID>545B4622</paraID>
      <start>69</start>
      <end>74</end>
      <status>unmodified</status>
      <modifiedWord/>
      <trackRevisions>false</trackRevisions>
    </reviewItem>
    <reviewItem>
      <errorID>b289d0bc-798c-4bdf-880d-82d685c8b76f</errorID>
      <errorWord>符</errorWord>
      <group>L1_Word</group>
      <groupName>字词问题</groupName>
      <ability>L2_Typo</ability>
      <abilityName>字词错误</abilityName>
      <candidateList>
        <item>符合</item>
      </candidateList>
      <explain>〈动〉（数量、形状、情节等）相合：～事实｜这些产品不～质量标准。</explain>
      <paraID>139D329D</paraID>
      <start>11</start>
      <end>12</end>
      <status>unmodified</status>
      <modifiedWord/>
      <trackRevisions>false</trackRevisions>
    </reviewItem>
    <reviewItem>
      <errorID>4be124a5-8a9e-42fb-ac29-46238722cca0</errorID>
      <errorWord>发现稍端枯萎</errorWord>
      <group>L1_Word</group>
      <groupName>字词问题</groupName>
      <ability>L2_Typo</ability>
      <abilityName>字词错误</abilityName>
      <candidateList>
        <item>发现梢端枯萎</item>
      </candidateList>
      <explain/>
      <paraID>139D329D</paraID>
      <start>25</start>
      <end>31</end>
      <status>ignored</status>
      <modifiedWord/>
      <trackRevisions>false</trackRevisions>
    </reviewItem>
    <reviewItem>
      <errorID>8f42a822-61c8-46cb-b9c0-1844a383d1d6</errorID>
      <errorWord>抛洒</errorWord>
      <group>L1_Word</group>
      <groupName>字词问题</groupName>
      <ability>L2_Typo</ability>
      <abilityName>字词错误</abilityName>
      <candidateList>
        <item>抛撒</item>
      </candidateList>
      <explain>存在发音相同字词的误用。</explain>
      <paraID>235C3B09</paraID>
      <start>100</start>
      <end>102</end>
      <status>ignored</status>
      <modifiedWord/>
      <trackRevisions>false</trackRevisions>
    </reviewItem>
    <reviewItem>
      <errorID>7a250c5e-cf7d-4c58-b2a5-17c0297a5c2b</errorID>
      <errorWord>浓度限制</errorWord>
      <group>L1_Word</group>
      <groupName>字词问题</groupName>
      <ability>L2_Typo</ability>
      <abilityName>字词错误</abilityName>
      <candidateList>
        <item>浓度限值</item>
      </candidateList>
      <explain/>
      <paraID>6CC1FCE7</paraID>
      <start>39</start>
      <end>43</end>
      <status>ignored</status>
      <modifiedWord/>
      <trackRevisions>false</trackRevisions>
    </reviewItem>
    <reviewItem>
      <errorID>89b386a8-3bcd-4adf-809d-c9afe2ce3334</errorID>
      <errorWord>监测报告</errorWord>
      <group>L1_Word</group>
      <groupName>字词问题</groupName>
      <ability>L2_Typo</ability>
      <abilityName>字词错误</abilityName>
      <candidateList>
        <item>检测报告</item>
      </candidateList>
      <explain/>
      <paraID>309B2855</paraID>
      <start>21</start>
      <end>25</end>
      <status>ignored</status>
      <modifiedWord/>
      <trackRevisions>false</trackRevisions>
    </reviewItem>
    <reviewItem>
      <errorID>eb238d47-3348-45c5-becd-8f873be30271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382E1C7A</paraID>
      <start>71</start>
      <end>72</end>
      <status>ignored</status>
      <modifiedWord/>
      <trackRevisions>false</trackRevisions>
    </reviewItem>
    <reviewItem>
      <errorID>e2778b83-da50-49ac-8d02-6071f4470c7e</errorID>
      <errorWord>实验报告</errorWord>
      <group>L1_Word</group>
      <groupName>字词问题</groupName>
      <ability>L2_Typo</ability>
      <abilityName>字词错误</abilityName>
      <candidateList>
        <item>试验报告</item>
      </candidateList>
      <explain/>
      <paraID>5C07422C</paraID>
      <start>8</start>
      <end>12</end>
      <status>ignored</status>
      <modifiedWord/>
      <trackRevisions>false</trackRevisions>
    </reviewItem>
    <reviewItem>
      <errorID>97fda2ec-771e-483d-ba87-a8dfbf08188f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5C07422C</paraID>
      <start>27</start>
      <end>28</end>
      <status>ignored</status>
      <modifiedWord/>
      <trackRevisions>false</trackRevisions>
    </reviewItem>
    <reviewItem>
      <errorID>a70c62f5-4f70-455b-ac20-92d9bf37990e</errorID>
      <errorWord>工</errorWord>
      <group>L1_Word</group>
      <groupName>字词问题</groupName>
      <ability>L2_Typo</ability>
      <abilityName>字词错误</abilityName>
      <candidateList>
        <item>工程</item>
      </candidateList>
      <explain/>
      <paraID>5574B4E6</paraID>
      <start>0</start>
      <end>1</end>
      <status>ignored</status>
      <modifiedWord/>
      <trackRevisions>false</trackRevisions>
    </reviewItem>
    <reviewItem>
      <errorID>f7fc97d3-4d56-4ca1-913d-ec978c9c3db0</errorID>
      <errorWord>土</errorWord>
      <group>L1_Word</group>
      <groupName>字词问题</groupName>
      <ability>L2_Typo</ability>
      <abilityName>字词错误</abilityName>
      <candidateList>
        <item>土壤</item>
      </candidateList>
      <explain/>
      <paraID> BEAB72A</paraID>
      <start>12</start>
      <end>13</end>
      <status>unmodified</status>
      <modifiedWord/>
      <trackRevisions>false</trackRevisions>
    </reviewItem>
    <reviewItem>
      <errorID>88afe11f-4c0b-405d-9cea-873c3336b89e</errorID>
      <errorWord>检测</errorWord>
      <group>L1_Word</group>
      <groupName>字词问题</groupName>
      <ability>L2_Typo</ability>
      <abilityName>字词错误</abilityName>
      <candidateList>
        <item>监测</item>
      </candidateList>
      <explain/>
      <paraID>2E3F171C</paraID>
      <start>30</start>
      <end>32</end>
      <status>ignored</status>
      <modifiedWord/>
      <trackRevisions>false</trackRevisions>
    </reviewItem>
    <reviewItem>
      <errorID>a4e24994-a67f-4208-a888-4f8abf3da6f9</errorID>
      <errorWord>沉砂池</errorWord>
      <group>L1_Word</group>
      <groupName>字词问题</groupName>
      <ability>L2_Typo</ability>
      <abilityName>字词错误</abilityName>
      <candidateList>
        <item>沉沙池</item>
      </candidateList>
      <explain>存在发音相同字词的误用。</explain>
      <paraID>42DF14BC</paraID>
      <start>7</start>
      <end>10</end>
      <status>ignored</status>
      <modifiedWord/>
      <trackRevisions>false</trackRevisions>
    </reviewItem>
    <reviewItem>
      <errorID>7242778d-26ef-4f27-be95-88cd44c602ca</errorID>
      <errorWord>各</errorWord>
      <group>L1_Word</group>
      <groupName>字词问题</groupName>
      <ability>L2_Typo</ability>
      <abilityName>字词错误</abilityName>
      <candidateList>
        <item>各区</item>
      </candidateList>
      <explain/>
      <paraID>1566A197</paraID>
      <start>5</start>
      <end>6</end>
      <status>ignored</status>
      <modifiedWord/>
      <trackRevisions>false</trackRevisions>
    </reviewItem>
    <reviewItem>
      <errorID>4cfff78d-ba8d-4435-85bf-64588d0b235d</errorID>
      <errorWord>地下水检测</errorWord>
      <group>L1_Word</group>
      <groupName>字词问题</groupName>
      <ability>L2_Typo</ability>
      <abilityName>字词错误</abilityName>
      <candidateList>
        <item>地下水监测</item>
      </candidateList>
      <explain/>
      <paraID>6B8E9EA9</paraID>
      <start>95</start>
      <end>100</end>
      <status>ignored</status>
      <modifiedWord/>
      <trackRevisions>false</trackRevisions>
    </reviewItem>
    <reviewItem>
      <errorID>142c08e9-0d8e-4cbb-bc89-bc4066fbbc23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2CBF711D</paraID>
      <start>63</start>
      <end>64</end>
      <status>ignored</status>
      <modifiedWord/>
      <trackRevisions>false</trackRevisions>
    </reviewItem>
    <reviewItem>
      <errorID>4e7cd2e9-39b6-45e3-9e8a-f6c4cfb8881b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559390B0</paraID>
      <start>22</start>
      <end>23</end>
      <status>unmodified</status>
      <modifiedWord/>
      <trackRevisions>false</trackRevisions>
    </reviewItem>
    <reviewItem>
      <errorID>6acb6438-7d9e-446f-94b0-ce9694c25336</errorID>
      <errorWord>演练应</errorWord>
      <group>L1_Word</group>
      <groupName>字词问题</groupName>
      <ability>L2_Typo</ability>
      <abilityName>字词错误</abilityName>
      <candidateList>
        <item>演练</item>
      </candidateList>
      <explain/>
      <paraID>5A494059</paraID>
      <start>12</start>
      <end>15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dabbb-f3bc-4ffd-aaf1-95a4dc663e0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155</Pages>
  <Words>13145</Words>
  <Characters>13616</Characters>
  <Lines>948</Lines>
  <Paragraphs>267</Paragraphs>
  <TotalTime>1</TotalTime>
  <ScaleCrop>false</ScaleCrop>
  <LinksUpToDate>false</LinksUpToDate>
  <CharactersWithSpaces>13705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2023-09-14T09:54:00Z</dcterms:created>
  <dc:creator>lhj</dc:creator>
  <cp:lastModifiedBy>学而知之</cp:lastModifiedBy>
  <cp:lastPrinted>2025-10-07T11:20:00Z</cp:lastPrinted>
  <dcterms:modified xsi:type="dcterms:W3CDTF">2026-02-11T09:36:52Z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BD6D09FC9A034044BBD813683EEEECB5_13</vt:lpwstr>
  </property>
  <property fmtid="{D5CDD505-2E9C-101B-9397-08002B2CF9AE}" pid="4" name="KSOTemplateDocerSaveRecord">
    <vt:lpwstr>eyJoZGlkIjoiNDlhYTc5NDc4NDUxMTc0YzljM2FkNzNkNjQyOGQ0Y2EiLCJ1c2VySWQiOiIxOTk2MjU0OTkifQ==</vt:lpwstr>
  </property>
</Properties>
</file>