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4C35DF">
      <w:pPr>
        <w:adjustRightInd w:val="0"/>
        <w:snapToGrid w:val="0"/>
        <w:jc w:val="center"/>
        <w:outlineLvl w:val="0"/>
        <w:rPr>
          <w:rFonts w:hint="eastAsia" w:ascii="方正小标宋_GBK" w:eastAsia="方正小标宋_GBK"/>
          <w:bCs/>
          <w:color w:val="000000"/>
          <w:sz w:val="72"/>
          <w:szCs w:val="72"/>
        </w:rPr>
      </w:pPr>
      <w:bookmarkStart w:id="0" w:name="_Toc20628"/>
      <w:bookmarkStart w:id="1" w:name="_Toc26904"/>
      <w:bookmarkStart w:id="2" w:name="_Toc9897"/>
      <w:bookmarkStart w:id="3" w:name="_Toc26372"/>
      <w:bookmarkStart w:id="4" w:name="_Toc8307"/>
      <w:bookmarkStart w:id="5" w:name="_Toc24332"/>
      <w:bookmarkStart w:id="6" w:name="_Toc16221"/>
    </w:p>
    <w:p w14:paraId="46CAEC4D">
      <w:pPr>
        <w:adjustRightInd w:val="0"/>
        <w:snapToGrid w:val="0"/>
        <w:jc w:val="center"/>
        <w:outlineLvl w:val="0"/>
        <w:rPr>
          <w:rFonts w:hint="eastAsia" w:ascii="方正小标宋_GBK" w:eastAsia="方正小标宋_GBK"/>
          <w:bCs/>
          <w:color w:val="000000"/>
          <w:sz w:val="72"/>
          <w:szCs w:val="72"/>
        </w:rPr>
      </w:pPr>
    </w:p>
    <w:p w14:paraId="64C63738">
      <w:pPr>
        <w:adjustRightInd w:val="0"/>
        <w:snapToGrid w:val="0"/>
        <w:jc w:val="center"/>
        <w:outlineLvl w:val="0"/>
        <w:rPr>
          <w:rFonts w:hint="eastAsia"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bookmarkEnd w:id="0"/>
    </w:p>
    <w:p w14:paraId="71EB2EFF">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（污染影响类）</w:t>
      </w:r>
    </w:p>
    <w:p w14:paraId="49E3193F">
      <w:pPr>
        <w:pStyle w:val="2"/>
        <w:tabs>
          <w:tab w:val="left" w:pos="420"/>
        </w:tabs>
        <w:ind w:firstLine="2832" w:firstLineChars="590"/>
        <w:jc w:val="both"/>
        <w:rPr>
          <w:rFonts w:hint="default" w:ascii="Times New Roman" w:hAnsi="Times New Roman" w:eastAsia="楷体_GB2312" w:cs="Times New Roman"/>
          <w:lang w:eastAsia="zh-CN"/>
        </w:rPr>
      </w:pPr>
      <w:r>
        <w:rPr>
          <w:rFonts w:hint="eastAsia" w:ascii="Times New Roman" w:hAnsi="Times New Roman" w:eastAsia="楷体_GB2312" w:cs="Times New Roman"/>
          <w:bCs/>
          <w:color w:val="000000"/>
          <w:sz w:val="48"/>
          <w:szCs w:val="48"/>
          <w:lang w:val="en-US" w:eastAsia="zh-CN"/>
        </w:rPr>
        <w:t>（送审</w:t>
      </w:r>
      <w:r>
        <w:rPr>
          <w:rFonts w:hint="default" w:ascii="Times New Roman" w:hAnsi="Times New Roman" w:eastAsia="楷体_GB2312" w:cs="Times New Roman"/>
          <w:bCs/>
          <w:color w:val="000000"/>
          <w:sz w:val="48"/>
          <w:szCs w:val="48"/>
          <w:lang w:val="en-US" w:eastAsia="zh-CN"/>
        </w:rPr>
        <w:t>稿</w:t>
      </w:r>
      <w:r>
        <w:rPr>
          <w:rFonts w:hint="default" w:ascii="Times New Roman" w:hAnsi="Times New Roman" w:eastAsia="楷体_GB2312" w:cs="Times New Roman"/>
          <w:bCs/>
          <w:color w:val="000000"/>
          <w:sz w:val="48"/>
          <w:szCs w:val="48"/>
          <w:lang w:eastAsia="zh-CN"/>
        </w:rPr>
        <w:t>）</w:t>
      </w:r>
    </w:p>
    <w:p w14:paraId="5BC6C074">
      <w:pPr>
        <w:adjustRightInd w:val="0"/>
        <w:snapToGrid w:val="0"/>
        <w:spacing w:line="288" w:lineRule="auto"/>
        <w:jc w:val="center"/>
        <w:rPr>
          <w:rFonts w:ascii="华文仿宋" w:hAnsi="华文仿宋" w:eastAsia="华文仿宋" w:cs="华文仿宋"/>
          <w:color w:val="000000"/>
          <w:kern w:val="44"/>
          <w:sz w:val="44"/>
          <w:szCs w:val="44"/>
        </w:rPr>
      </w:pPr>
    </w:p>
    <w:p w14:paraId="684105C3">
      <w:pPr>
        <w:jc w:val="center"/>
        <w:rPr>
          <w:rFonts w:eastAsia="仿宋"/>
          <w:color w:val="000000"/>
          <w:sz w:val="52"/>
          <w:szCs w:val="52"/>
        </w:rPr>
      </w:pPr>
    </w:p>
    <w:p w14:paraId="5C1C3B5C">
      <w:pPr>
        <w:rPr>
          <w:rFonts w:eastAsia="仿宋"/>
          <w:color w:val="000000"/>
          <w:sz w:val="44"/>
          <w:szCs w:val="44"/>
        </w:rPr>
      </w:pPr>
    </w:p>
    <w:p w14:paraId="3EB19D59">
      <w:pPr>
        <w:ind w:firstLine="1040"/>
        <w:rPr>
          <w:rFonts w:eastAsia="仿宋"/>
          <w:color w:val="000000"/>
          <w:sz w:val="44"/>
          <w:szCs w:val="44"/>
        </w:rPr>
      </w:pPr>
    </w:p>
    <w:p w14:paraId="70463F44">
      <w:pPr>
        <w:spacing w:line="480" w:lineRule="auto"/>
        <w:rPr>
          <w:rFonts w:eastAsia="仿宋"/>
          <w:color w:val="000000"/>
          <w:sz w:val="44"/>
          <w:szCs w:val="44"/>
        </w:rPr>
      </w:pPr>
    </w:p>
    <w:p w14:paraId="4C86B667">
      <w:pPr>
        <w:pStyle w:val="2"/>
        <w:keepNext w:val="0"/>
        <w:keepLines w:val="0"/>
        <w:pageBreakBefore w:val="0"/>
        <w:widowControl w:val="0"/>
        <w:tabs>
          <w:tab w:val="left" w:pos="420"/>
        </w:tabs>
        <w:kinsoku/>
        <w:wordWrap/>
        <w:overflowPunct/>
        <w:topLinePunct w:val="0"/>
        <w:autoSpaceDE w:val="0"/>
        <w:autoSpaceDN w:val="0"/>
        <w:bidi w:val="0"/>
        <w:snapToGrid/>
        <w:spacing w:line="288" w:lineRule="auto"/>
        <w:jc w:val="center"/>
        <w:rPr>
          <w:rFonts w:hint="default" w:ascii="Times New Roman" w:hAnsi="Times New Roman" w:eastAsia="仿宋" w:cs="Times New Roman"/>
          <w:kern w:val="2"/>
          <w:sz w:val="36"/>
          <w:szCs w:val="36"/>
          <w:u w:val="single"/>
          <w:lang w:val="en-US" w:eastAsia="zh-CN" w:bidi="ar-SA"/>
        </w:rPr>
      </w:pPr>
      <w:r>
        <w:rPr>
          <w:rFonts w:hint="default" w:ascii="Times New Roman" w:hAnsi="Times New Roman" w:eastAsia="仿宋" w:cs="Times New Roman"/>
          <w:kern w:val="2"/>
          <w:sz w:val="36"/>
          <w:szCs w:val="36"/>
          <w:u w:val="none"/>
          <w:lang w:val="en-US" w:eastAsia="zh-CN" w:bidi="ar-SA"/>
        </w:rPr>
        <w:t>项目名称：</w:t>
      </w:r>
      <w:r>
        <w:rPr>
          <w:rFonts w:hint="default" w:ascii="Times New Roman" w:hAnsi="Times New Roman" w:eastAsia="仿宋" w:cs="Times New Roman"/>
          <w:kern w:val="2"/>
          <w:sz w:val="36"/>
          <w:szCs w:val="36"/>
          <w:u w:val="single"/>
          <w:lang w:val="en-US" w:eastAsia="zh-CN" w:bidi="ar-SA"/>
        </w:rPr>
        <w:t>云南錦创环境科技有限公司改扩建</w:t>
      </w:r>
    </w:p>
    <w:p w14:paraId="095C0D75">
      <w:pPr>
        <w:keepNext w:val="0"/>
        <w:keepLines w:val="0"/>
        <w:pageBreakBefore w:val="0"/>
        <w:widowControl w:val="0"/>
        <w:kinsoku/>
        <w:wordWrap/>
        <w:overflowPunct/>
        <w:topLinePunct w:val="0"/>
        <w:autoSpaceDE w:val="0"/>
        <w:autoSpaceDN w:val="0"/>
        <w:bidi w:val="0"/>
        <w:snapToGrid/>
        <w:spacing w:line="288" w:lineRule="auto"/>
        <w:ind w:firstLine="720" w:firstLineChars="200"/>
        <w:jc w:val="center"/>
        <w:rPr>
          <w:rFonts w:hint="default" w:ascii="Times New Roman" w:hAnsi="Times New Roman" w:eastAsia="仿宋" w:cs="Times New Roman"/>
          <w:kern w:val="2"/>
          <w:sz w:val="36"/>
          <w:szCs w:val="36"/>
          <w:u w:val="single"/>
          <w:lang w:val="en-US" w:eastAsia="zh-CN" w:bidi="ar-SA"/>
        </w:rPr>
      </w:pPr>
      <w:r>
        <w:rPr>
          <w:rFonts w:hint="eastAsia" w:ascii="Times New Roman" w:hAnsi="Times New Roman" w:eastAsia="仿宋" w:cs="Times New Roman"/>
          <w:kern w:val="2"/>
          <w:sz w:val="36"/>
          <w:szCs w:val="36"/>
          <w:u w:val="none"/>
          <w:lang w:val="en-US" w:eastAsia="zh-CN" w:bidi="ar-SA"/>
        </w:rPr>
        <w:t xml:space="preserve">    </w:t>
      </w:r>
      <w:r>
        <w:rPr>
          <w:rFonts w:hint="default" w:ascii="Times New Roman" w:hAnsi="Times New Roman" w:eastAsia="仿宋" w:cs="Times New Roman"/>
          <w:kern w:val="2"/>
          <w:sz w:val="36"/>
          <w:szCs w:val="36"/>
          <w:u w:val="none"/>
          <w:lang w:val="en-US" w:eastAsia="zh-CN" w:bidi="ar-SA"/>
        </w:rPr>
        <w:t>建设单位（盖章）</w:t>
      </w:r>
      <w:r>
        <w:rPr>
          <w:rFonts w:hint="default" w:ascii="Times New Roman" w:hAnsi="Times New Roman" w:eastAsia="仿宋" w:cs="Times New Roman"/>
          <w:kern w:val="2"/>
          <w:sz w:val="36"/>
          <w:szCs w:val="36"/>
          <w:u w:val="single"/>
          <w:lang w:val="en-US" w:eastAsia="zh-CN" w:bidi="ar-SA"/>
        </w:rPr>
        <w:t>：云南錦创环境科技有限公司</w:t>
      </w:r>
    </w:p>
    <w:p w14:paraId="57AE333E">
      <w:pPr>
        <w:keepNext w:val="0"/>
        <w:keepLines w:val="0"/>
        <w:pageBreakBefore w:val="0"/>
        <w:widowControl w:val="0"/>
        <w:kinsoku/>
        <w:wordWrap/>
        <w:overflowPunct/>
        <w:topLinePunct w:val="0"/>
        <w:autoSpaceDE w:val="0"/>
        <w:autoSpaceDN w:val="0"/>
        <w:bidi w:val="0"/>
        <w:snapToGrid/>
        <w:spacing w:line="288" w:lineRule="auto"/>
        <w:ind w:firstLine="1440" w:firstLineChars="400"/>
        <w:rPr>
          <w:rFonts w:hint="default" w:ascii="Times New Roman" w:hAnsi="Times New Roman" w:eastAsia="仿宋" w:cs="Times New Roman"/>
          <w:color w:val="000000"/>
          <w:sz w:val="36"/>
          <w:szCs w:val="36"/>
          <w:u w:val="single"/>
        </w:rPr>
      </w:pPr>
      <w:r>
        <w:rPr>
          <w:rFonts w:hint="default" w:ascii="Times New Roman" w:hAnsi="Times New Roman" w:eastAsia="仿宋" w:cs="Times New Roman"/>
          <w:kern w:val="2"/>
          <w:sz w:val="36"/>
          <w:szCs w:val="36"/>
          <w:u w:val="none"/>
          <w:lang w:val="en-US" w:eastAsia="zh-CN" w:bidi="ar-SA"/>
        </w:rPr>
        <w:t>编制日期</w:t>
      </w:r>
      <w:r>
        <w:rPr>
          <w:rFonts w:hint="eastAsia" w:ascii="Times New Roman" w:hAnsi="Times New Roman" w:eastAsia="仿宋" w:cs="Times New Roman"/>
          <w:kern w:val="2"/>
          <w:sz w:val="36"/>
          <w:szCs w:val="36"/>
          <w:u w:val="none"/>
          <w:lang w:val="en-US" w:eastAsia="zh-CN" w:bidi="ar-SA"/>
        </w:rPr>
        <w:t>：</w:t>
      </w:r>
      <w:r>
        <w:rPr>
          <w:rFonts w:hint="eastAsia" w:ascii="Times New Roman" w:hAnsi="Times New Roman" w:eastAsia="仿宋" w:cs="Times New Roman"/>
          <w:kern w:val="2"/>
          <w:sz w:val="36"/>
          <w:szCs w:val="36"/>
          <w:u w:val="single"/>
          <w:lang w:val="en-US" w:eastAsia="zh-CN" w:bidi="ar-SA"/>
        </w:rPr>
        <w:t xml:space="preserve">           2026年</w:t>
      </w:r>
      <w:r>
        <w:rPr>
          <w:rFonts w:hint="eastAsia" w:eastAsia="仿宋" w:cs="Times New Roman"/>
          <w:kern w:val="2"/>
          <w:sz w:val="36"/>
          <w:szCs w:val="36"/>
          <w:u w:val="single"/>
          <w:lang w:val="en-US" w:eastAsia="zh-CN" w:bidi="ar-SA"/>
        </w:rPr>
        <w:t>2</w:t>
      </w:r>
      <w:r>
        <w:rPr>
          <w:rFonts w:hint="eastAsia" w:ascii="Times New Roman" w:hAnsi="Times New Roman" w:eastAsia="仿宋" w:cs="Times New Roman"/>
          <w:kern w:val="2"/>
          <w:sz w:val="36"/>
          <w:szCs w:val="36"/>
          <w:u w:val="single"/>
          <w:lang w:val="en-US" w:eastAsia="zh-CN" w:bidi="ar-SA"/>
        </w:rPr>
        <w:t xml:space="preserve">月                                           </w:t>
      </w:r>
      <w:r>
        <w:rPr>
          <w:rFonts w:hint="default" w:ascii="Times New Roman" w:hAnsi="Times New Roman" w:eastAsia="仿宋" w:cs="Times New Roman"/>
          <w:kern w:val="2"/>
          <w:sz w:val="36"/>
          <w:szCs w:val="36"/>
          <w:u w:val="single"/>
          <w:lang w:val="en-US" w:eastAsia="zh-CN" w:bidi="ar-SA"/>
        </w:rPr>
        <w:t xml:space="preserve"> </w:t>
      </w:r>
      <w:r>
        <w:rPr>
          <w:rFonts w:hint="default" w:ascii="Times New Roman" w:hAnsi="Times New Roman" w:eastAsia="仿宋" w:cs="Times New Roman"/>
          <w:kern w:val="2"/>
          <w:sz w:val="36"/>
          <w:szCs w:val="36"/>
          <w:u w:val="single"/>
          <w:lang w:val="en-US" w:bidi="ar-SA"/>
        </w:rPr>
        <w:t xml:space="preserve">   </w:t>
      </w:r>
      <w:r>
        <w:rPr>
          <w:rFonts w:hint="default" w:ascii="Times New Roman" w:hAnsi="Times New Roman" w:eastAsia="仿宋" w:cs="Times New Roman"/>
          <w:color w:val="000000"/>
          <w:sz w:val="36"/>
          <w:szCs w:val="36"/>
          <w:u w:val="single"/>
        </w:rPr>
        <w:t xml:space="preserve">        </w:t>
      </w:r>
    </w:p>
    <w:p w14:paraId="268F026A">
      <w:pPr>
        <w:bidi w:val="0"/>
        <w:rPr>
          <w:lang w:val="zh-CN" w:eastAsia="zh-CN"/>
        </w:rPr>
      </w:pPr>
    </w:p>
    <w:p w14:paraId="7915AC74">
      <w:pPr>
        <w:bidi w:val="0"/>
        <w:rPr>
          <w:lang w:val="zh-CN" w:eastAsia="zh-CN"/>
        </w:rPr>
      </w:pPr>
    </w:p>
    <w:p w14:paraId="4F302158">
      <w:pPr>
        <w:bidi w:val="0"/>
        <w:rPr>
          <w:lang w:val="zh-CN" w:eastAsia="zh-CN"/>
        </w:rPr>
      </w:pPr>
    </w:p>
    <w:p w14:paraId="494873E7">
      <w:pPr>
        <w:bidi w:val="0"/>
        <w:rPr>
          <w:lang w:val="zh-CN" w:eastAsia="zh-CN"/>
        </w:rPr>
      </w:pPr>
    </w:p>
    <w:p w14:paraId="731CC983">
      <w:pPr>
        <w:keepNext w:val="0"/>
        <w:keepLines w:val="0"/>
        <w:widowControl/>
        <w:suppressLineNumbers w:val="0"/>
        <w:jc w:val="center"/>
        <w:rPr>
          <w:rFonts w:hint="eastAsia" w:ascii="楷体" w:eastAsia="楷体"/>
          <w:sz w:val="36"/>
        </w:rPr>
      </w:pPr>
    </w:p>
    <w:p w14:paraId="40081AF0">
      <w:pPr>
        <w:keepNext w:val="0"/>
        <w:keepLines w:val="0"/>
        <w:widowControl/>
        <w:suppressLineNumbers w:val="0"/>
        <w:jc w:val="center"/>
        <w:rPr>
          <w:rFonts w:hint="eastAsia" w:ascii="黑体" w:hAnsi="黑体" w:eastAsia="黑体"/>
          <w:color w:val="000000" w:themeColor="text1"/>
          <w:kern w:val="0"/>
          <w:sz w:val="30"/>
          <w:szCs w:val="30"/>
          <w14:textFill>
            <w14:solidFill>
              <w14:schemeClr w14:val="tx1"/>
            </w14:solidFill>
          </w14:textFill>
        </w:rPr>
        <w:sectPr>
          <w:headerReference r:id="rId3" w:type="default"/>
          <w:footerReference r:id="rId4" w:type="default"/>
          <w:pgSz w:w="11906" w:h="16838"/>
          <w:pgMar w:top="1701" w:right="1417" w:bottom="1417" w:left="1417" w:header="851" w:footer="851" w:gutter="0"/>
          <w:cols w:space="720" w:num="1"/>
          <w:docGrid w:linePitch="312" w:charSpace="0"/>
        </w:sectPr>
      </w:pPr>
      <w:r>
        <w:rPr>
          <w:rFonts w:hint="eastAsia" w:ascii="楷体" w:eastAsia="楷体"/>
          <w:sz w:val="36"/>
        </w:rPr>
        <w:t>中华人民共和国生态环境部制</w:t>
      </w:r>
    </w:p>
    <w:p w14:paraId="2D9AAA28">
      <w:pPr>
        <w:spacing w:before="100" w:beforeAutospacing="1" w:after="100" w:afterAutospacing="1"/>
        <w:jc w:val="both"/>
        <w:rPr>
          <w:rFonts w:hint="eastAsia" w:ascii="黑体" w:hAnsi="黑体" w:eastAsia="黑体"/>
          <w:color w:val="000000" w:themeColor="text1"/>
          <w:kern w:val="0"/>
          <w:sz w:val="30"/>
          <w:szCs w:val="30"/>
          <w14:textFill>
            <w14:solidFill>
              <w14:schemeClr w14:val="tx1"/>
            </w14:solidFill>
          </w14:textFill>
        </w:rPr>
        <w:sectPr>
          <w:pgSz w:w="11906" w:h="16838"/>
          <w:pgMar w:top="1701" w:right="1417" w:bottom="1417" w:left="1417" w:header="851" w:footer="851" w:gutter="0"/>
          <w:cols w:space="720" w:num="1"/>
          <w:docGrid w:linePitch="312" w:charSpace="0"/>
        </w:sectPr>
      </w:pPr>
    </w:p>
    <w:p w14:paraId="02CCBD12">
      <w:pPr>
        <w:spacing w:before="100" w:beforeAutospacing="1" w:after="100" w:afterAutospacing="1" w:line="360" w:lineRule="auto"/>
        <w:ind w:firstLine="600" w:firstLineChars="200"/>
        <w:jc w:val="center"/>
        <w:outlineLvl w:val="0"/>
        <w:rPr>
          <w:rFonts w:hint="eastAsia" w:ascii="黑体" w:hAnsi="黑体" w:eastAsia="黑体"/>
          <w:color w:val="000000" w:themeColor="text1"/>
          <w:kern w:val="0"/>
          <w:sz w:val="30"/>
          <w:szCs w:val="30"/>
          <w14:textFill>
            <w14:solidFill>
              <w14:schemeClr w14:val="tx1"/>
            </w14:solidFill>
          </w14:textFill>
        </w:rPr>
      </w:pPr>
      <w:bookmarkStart w:id="7" w:name="_Toc1407"/>
      <w:r>
        <w:rPr>
          <w:rFonts w:hint="eastAsia" w:ascii="黑体" w:hAnsi="黑体" w:eastAsia="黑体"/>
          <w:color w:val="000000" w:themeColor="text1"/>
          <w:kern w:val="0"/>
          <w:sz w:val="30"/>
          <w:szCs w:val="30"/>
          <w14:textFill>
            <w14:solidFill>
              <w14:schemeClr w14:val="tx1"/>
            </w14:solidFill>
          </w14:textFill>
        </w:rPr>
        <w:t>前言</w:t>
      </w:r>
    </w:p>
    <w:p w14:paraId="3CCABCDD">
      <w:pPr>
        <w:tabs>
          <w:tab w:val="left" w:pos="2395"/>
        </w:tabs>
        <w:spacing w:line="360" w:lineRule="auto"/>
        <w:ind w:firstLine="480" w:firstLineChars="200"/>
        <w:jc w:val="left"/>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云南錦创环境科技有限公司（以下简称“建设单位”）</w:t>
      </w:r>
      <w:r>
        <w:rPr>
          <w:color w:val="000000" w:themeColor="text1"/>
          <w:sz w:val="24"/>
          <w:szCs w:val="22"/>
          <w14:textFill>
            <w14:solidFill>
              <w14:schemeClr w14:val="tx1"/>
            </w14:solidFill>
          </w14:textFill>
        </w:rPr>
        <w:t>建设</w:t>
      </w:r>
      <w:r>
        <w:rPr>
          <w:rFonts w:hint="eastAsia"/>
          <w:color w:val="000000" w:themeColor="text1"/>
          <w:sz w:val="24"/>
          <w:szCs w:val="22"/>
          <w14:textFill>
            <w14:solidFill>
              <w14:schemeClr w14:val="tx1"/>
            </w14:solidFill>
          </w14:textFill>
        </w:rPr>
        <w:t>的</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位于云南省昆明市寻甸县仁德街道，东经</w:t>
      </w:r>
      <w:r>
        <w:rPr>
          <w:color w:val="000000" w:themeColor="text1"/>
          <w:sz w:val="24"/>
          <w:szCs w:val="22"/>
          <w14:textFill>
            <w14:solidFill>
              <w14:schemeClr w14:val="tx1"/>
            </w14:solidFill>
          </w14:textFill>
        </w:rPr>
        <w:t>10</w:t>
      </w:r>
      <w:r>
        <w:rPr>
          <w:rFonts w:hint="eastAsia"/>
          <w:color w:val="000000" w:themeColor="text1"/>
          <w:sz w:val="24"/>
          <w:szCs w:val="22"/>
          <w14:textFill>
            <w14:solidFill>
              <w14:schemeClr w14:val="tx1"/>
            </w14:solidFill>
          </w14:textFill>
        </w:rPr>
        <w:t>3</w:t>
      </w:r>
      <w:r>
        <w:rPr>
          <w:color w:val="000000" w:themeColor="text1"/>
          <w:sz w:val="24"/>
          <w:szCs w:val="22"/>
          <w14:textFill>
            <w14:solidFill>
              <w14:schemeClr w14:val="tx1"/>
            </w14:solidFill>
          </w14:textFill>
        </w:rPr>
        <w:t>度</w:t>
      </w:r>
      <w:r>
        <w:rPr>
          <w:rFonts w:hint="eastAsia"/>
          <w:color w:val="000000" w:themeColor="text1"/>
          <w:sz w:val="24"/>
          <w:szCs w:val="22"/>
          <w14:textFill>
            <w14:solidFill>
              <w14:schemeClr w14:val="tx1"/>
            </w14:solidFill>
          </w14:textFill>
        </w:rPr>
        <w:t>18</w:t>
      </w:r>
      <w:r>
        <w:rPr>
          <w:color w:val="000000" w:themeColor="text1"/>
          <w:sz w:val="24"/>
          <w:szCs w:val="22"/>
          <w14:textFill>
            <w14:solidFill>
              <w14:schemeClr w14:val="tx1"/>
            </w14:solidFill>
          </w14:textFill>
        </w:rPr>
        <w:t>分</w:t>
      </w:r>
      <w:r>
        <w:rPr>
          <w:rFonts w:hint="eastAsia"/>
          <w:color w:val="000000" w:themeColor="text1"/>
          <w:sz w:val="24"/>
          <w:szCs w:val="22"/>
          <w14:textFill>
            <w14:solidFill>
              <w14:schemeClr w14:val="tx1"/>
            </w14:solidFill>
          </w14:textFill>
        </w:rPr>
        <w:t>40.533</w:t>
      </w:r>
      <w:r>
        <w:rPr>
          <w:color w:val="000000" w:themeColor="text1"/>
          <w:sz w:val="24"/>
          <w:szCs w:val="22"/>
          <w14:textFill>
            <w14:solidFill>
              <w14:schemeClr w14:val="tx1"/>
            </w14:solidFill>
          </w14:textFill>
        </w:rPr>
        <w:t>秒，北纬2</w:t>
      </w:r>
      <w:r>
        <w:rPr>
          <w:rFonts w:hint="eastAsia"/>
          <w:color w:val="000000" w:themeColor="text1"/>
          <w:sz w:val="24"/>
          <w:szCs w:val="22"/>
          <w14:textFill>
            <w14:solidFill>
              <w14:schemeClr w14:val="tx1"/>
            </w14:solidFill>
          </w14:textFill>
        </w:rPr>
        <w:t>5</w:t>
      </w:r>
      <w:r>
        <w:rPr>
          <w:color w:val="000000" w:themeColor="text1"/>
          <w:sz w:val="24"/>
          <w:szCs w:val="22"/>
          <w14:textFill>
            <w14:solidFill>
              <w14:schemeClr w14:val="tx1"/>
            </w14:solidFill>
          </w14:textFill>
        </w:rPr>
        <w:t>度</w:t>
      </w:r>
      <w:r>
        <w:rPr>
          <w:rFonts w:hint="eastAsia"/>
          <w:color w:val="000000" w:themeColor="text1"/>
          <w:sz w:val="24"/>
          <w:szCs w:val="22"/>
          <w14:textFill>
            <w14:solidFill>
              <w14:schemeClr w14:val="tx1"/>
            </w14:solidFill>
          </w14:textFill>
        </w:rPr>
        <w:t>34</w:t>
      </w:r>
      <w:r>
        <w:rPr>
          <w:color w:val="000000" w:themeColor="text1"/>
          <w:sz w:val="24"/>
          <w:szCs w:val="22"/>
          <w14:textFill>
            <w14:solidFill>
              <w14:schemeClr w14:val="tx1"/>
            </w14:solidFill>
          </w14:textFill>
        </w:rPr>
        <w:t>分</w:t>
      </w:r>
      <w:r>
        <w:rPr>
          <w:rFonts w:hint="eastAsia"/>
          <w:color w:val="000000" w:themeColor="text1"/>
          <w:sz w:val="24"/>
          <w:szCs w:val="22"/>
          <w14:textFill>
            <w14:solidFill>
              <w14:schemeClr w14:val="tx1"/>
            </w14:solidFill>
          </w14:textFill>
        </w:rPr>
        <w:t>7.611</w:t>
      </w:r>
      <w:r>
        <w:rPr>
          <w:color w:val="000000" w:themeColor="text1"/>
          <w:sz w:val="24"/>
          <w:szCs w:val="22"/>
          <w14:textFill>
            <w14:solidFill>
              <w14:schemeClr w14:val="tx1"/>
            </w14:solidFill>
          </w14:textFill>
        </w:rPr>
        <w:t>秒</w:t>
      </w:r>
      <w:r>
        <w:rPr>
          <w:rFonts w:hint="eastAsia"/>
          <w:color w:val="000000" w:themeColor="text1"/>
          <w:sz w:val="24"/>
          <w:szCs w:val="22"/>
          <w14:textFill>
            <w14:solidFill>
              <w14:schemeClr w14:val="tx1"/>
            </w14:solidFill>
          </w14:textFill>
        </w:rPr>
        <w:t>。</w:t>
      </w:r>
    </w:p>
    <w:p w14:paraId="04194A7F">
      <w:pPr>
        <w:tabs>
          <w:tab w:val="left" w:pos="2395"/>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建设单位于2022年5月10日取得昆明市生态环境局寻甸分局关于《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39</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w:t>
      </w:r>
      <w:r>
        <w:rPr>
          <w:rFonts w:hint="eastAsia"/>
          <w:color w:val="000000" w:themeColor="text1"/>
          <w:kern w:val="0"/>
          <w:sz w:val="24"/>
          <w14:textFill>
            <w14:solidFill>
              <w14:schemeClr w14:val="tx1"/>
            </w14:solidFill>
          </w14:textFill>
        </w:rPr>
        <w:t>建设过程发生重大变动，于2023年6月21日取得昆生环寻复〔2023〕24号昆明市生态环境局寻甸分局关于对《</w:t>
      </w:r>
      <w:r>
        <w:rPr>
          <w:rFonts w:hint="eastAsia"/>
          <w:color w:val="000000" w:themeColor="text1"/>
          <w:sz w:val="24"/>
          <w:szCs w:val="22"/>
          <w14:textFill>
            <w14:solidFill>
              <w14:schemeClr w14:val="tx1"/>
            </w14:solidFill>
          </w14:textFill>
        </w:rPr>
        <w:t>云南錦创环境科技有限公司</w:t>
      </w:r>
      <w:r>
        <w:rPr>
          <w:rFonts w:hint="eastAsia"/>
          <w:color w:val="000000" w:themeColor="text1"/>
          <w:kern w:val="0"/>
          <w:sz w:val="24"/>
          <w14:textFill>
            <w14:solidFill>
              <w14:schemeClr w14:val="tx1"/>
            </w14:solidFill>
          </w14:textFill>
        </w:rPr>
        <w:t>果蔬废弃物处理项目（变更）环境影响报告表的批复》。</w:t>
      </w:r>
      <w:r>
        <w:rPr>
          <w:rFonts w:hint="eastAsia"/>
          <w:color w:val="000000" w:themeColor="text1"/>
          <w:sz w:val="24"/>
          <w:szCs w:val="22"/>
          <w14:textFill>
            <w14:solidFill>
              <w14:schemeClr w14:val="tx1"/>
            </w14:solidFill>
          </w14:textFill>
        </w:rPr>
        <w:t>在设备安装过程中，由于烟气处理措施与项目实际不适用，导致废气污染措施发生变化，污染量增加10%以上，项目发生重大变动重新报批，其余建设内容在重新报批前建设完成。并于2024年10月16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环境影响报告表（重新报批）》的批复，昆生环寻复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4</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22</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。于2024年 12月16日进行了排污许可登记，登记编号为 91530129MA7BBA1DXW001X，有效期为 2024 年 12 月 16 日至2029 年 12 月 15 日。</w:t>
      </w:r>
      <w:r>
        <w:rPr>
          <w:rFonts w:hint="eastAsia"/>
          <w:color w:val="000000" w:themeColor="text1"/>
          <w:sz w:val="24"/>
          <w:szCs w:val="22"/>
          <w:lang w:val="en-US" w:eastAsia="zh-CN"/>
          <w14:textFill>
            <w14:solidFill>
              <w14:schemeClr w14:val="tx1"/>
            </w14:solidFill>
          </w14:textFill>
        </w:rPr>
        <w:t>于2024年12月26日编制完成《</w:t>
      </w:r>
      <w:r>
        <w:rPr>
          <w:rFonts w:hint="eastAsia" w:ascii="宋体" w:hAnsi="宋体" w:cs="宋体"/>
          <w:color w:val="000000" w:themeColor="text1"/>
          <w:kern w:val="0"/>
          <w:sz w:val="24"/>
          <w:lang w:bidi="ar"/>
          <w14:textFill>
            <w14:solidFill>
              <w14:schemeClr w14:val="tx1"/>
            </w14:solidFill>
          </w14:textFill>
        </w:rPr>
        <w:t>云南錦创环境科技有限公司</w:t>
      </w:r>
      <w:r>
        <w:rPr>
          <w:rFonts w:hint="eastAsia"/>
          <w:color w:val="000000" w:themeColor="text1"/>
          <w:sz w:val="24"/>
          <w:szCs w:val="22"/>
          <w:lang w:val="en-US" w:eastAsia="zh-CN"/>
          <w14:textFill>
            <w14:solidFill>
              <w14:schemeClr w14:val="tx1"/>
            </w14:solidFill>
          </w14:textFill>
        </w:rPr>
        <w:t>突发环境事件应急预案》，风险等级为较大，备案号为530-129-2024-146-M。</w:t>
      </w:r>
      <w:r>
        <w:rPr>
          <w:rFonts w:hint="eastAsia"/>
          <w:color w:val="000000" w:themeColor="text1"/>
          <w:sz w:val="24"/>
          <w:szCs w:val="22"/>
          <w14:textFill>
            <w14:solidFill>
              <w14:schemeClr w14:val="tx1"/>
            </w14:solidFill>
          </w14:textFill>
        </w:rPr>
        <w:t>于2025年2月委托</w:t>
      </w:r>
      <w:r>
        <w:rPr>
          <w:color w:val="000000" w:themeColor="text1"/>
          <w:sz w:val="24"/>
          <w14:textFill>
            <w14:solidFill>
              <w14:schemeClr w14:val="tx1"/>
            </w14:solidFill>
          </w14:textFill>
        </w:rPr>
        <w:t>编制完成了《</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通过了</w:t>
      </w:r>
      <w:r>
        <w:rPr>
          <w:color w:val="000000" w:themeColor="text1"/>
          <w:sz w:val="24"/>
          <w14:textFill>
            <w14:solidFill>
              <w14:schemeClr w14:val="tx1"/>
            </w14:solidFill>
          </w14:textFill>
        </w:rPr>
        <w:t>竣工环境保护验收。</w:t>
      </w:r>
    </w:p>
    <w:p w14:paraId="69E8C294">
      <w:pPr>
        <w:spacing w:line="360" w:lineRule="auto"/>
        <w:ind w:firstLine="480" w:firstLineChars="200"/>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14:textFill>
            <w14:solidFill>
              <w14:schemeClr w14:val="tx1"/>
            </w14:solidFill>
          </w14:textFill>
        </w:rPr>
        <w:t>2025年8月，因公司考虑运营成本问题及市场问题，计划在原</w:t>
      </w:r>
      <w:r>
        <w:rPr>
          <w:rFonts w:hint="eastAsia" w:ascii="宋体" w:hAnsi="宋体" w:cs="宋体"/>
          <w:color w:val="000000" w:themeColor="text1"/>
          <w:kern w:val="0"/>
          <w:sz w:val="24"/>
          <w:lang w:bidi="ar"/>
          <w14:textFill>
            <w14:solidFill>
              <w14:schemeClr w14:val="tx1"/>
            </w14:solidFill>
          </w14:textFill>
        </w:rPr>
        <w:t>果蔬废弃物处理生产线基础上，增设2条生产线</w:t>
      </w:r>
      <w:r>
        <w:rPr>
          <w:rFonts w:hint="eastAsia"/>
          <w:color w:val="000000" w:themeColor="text1"/>
          <w:kern w:val="0"/>
          <w:sz w:val="24"/>
          <w14:textFill>
            <w14:solidFill>
              <w14:schemeClr w14:val="tx1"/>
            </w14:solidFill>
          </w14:textFill>
        </w:rPr>
        <w:t>进行有机肥制造，主要计划生产液态水溶肥及固态粉状有机肥两种产品。拟建项目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街道办事处道院社区大法古村。</w:t>
      </w:r>
      <w:r>
        <w:rPr>
          <w:rFonts w:hint="eastAsia"/>
          <w:color w:val="000000" w:themeColor="text1"/>
          <w:kern w:val="0"/>
          <w:sz w:val="24"/>
          <w:lang w:val="en-US" w:eastAsia="zh-CN"/>
          <w14:textFill>
            <w14:solidFill>
              <w14:schemeClr w14:val="tx1"/>
            </w14:solidFill>
          </w14:textFill>
        </w:rPr>
        <w:t>公司成立</w:t>
      </w:r>
      <w:r>
        <w:rPr>
          <w:rFonts w:hint="eastAsia" w:ascii="宋体" w:hAnsi="宋体" w:eastAsia="宋体" w:cs="宋体"/>
          <w:color w:val="000000" w:themeColor="text1"/>
          <w:kern w:val="0"/>
          <w:sz w:val="24"/>
          <w:lang w:val="en-US" w:eastAsia="zh-CN" w:bidi="ar"/>
          <w14:textFill>
            <w14:solidFill>
              <w14:schemeClr w14:val="tx1"/>
            </w14:solidFill>
          </w14:textFill>
        </w:rPr>
        <w:t>云南甘坤生物科技有限公司作为云南錦创环境科技有限公司的销售公司，专门负责云南錦创环境科技有限公司现有蔬菜干饲料产品及拟新增液态水溶肥、固态粉状有机肥产品的市场推广、渠道拓展、客户维护与产品销售等业务，旨在打通生产与市场的衔接环节，保障拟建有机肥生产线投产后产品的顺利流通，进一步提升公司产品的市场覆盖度与运营效益，助力公司在农业废弃物资源化利用及有机肥产业领域的可持续发展。</w:t>
      </w:r>
    </w:p>
    <w:p w14:paraId="2FE8C0EC">
      <w:pPr>
        <w:spacing w:line="360" w:lineRule="auto"/>
        <w:ind w:firstLine="480" w:firstLineChars="200"/>
        <w:rPr>
          <w:rFonts w:hint="eastAsia" w:ascii="黑体" w:hAnsi="黑体" w:eastAsia="黑体"/>
          <w:color w:val="000000" w:themeColor="text1"/>
          <w:kern w:val="0"/>
          <w:sz w:val="30"/>
          <w:szCs w:val="30"/>
          <w14:textFill>
            <w14:solidFill>
              <w14:schemeClr w14:val="tx1"/>
            </w14:solidFill>
          </w14:textFill>
        </w:rPr>
        <w:sectPr>
          <w:footerReference r:id="rId5" w:type="default"/>
          <w:pgSz w:w="11906" w:h="16838"/>
          <w:pgMar w:top="1701" w:right="1417" w:bottom="1417" w:left="1417" w:header="851" w:footer="851" w:gutter="0"/>
          <w:pgNumType w:start="1"/>
          <w:cols w:space="720" w:num="1"/>
          <w:docGrid w:linePitch="312" w:charSpace="0"/>
        </w:sectPr>
      </w:pPr>
      <w:r>
        <w:rPr>
          <w:color w:val="000000" w:themeColor="text1"/>
          <w:sz w:val="24"/>
          <w14:textFill>
            <w14:solidFill>
              <w14:schemeClr w14:val="tx1"/>
            </w14:solidFill>
          </w14:textFill>
        </w:rPr>
        <w:t>根据《中华人民共和国环境保护法》、《中华人民共和国环境影响评价法》和《建设项目环境保护管理条例》（国务院令第682号）的规定，本项目应进行环境影响评价；根据《建设项目环境影响评价分类管理名录（2021年版）》，本项目属于“二十三、化学原料和化学制品制造业 26”中“45 肥料制造 262”中的“其他”，应编制环境影响报告表。</w:t>
      </w:r>
    </w:p>
    <w:p w14:paraId="58755726">
      <w:pPr>
        <w:spacing w:before="100" w:beforeAutospacing="1" w:after="100" w:afterAutospacing="1" w:line="360" w:lineRule="auto"/>
        <w:ind w:firstLine="600" w:firstLineChars="200"/>
        <w:jc w:val="center"/>
        <w:outlineLvl w:val="0"/>
        <w:rPr>
          <w:rFonts w:hint="eastAsia" w:ascii="黑体" w:hAnsi="黑体" w:eastAsia="黑体"/>
          <w:color w:val="000000" w:themeColor="text1"/>
          <w:kern w:val="0"/>
          <w:sz w:val="30"/>
          <w:szCs w:val="30"/>
          <w14:textFill>
            <w14:solidFill>
              <w14:schemeClr w14:val="tx1"/>
            </w14:solidFill>
          </w14:textFill>
        </w:rPr>
      </w:pPr>
      <w:r>
        <w:rPr>
          <w:rFonts w:hint="eastAsia" w:ascii="黑体" w:hAnsi="黑体" w:eastAsia="黑体"/>
          <w:color w:val="000000" w:themeColor="text1"/>
          <w:kern w:val="0"/>
          <w:sz w:val="30"/>
          <w:szCs w:val="30"/>
          <w14:textFill>
            <w14:solidFill>
              <w14:schemeClr w14:val="tx1"/>
            </w14:solidFill>
          </w14:textFill>
        </w:rPr>
        <w:t>目 录</w:t>
      </w:r>
      <w:bookmarkEnd w:id="1"/>
      <w:bookmarkEnd w:id="2"/>
      <w:bookmarkEnd w:id="3"/>
      <w:bookmarkEnd w:id="4"/>
      <w:bookmarkEnd w:id="7"/>
    </w:p>
    <w:p w14:paraId="0300FD1D">
      <w:pPr>
        <w:pStyle w:val="20"/>
        <w:tabs>
          <w:tab w:val="right" w:leader="dot" w:pos="8306"/>
        </w:tabs>
        <w:spacing w:line="360" w:lineRule="auto"/>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TOC \o "1-1" \h \u </w:instrText>
      </w:r>
      <w:r>
        <w:rPr>
          <w:color w:val="000000" w:themeColor="text1"/>
          <w:kern w:val="0"/>
          <w:sz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"_Toc25330"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一、建设项目基本情况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_Toc25330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9304F1B">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"_Toc30114"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二、建设项目工程分析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_Toc30114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2D07C09B">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"_Toc16299"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三、区域环境质量现状、环境保护目标及评价标准</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_Toc16299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59</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ECCE5A9">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"_Toc4528"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四、主要环境影响和保护措施</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_Toc4528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69</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64F06E95">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"_Toc10227"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五、环境保护措施监督检查清单</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_Toc10227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95</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5A86FA5">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"_Toc10790"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六、结论</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_Toc10790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97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09423551">
      <w:pPr>
        <w:pStyle w:val="20"/>
        <w:tabs>
          <w:tab w:val="right" w:leader="dot" w:pos="8306"/>
        </w:tabs>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"_Toc22220" </w:instrText>
      </w:r>
      <w:r>
        <w:rPr>
          <w:color w:val="000000" w:themeColor="text1"/>
          <w14:textFill>
            <w14:solidFill>
              <w14:schemeClr w14:val="tx1"/>
            </w14:solidFill>
          </w14:textFill>
        </w:rPr>
        <w:fldChar w:fldCharType="separate"/>
      </w:r>
      <w:r>
        <w:rPr>
          <w:color w:val="000000" w:themeColor="text1"/>
          <w:kern w:val="0"/>
          <w:sz w:val="24"/>
          <w14:textFill>
            <w14:solidFill>
              <w14:schemeClr w14:val="tx1"/>
            </w14:solidFill>
          </w14:textFill>
        </w:rPr>
        <w:t>建设项目污染物排放量汇总表</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_Toc22220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98</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14:paraId="759411CF">
      <w:pPr>
        <w:spacing w:before="100" w:beforeAutospacing="1" w:after="100" w:afterAutospacing="1"/>
        <w:jc w:val="left"/>
        <w:outlineLvl w:val="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fldChar w:fldCharType="end"/>
      </w:r>
      <w:r>
        <w:rPr>
          <w:rFonts w:hint="eastAsia"/>
          <w:b/>
          <w:bCs/>
          <w:color w:val="000000" w:themeColor="text1"/>
          <w:sz w:val="24"/>
          <w14:textFill>
            <w14:solidFill>
              <w14:schemeClr w14:val="tx1"/>
            </w14:solidFill>
          </w14:textFill>
        </w:rPr>
        <w:t>==附件==：</w:t>
      </w:r>
    </w:p>
    <w:p w14:paraId="7EF6897A">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附件1：委托书</w:t>
      </w:r>
    </w:p>
    <w:p w14:paraId="56214B36">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附件2：建设单位营业执照</w:t>
      </w:r>
    </w:p>
    <w:p w14:paraId="090BD6E0">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附件3：投资备案证</w:t>
      </w:r>
    </w:p>
    <w:p w14:paraId="7CDD54E9">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附件4：用地性质证明文件、土地租赁合同</w:t>
      </w:r>
    </w:p>
    <w:p w14:paraId="71CBEB8C">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附件5：环评合同</w:t>
      </w:r>
    </w:p>
    <w:p w14:paraId="66042A5A">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附件6：自然资源所三区三线查询及用地证明</w:t>
      </w:r>
    </w:p>
    <w:p w14:paraId="133979BC">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附件7：云南錦创环境科技有限公司果蔬废弃物处理项目（重新报批）环评手续&lt;批复、验收意见、排污许可&gt;</w:t>
      </w:r>
    </w:p>
    <w:p w14:paraId="60E2201D">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附件8：声环境现状引用监测报告</w:t>
      </w:r>
    </w:p>
    <w:p w14:paraId="1C5B63DF">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附件9：地下水、土壤环境引用监测报告</w:t>
      </w:r>
    </w:p>
    <w:p w14:paraId="744A7E64">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附件10：大气环境质量监测报告（中佰检字[2025]-11391）</w:t>
      </w:r>
    </w:p>
    <w:p w14:paraId="5C3961B2">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附件11二级内审意见表</w:t>
      </w:r>
    </w:p>
    <w:p w14:paraId="1CD9E5BD">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附件12：环评工作进度控制表</w:t>
      </w:r>
    </w:p>
    <w:p w14:paraId="3B83FD66">
      <w:pPr>
        <w:adjustRightInd w:val="0"/>
        <w:snapToGrid w:val="0"/>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==附图==：</w:t>
      </w:r>
    </w:p>
    <w:p w14:paraId="60709560">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附图1：地理位置图</w:t>
      </w:r>
    </w:p>
    <w:p w14:paraId="41E81BA3">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附图2：周边关系图</w:t>
      </w:r>
    </w:p>
    <w:p w14:paraId="59DB7FF4">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附图3：水系图</w:t>
      </w:r>
    </w:p>
    <w:p w14:paraId="112BE589">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附图4：与牛栏江调水水源区保护分区位置关系图</w:t>
      </w:r>
    </w:p>
    <w:p w14:paraId="32D037D5">
      <w:pPr>
        <w:adjustRightInd w:val="0"/>
        <w:snapToGrid w:val="0"/>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附图5：粉剂固态肥车间平面布置与环保设施分布图</w:t>
      </w:r>
    </w:p>
    <w:p w14:paraId="31152F46">
      <w:pPr>
        <w:adjustRightInd w:val="0"/>
        <w:snapToGrid w:val="0"/>
        <w:spacing w:line="360" w:lineRule="auto"/>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附图6：</w:t>
      </w:r>
      <w:r>
        <w:rPr>
          <w:rFonts w:hint="eastAsia" w:ascii="Times New Roman" w:hAnsi="Times New Roman" w:eastAsia="宋体" w:cs="Times New Roman"/>
          <w:color w:val="000000" w:themeColor="text1"/>
          <w:sz w:val="24"/>
          <w14:textFill>
            <w14:solidFill>
              <w14:schemeClr w14:val="tx1"/>
            </w14:solidFill>
          </w14:textFill>
        </w:rPr>
        <w:t>液态水溶肥车间平面布置与环保设施分布图</w:t>
      </w:r>
    </w:p>
    <w:p w14:paraId="2363C5C2">
      <w:pPr>
        <w:adjustRightInd w:val="0"/>
        <w:snapToGrid w:val="0"/>
        <w:spacing w:line="360" w:lineRule="auto"/>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附图7：整个厂区平面位置分布图</w:t>
      </w:r>
    </w:p>
    <w:p w14:paraId="144F575D">
      <w:pPr>
        <w:adjustRightInd w:val="0"/>
        <w:snapToGrid w:val="0"/>
        <w:spacing w:line="360" w:lineRule="auto"/>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附图</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14:textFill>
            <w14:solidFill>
              <w14:schemeClr w14:val="tx1"/>
            </w14:solidFill>
          </w14:textFill>
        </w:rPr>
        <w:t>：现状监测点位图</w:t>
      </w:r>
    </w:p>
    <w:p w14:paraId="45F81636">
      <w:pPr>
        <w:adjustRightInd w:val="0"/>
        <w:snapToGrid w:val="0"/>
        <w:spacing w:line="360" w:lineRule="auto"/>
        <w:jc w:val="left"/>
        <w:rPr>
          <w:rFonts w:hint="default" w:ascii="Times New Roman" w:hAnsi="Times New Roman" w:eastAsia="宋体" w:cs="Times New Roman"/>
          <w:color w:val="000000" w:themeColor="text1"/>
          <w:sz w:val="24"/>
          <w:lang w:val="en-US" w:eastAsia="zh-CN"/>
          <w14:textFill>
            <w14:solidFill>
              <w14:schemeClr w14:val="tx1"/>
            </w14:solidFill>
          </w14:textFill>
        </w:rPr>
        <w:sectPr>
          <w:pgSz w:w="11906" w:h="16838"/>
          <w:pgMar w:top="1701" w:right="1417" w:bottom="1417" w:left="1417" w:header="851" w:footer="851" w:gutter="0"/>
          <w:pgNumType w:start="1"/>
          <w:cols w:space="720" w:num="1"/>
          <w:docGrid w:linePitch="312" w:charSpace="0"/>
        </w:sectPr>
      </w:pPr>
      <w:bookmarkStart w:id="8" w:name="_Toc25330"/>
      <w:bookmarkStart w:id="9" w:name="_Toc28425"/>
      <w:r>
        <w:rPr>
          <w:rFonts w:hint="eastAsia" w:ascii="Times New Roman" w:hAnsi="Times New Roman" w:eastAsia="宋体" w:cs="Times New Roman"/>
          <w:color w:val="000000" w:themeColor="text1"/>
          <w:sz w:val="24"/>
          <w:lang w:val="en-US" w:eastAsia="zh-CN"/>
          <w14:textFill>
            <w14:solidFill>
              <w14:schemeClr w14:val="tx1"/>
            </w14:solidFill>
          </w14:textFill>
        </w:rPr>
        <w:t>附图9：分区防渗图</w:t>
      </w:r>
    </w:p>
    <w:p w14:paraId="3393E789">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r>
        <w:rPr>
          <w:rFonts w:hint="eastAsia" w:ascii="黑体" w:hAnsi="黑体" w:eastAsia="黑体"/>
          <w:color w:val="000000" w:themeColor="text1"/>
          <w:kern w:val="0"/>
          <w:sz w:val="30"/>
          <w:szCs w:val="30"/>
          <w14:textFill>
            <w14:solidFill>
              <w14:schemeClr w14:val="tx1"/>
            </w14:solidFill>
          </w14:textFill>
        </w:rPr>
        <w:t>一、建设项目基本情况</w:t>
      </w:r>
      <w:bookmarkEnd w:id="5"/>
      <w:bookmarkEnd w:id="6"/>
      <w:bookmarkEnd w:id="8"/>
      <w:bookmarkEnd w:id="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3210"/>
        <w:gridCol w:w="1550"/>
        <w:gridCol w:w="3239"/>
      </w:tblGrid>
      <w:tr w14:paraId="59DE6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F46D4DF">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建设项目名称</w:t>
            </w:r>
          </w:p>
        </w:tc>
        <w:tc>
          <w:tcPr>
            <w:tcW w:w="7999" w:type="dxa"/>
            <w:gridSpan w:val="3"/>
            <w:vAlign w:val="center"/>
          </w:tcPr>
          <w:p w14:paraId="5F2AF0ED">
            <w:pPr>
              <w:jc w:val="center"/>
              <w:rPr>
                <w:rFonts w:eastAsia="Calibri"/>
                <w:color w:val="000000" w:themeColor="text1"/>
                <w:kern w:val="0"/>
                <w:sz w:val="24"/>
                <w14:textFill>
                  <w14:solidFill>
                    <w14:schemeClr w14:val="tx1"/>
                  </w14:solidFill>
                </w14:textFill>
              </w:rPr>
            </w:pPr>
            <w:r>
              <w:rPr>
                <w:rFonts w:eastAsia="Calibri"/>
                <w:color w:val="000000" w:themeColor="text1"/>
                <w:kern w:val="0"/>
                <w:sz w:val="24"/>
                <w14:textFill>
                  <w14:solidFill>
                    <w14:schemeClr w14:val="tx1"/>
                  </w14:solidFill>
                </w14:textFill>
              </w:rPr>
              <w:t>云南錦创环境科技有限公司改扩建</w:t>
            </w:r>
          </w:p>
        </w:tc>
      </w:tr>
      <w:tr w14:paraId="2ACBF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C0A2EA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项目代码</w:t>
            </w:r>
          </w:p>
        </w:tc>
        <w:tc>
          <w:tcPr>
            <w:tcW w:w="7999" w:type="dxa"/>
            <w:gridSpan w:val="3"/>
            <w:vAlign w:val="center"/>
          </w:tcPr>
          <w:p w14:paraId="345AE53A">
            <w:pPr>
              <w:jc w:val="center"/>
              <w:rPr>
                <w:rFonts w:eastAsia="Calibri"/>
                <w:color w:val="000000" w:themeColor="text1"/>
                <w:kern w:val="0"/>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2510-530129-04-01-957343</w:t>
            </w:r>
          </w:p>
        </w:tc>
      </w:tr>
      <w:tr w14:paraId="61795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5959C6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建设单位联系人</w:t>
            </w:r>
          </w:p>
        </w:tc>
        <w:tc>
          <w:tcPr>
            <w:tcW w:w="3210" w:type="dxa"/>
            <w:vAlign w:val="center"/>
          </w:tcPr>
          <w:p w14:paraId="5FAA72ED">
            <w:pPr>
              <w:jc w:val="center"/>
              <w:rPr>
                <w:color w:val="000000" w:themeColor="text1"/>
                <w:kern w:val="0"/>
                <w:sz w:val="24"/>
                <w14:textFill>
                  <w14:solidFill>
                    <w14:schemeClr w14:val="tx1"/>
                  </w14:solidFill>
                </w14:textFill>
              </w:rPr>
            </w:pPr>
          </w:p>
        </w:tc>
        <w:tc>
          <w:tcPr>
            <w:tcW w:w="1550" w:type="dxa"/>
            <w:vAlign w:val="center"/>
          </w:tcPr>
          <w:p w14:paraId="62C5A35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联系方式</w:t>
            </w:r>
          </w:p>
        </w:tc>
        <w:tc>
          <w:tcPr>
            <w:tcW w:w="3239" w:type="dxa"/>
            <w:vAlign w:val="center"/>
          </w:tcPr>
          <w:p w14:paraId="31DB94B7">
            <w:pPr>
              <w:jc w:val="center"/>
              <w:rPr>
                <w:color w:val="000000" w:themeColor="text1"/>
                <w:kern w:val="0"/>
                <w:sz w:val="24"/>
                <w14:textFill>
                  <w14:solidFill>
                    <w14:schemeClr w14:val="tx1"/>
                  </w14:solidFill>
                </w14:textFill>
              </w:rPr>
            </w:pPr>
          </w:p>
        </w:tc>
      </w:tr>
      <w:tr w14:paraId="5C6B8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5899C1F4">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建设地点</w:t>
            </w:r>
          </w:p>
        </w:tc>
        <w:tc>
          <w:tcPr>
            <w:tcW w:w="7999" w:type="dxa"/>
            <w:gridSpan w:val="3"/>
            <w:vAlign w:val="center"/>
          </w:tcPr>
          <w:p w14:paraId="10DCB61F">
            <w:pPr>
              <w:jc w:val="center"/>
              <w:rPr>
                <w:color w:val="000000" w:themeColor="text1"/>
                <w:kern w:val="0"/>
                <w:sz w:val="24"/>
                <w14:textFill>
                  <w14:solidFill>
                    <w14:schemeClr w14:val="tx1"/>
                  </w14:solidFill>
                </w14:textFill>
              </w:rPr>
            </w:pPr>
            <w:r>
              <w:rPr>
                <w:color w:val="000000" w:themeColor="text1"/>
                <w:kern w:val="0"/>
                <w:sz w:val="24"/>
                <w:u w:val="single"/>
                <w14:textFill>
                  <w14:solidFill>
                    <w14:schemeClr w14:val="tx1"/>
                  </w14:solidFill>
                </w14:textFill>
              </w:rPr>
              <w:t>云南</w:t>
            </w:r>
            <w:r>
              <w:rPr>
                <w:color w:val="000000" w:themeColor="text1"/>
                <w:kern w:val="0"/>
                <w:sz w:val="24"/>
                <w14:textFill>
                  <w14:solidFill>
                    <w14:schemeClr w14:val="tx1"/>
                  </w14:solidFill>
                </w14:textFill>
              </w:rPr>
              <w:t>省（自治区）</w:t>
            </w:r>
            <w:r>
              <w:rPr>
                <w:rFonts w:hint="eastAsia"/>
                <w:color w:val="000000" w:themeColor="text1"/>
                <w:kern w:val="0"/>
                <w:sz w:val="24"/>
                <w:u w:val="single"/>
                <w14:textFill>
                  <w14:solidFill>
                    <w14:schemeClr w14:val="tx1"/>
                  </w14:solidFill>
                </w14:textFill>
              </w:rPr>
              <w:t>昆明</w:t>
            </w:r>
            <w:r>
              <w:rPr>
                <w:color w:val="000000" w:themeColor="text1"/>
                <w:kern w:val="0"/>
                <w:sz w:val="24"/>
                <w14:textFill>
                  <w14:solidFill>
                    <w14:schemeClr w14:val="tx1"/>
                  </w14:solidFill>
                </w14:textFill>
              </w:rPr>
              <w:t>市</w:t>
            </w:r>
            <w:r>
              <w:rPr>
                <w:rFonts w:hint="eastAsia"/>
                <w:color w:val="000000" w:themeColor="text1"/>
                <w:kern w:val="0"/>
                <w:sz w:val="24"/>
                <w14:textFill>
                  <w14:solidFill>
                    <w14:schemeClr w14:val="tx1"/>
                  </w14:solidFill>
                </w14:textFill>
              </w:rPr>
              <w:t>寻甸</w:t>
            </w:r>
            <w:r>
              <w:rPr>
                <w:rFonts w:hint="eastAsia"/>
                <w:color w:val="000000" w:themeColor="text1"/>
                <w:kern w:val="0"/>
                <w:sz w:val="24"/>
                <w:u w:val="single"/>
                <w14:textFill>
                  <w14:solidFill>
                    <w14:schemeClr w14:val="tx1"/>
                  </w14:solidFill>
                </w14:textFill>
              </w:rPr>
              <w:t>县</w:t>
            </w:r>
            <w:r>
              <w:rPr>
                <w:color w:val="000000" w:themeColor="text1"/>
                <w:kern w:val="0"/>
                <w:sz w:val="24"/>
                <w14:textFill>
                  <w14:solidFill>
                    <w14:schemeClr w14:val="tx1"/>
                  </w14:solidFill>
                </w14:textFill>
              </w:rPr>
              <w:t>（区</w:t>
            </w:r>
            <w:r>
              <w:rPr>
                <w:color w:val="000000" w:themeColor="text1"/>
                <w:kern w:val="0"/>
                <w:sz w:val="24"/>
                <w:szCs w:val="24"/>
                <w14:textFill>
                  <w14:solidFill>
                    <w14:schemeClr w14:val="tx1"/>
                  </w14:solidFill>
                </w14:textFill>
              </w:rPr>
              <w:t>）</w:t>
            </w:r>
            <w:r>
              <w:rPr>
                <w:rFonts w:hint="eastAsia"/>
                <w:color w:val="000000" w:themeColor="text1"/>
                <w:kern w:val="18"/>
                <w:sz w:val="24"/>
                <w:u w:val="single"/>
                <w14:textFill>
                  <w14:solidFill>
                    <w14:schemeClr w14:val="tx1"/>
                  </w14:solidFill>
                </w14:textFill>
              </w:rPr>
              <w:t>仁德街道道院社区</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乡（街道）</w:t>
            </w:r>
            <w:r>
              <w:rPr>
                <w:rFonts w:ascii="宋体" w:hAnsi="宋体" w:cs="宋体"/>
                <w:color w:val="000000" w:themeColor="text1"/>
                <w:sz w:val="24"/>
                <w:szCs w:val="24"/>
                <w:u w:val="single"/>
                <w14:textFill>
                  <w14:solidFill>
                    <w14:schemeClr w14:val="tx1"/>
                  </w14:solidFill>
                </w14:textFill>
              </w:rPr>
              <w:t xml:space="preserve">   </w:t>
            </w:r>
            <w:r>
              <w:rPr>
                <w:rFonts w:hint="eastAsia"/>
                <w:color w:val="000000" w:themeColor="text1"/>
                <w:kern w:val="18"/>
                <w:sz w:val="24"/>
                <w:u w:val="single"/>
                <w14:textFill>
                  <w14:solidFill>
                    <w14:schemeClr w14:val="tx1"/>
                  </w14:solidFill>
                </w14:textFill>
              </w:rPr>
              <w:t>大法古村</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（具体地址）</w:t>
            </w:r>
          </w:p>
        </w:tc>
      </w:tr>
      <w:tr w14:paraId="1E453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1338F4B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地理坐标</w:t>
            </w:r>
          </w:p>
        </w:tc>
        <w:tc>
          <w:tcPr>
            <w:tcW w:w="7999" w:type="dxa"/>
            <w:gridSpan w:val="3"/>
            <w:vAlign w:val="center"/>
          </w:tcPr>
          <w:p w14:paraId="7B6C86C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color w:val="000000" w:themeColor="text1"/>
                <w:kern w:val="0"/>
                <w:sz w:val="24"/>
                <w:u w:val="single"/>
                <w14:textFill>
                  <w14:solidFill>
                    <w14:schemeClr w14:val="tx1"/>
                  </w14:solidFill>
                </w14:textFill>
              </w:rPr>
              <w:t>10</w:t>
            </w:r>
            <w:r>
              <w:rPr>
                <w:rFonts w:hint="eastAsia"/>
                <w:color w:val="000000" w:themeColor="text1"/>
                <w:kern w:val="0"/>
                <w:sz w:val="24"/>
                <w:u w:val="single"/>
                <w14:textFill>
                  <w14:solidFill>
                    <w14:schemeClr w14:val="tx1"/>
                  </w14:solidFill>
                </w14:textFill>
              </w:rPr>
              <w:t>3</w:t>
            </w:r>
            <w:r>
              <w:rPr>
                <w:color w:val="000000" w:themeColor="text1"/>
                <w:kern w:val="0"/>
                <w:sz w:val="24"/>
                <w14:textFill>
                  <w14:solidFill>
                    <w14:schemeClr w14:val="tx1"/>
                  </w14:solidFill>
                </w14:textFill>
              </w:rPr>
              <w:t>度</w:t>
            </w:r>
            <w:r>
              <w:rPr>
                <w:rFonts w:hint="eastAsia"/>
                <w:color w:val="000000" w:themeColor="text1"/>
                <w:kern w:val="0"/>
                <w:sz w:val="24"/>
                <w:u w:val="single"/>
                <w14:textFill>
                  <w14:solidFill>
                    <w14:schemeClr w14:val="tx1"/>
                  </w14:solidFill>
                </w14:textFill>
              </w:rPr>
              <w:t>18</w:t>
            </w:r>
            <w:r>
              <w:rPr>
                <w:color w:val="000000" w:themeColor="text1"/>
                <w:kern w:val="0"/>
                <w:sz w:val="24"/>
                <w14:textFill>
                  <w14:solidFill>
                    <w14:schemeClr w14:val="tx1"/>
                  </w14:solidFill>
                </w14:textFill>
              </w:rPr>
              <w:t>分</w:t>
            </w:r>
            <w:r>
              <w:rPr>
                <w:rFonts w:hint="eastAsia"/>
                <w:color w:val="000000" w:themeColor="text1"/>
                <w:kern w:val="0"/>
                <w:sz w:val="24"/>
                <w14:textFill>
                  <w14:solidFill>
                    <w14:schemeClr w14:val="tx1"/>
                  </w14:solidFill>
                </w14:textFill>
              </w:rPr>
              <w:t>35.018</w:t>
            </w:r>
            <w:r>
              <w:rPr>
                <w:color w:val="000000" w:themeColor="text1"/>
                <w:kern w:val="0"/>
                <w:sz w:val="24"/>
                <w14:textFill>
                  <w14:solidFill>
                    <w14:schemeClr w14:val="tx1"/>
                  </w14:solidFill>
                </w14:textFill>
              </w:rPr>
              <w:t>秒，</w:t>
            </w:r>
            <w:r>
              <w:rPr>
                <w:color w:val="000000" w:themeColor="text1"/>
                <w:kern w:val="0"/>
                <w:sz w:val="24"/>
                <w:u w:val="single"/>
                <w14:textFill>
                  <w14:solidFill>
                    <w14:schemeClr w14:val="tx1"/>
                  </w14:solidFill>
                </w14:textFill>
              </w:rPr>
              <w:t>25</w:t>
            </w:r>
            <w:r>
              <w:rPr>
                <w:color w:val="000000" w:themeColor="text1"/>
                <w:kern w:val="0"/>
                <w:sz w:val="24"/>
                <w14:textFill>
                  <w14:solidFill>
                    <w14:schemeClr w14:val="tx1"/>
                  </w14:solidFill>
                </w14:textFill>
              </w:rPr>
              <w:t>度</w:t>
            </w:r>
            <w:r>
              <w:rPr>
                <w:rFonts w:hint="eastAsia"/>
                <w:color w:val="000000" w:themeColor="text1"/>
                <w:kern w:val="0"/>
                <w:sz w:val="24"/>
                <w:u w:val="single"/>
                <w14:textFill>
                  <w14:solidFill>
                    <w14:schemeClr w14:val="tx1"/>
                  </w14:solidFill>
                </w14:textFill>
              </w:rPr>
              <w:t>34</w:t>
            </w:r>
            <w:r>
              <w:rPr>
                <w:color w:val="000000" w:themeColor="text1"/>
                <w:kern w:val="0"/>
                <w:sz w:val="24"/>
                <w14:textFill>
                  <w14:solidFill>
                    <w14:schemeClr w14:val="tx1"/>
                  </w14:solidFill>
                </w14:textFill>
              </w:rPr>
              <w:t>分</w:t>
            </w:r>
            <w:r>
              <w:rPr>
                <w:rFonts w:hint="eastAsia"/>
                <w:color w:val="000000" w:themeColor="text1"/>
                <w:kern w:val="0"/>
                <w:sz w:val="24"/>
                <w:u w:val="single"/>
                <w14:textFill>
                  <w14:solidFill>
                    <w14:schemeClr w14:val="tx1"/>
                  </w14:solidFill>
                </w14:textFill>
              </w:rPr>
              <w:t>4.154</w:t>
            </w:r>
            <w:r>
              <w:rPr>
                <w:color w:val="000000" w:themeColor="text1"/>
                <w:kern w:val="0"/>
                <w:sz w:val="24"/>
                <w14:textFill>
                  <w14:solidFill>
                    <w14:schemeClr w14:val="tx1"/>
                  </w14:solidFill>
                </w14:textFill>
              </w:rPr>
              <w:t>秒）</w:t>
            </w:r>
          </w:p>
        </w:tc>
      </w:tr>
      <w:tr w14:paraId="48335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3364C404">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国民经济</w:t>
            </w:r>
          </w:p>
          <w:p w14:paraId="471275D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p>
        </w:tc>
        <w:tc>
          <w:tcPr>
            <w:tcW w:w="3210" w:type="dxa"/>
            <w:vAlign w:val="center"/>
          </w:tcPr>
          <w:p w14:paraId="012A2B78">
            <w:pPr>
              <w:jc w:val="center"/>
              <w:rPr>
                <w:rFonts w:eastAsia="Calibri"/>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C26</w:t>
            </w:r>
            <w:r>
              <w:rPr>
                <w:rFonts w:hint="eastAsia"/>
                <w:color w:val="000000" w:themeColor="text1"/>
                <w:kern w:val="0"/>
                <w:sz w:val="24"/>
                <w:lang w:val="en-US" w:eastAsia="zh-CN"/>
                <w14:textFill>
                  <w14:solidFill>
                    <w14:schemeClr w14:val="tx1"/>
                  </w14:solidFill>
                </w14:textFill>
              </w:rPr>
              <w:t>25有机</w:t>
            </w:r>
            <w:r>
              <w:rPr>
                <w:rFonts w:hint="eastAsia"/>
                <w:color w:val="000000" w:themeColor="text1"/>
                <w:kern w:val="0"/>
                <w:sz w:val="24"/>
                <w14:textFill>
                  <w14:solidFill>
                    <w14:schemeClr w14:val="tx1"/>
                  </w14:solidFill>
                </w14:textFill>
              </w:rPr>
              <w:t>肥料</w:t>
            </w:r>
            <w:r>
              <w:rPr>
                <w:rFonts w:hint="eastAsia"/>
                <w:color w:val="000000" w:themeColor="text1"/>
                <w:kern w:val="0"/>
                <w:sz w:val="24"/>
                <w:lang w:val="en-US" w:eastAsia="zh-CN"/>
                <w14:textFill>
                  <w14:solidFill>
                    <w14:schemeClr w14:val="tx1"/>
                  </w14:solidFill>
                </w14:textFill>
              </w:rPr>
              <w:t>及微生物肥料</w:t>
            </w:r>
            <w:r>
              <w:rPr>
                <w:rFonts w:hint="eastAsia"/>
                <w:color w:val="000000" w:themeColor="text1"/>
                <w:kern w:val="0"/>
                <w:sz w:val="24"/>
                <w14:textFill>
                  <w14:solidFill>
                    <w14:schemeClr w14:val="tx1"/>
                  </w14:solidFill>
                </w14:textFill>
              </w:rPr>
              <w:t>制造</w:t>
            </w:r>
          </w:p>
        </w:tc>
        <w:tc>
          <w:tcPr>
            <w:tcW w:w="1550" w:type="dxa"/>
            <w:vAlign w:val="center"/>
          </w:tcPr>
          <w:p w14:paraId="29C23791">
            <w:pPr>
              <w:jc w:val="center"/>
              <w:rPr>
                <w:color w:val="000000" w:themeColor="text1"/>
                <w:kern w:val="0"/>
                <w:sz w:val="24"/>
                <w14:textFill>
                  <w14:solidFill>
                    <w14:schemeClr w14:val="tx1"/>
                  </w14:solidFill>
                </w14:textFill>
              </w:rPr>
            </w:pPr>
            <w:bookmarkStart w:id="10" w:name="_Hlk49843745"/>
            <w:r>
              <w:rPr>
                <w:color w:val="000000" w:themeColor="text1"/>
                <w:kern w:val="0"/>
                <w:sz w:val="24"/>
                <w14:textFill>
                  <w14:solidFill>
                    <w14:schemeClr w14:val="tx1"/>
                  </w14:solidFill>
                </w14:textFill>
              </w:rPr>
              <w:t>建设项目</w:t>
            </w:r>
          </w:p>
          <w:p w14:paraId="6A94BCFB">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行业类别</w:t>
            </w:r>
            <w:bookmarkEnd w:id="10"/>
          </w:p>
        </w:tc>
        <w:tc>
          <w:tcPr>
            <w:tcW w:w="3239" w:type="dxa"/>
            <w:vAlign w:val="center"/>
          </w:tcPr>
          <w:p w14:paraId="3E1E9916">
            <w:pP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二十三、化学原料和化学制品制造业（26）45、肥料制造262</w:t>
            </w:r>
          </w:p>
        </w:tc>
      </w:tr>
      <w:tr w14:paraId="69BB8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2E7849A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建设性质</w:t>
            </w:r>
          </w:p>
        </w:tc>
        <w:tc>
          <w:tcPr>
            <w:tcW w:w="3210" w:type="dxa"/>
            <w:vAlign w:val="center"/>
          </w:tcPr>
          <w:p w14:paraId="7F5BBEF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新建（迁建）</w:t>
            </w:r>
          </w:p>
          <w:p w14:paraId="47EBEA1D">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改建</w:t>
            </w:r>
          </w:p>
          <w:p w14:paraId="584C8BAD">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扩建</w:t>
            </w:r>
          </w:p>
          <w:p w14:paraId="24CDAF7C">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技术改造</w:t>
            </w:r>
          </w:p>
        </w:tc>
        <w:tc>
          <w:tcPr>
            <w:tcW w:w="1550" w:type="dxa"/>
            <w:vAlign w:val="center"/>
          </w:tcPr>
          <w:p w14:paraId="1E23279C">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建设项目</w:t>
            </w:r>
          </w:p>
          <w:p w14:paraId="695EC197">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申报情形</w:t>
            </w:r>
          </w:p>
        </w:tc>
        <w:tc>
          <w:tcPr>
            <w:tcW w:w="3239" w:type="dxa"/>
            <w:vAlign w:val="center"/>
          </w:tcPr>
          <w:p w14:paraId="5EDCE92B">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 xml:space="preserve">首次申报项目           </w:t>
            </w:r>
          </w:p>
          <w:p w14:paraId="1F237CC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不予批准后再次申报项目</w:t>
            </w:r>
          </w:p>
          <w:p w14:paraId="3825E227">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 xml:space="preserve">超五年重新审核项目   </w:t>
            </w:r>
          </w:p>
          <w:p w14:paraId="3BFDAEAE">
            <w:pPr>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重大变动重新报批项目</w:t>
            </w:r>
          </w:p>
        </w:tc>
      </w:tr>
      <w:tr w14:paraId="6A87F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03D6EA9A">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项目审批（核准/备案）部门（选填）</w:t>
            </w:r>
          </w:p>
        </w:tc>
        <w:tc>
          <w:tcPr>
            <w:tcW w:w="3210" w:type="dxa"/>
            <w:vAlign w:val="center"/>
          </w:tcPr>
          <w:p w14:paraId="6C2EAD7E">
            <w:pPr>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寻甸县</w:t>
            </w:r>
            <w:r>
              <w:rPr>
                <w:color w:val="000000" w:themeColor="text1"/>
                <w:kern w:val="0"/>
                <w:sz w:val="24"/>
                <w14:textFill>
                  <w14:solidFill>
                    <w14:schemeClr w14:val="tx1"/>
                  </w14:solidFill>
                </w14:textFill>
              </w:rPr>
              <w:t>发展和改革局</w:t>
            </w:r>
          </w:p>
        </w:tc>
        <w:tc>
          <w:tcPr>
            <w:tcW w:w="1550" w:type="dxa"/>
            <w:vAlign w:val="center"/>
          </w:tcPr>
          <w:p w14:paraId="1C7313D2">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项目审批（核准/备案）文号（选填）</w:t>
            </w:r>
          </w:p>
        </w:tc>
        <w:tc>
          <w:tcPr>
            <w:tcW w:w="3239" w:type="dxa"/>
            <w:vAlign w:val="center"/>
          </w:tcPr>
          <w:p w14:paraId="2F43A9CD">
            <w:pPr>
              <w:jc w:val="center"/>
              <w:rPr>
                <w:color w:val="000000" w:themeColor="text1"/>
                <w:kern w:val="0"/>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2510-530129-04-01-957343</w:t>
            </w:r>
          </w:p>
        </w:tc>
      </w:tr>
      <w:tr w14:paraId="492F3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5EBB47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总投资（万元）</w:t>
            </w:r>
          </w:p>
        </w:tc>
        <w:tc>
          <w:tcPr>
            <w:tcW w:w="3210" w:type="dxa"/>
            <w:vAlign w:val="center"/>
          </w:tcPr>
          <w:p w14:paraId="7BF5F9FF">
            <w:pPr>
              <w:jc w:val="center"/>
              <w:rPr>
                <w:rFonts w:eastAsia="Calibri"/>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520</w:t>
            </w:r>
          </w:p>
        </w:tc>
        <w:tc>
          <w:tcPr>
            <w:tcW w:w="1550" w:type="dxa"/>
            <w:tcMar>
              <w:top w:w="16" w:type="dxa"/>
              <w:left w:w="16" w:type="dxa"/>
              <w:right w:w="16" w:type="dxa"/>
            </w:tcMar>
            <w:vAlign w:val="center"/>
          </w:tcPr>
          <w:p w14:paraId="20FE810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环保投资（万元）</w:t>
            </w:r>
          </w:p>
        </w:tc>
        <w:tc>
          <w:tcPr>
            <w:tcW w:w="3239" w:type="dxa"/>
            <w:vAlign w:val="center"/>
          </w:tcPr>
          <w:p w14:paraId="2B02F827">
            <w:pPr>
              <w:jc w:val="center"/>
              <w:rPr>
                <w:rFonts w:hint="default" w:eastAsia="宋体"/>
                <w:color w:val="000000" w:themeColor="text1"/>
                <w:kern w:val="0"/>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r>
      <w:tr w14:paraId="0FFE8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57931E9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环保投资占比（%）</w:t>
            </w:r>
          </w:p>
        </w:tc>
        <w:tc>
          <w:tcPr>
            <w:tcW w:w="3210" w:type="dxa"/>
            <w:vAlign w:val="center"/>
          </w:tcPr>
          <w:p w14:paraId="6F1ADFF2">
            <w:pPr>
              <w:jc w:val="center"/>
              <w:rPr>
                <w:rFonts w:hint="default" w:eastAsia="宋体"/>
                <w:color w:val="000000" w:themeColor="text1"/>
                <w:kern w:val="0"/>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1550" w:type="dxa"/>
            <w:tcMar>
              <w:top w:w="16" w:type="dxa"/>
              <w:left w:w="16" w:type="dxa"/>
              <w:right w:w="16" w:type="dxa"/>
            </w:tcMar>
            <w:vAlign w:val="center"/>
          </w:tcPr>
          <w:p w14:paraId="48EA535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施工工期</w:t>
            </w:r>
          </w:p>
        </w:tc>
        <w:tc>
          <w:tcPr>
            <w:tcW w:w="3239" w:type="dxa"/>
            <w:vAlign w:val="center"/>
          </w:tcPr>
          <w:p w14:paraId="10B9F086">
            <w:pPr>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个月</w:t>
            </w:r>
          </w:p>
        </w:tc>
      </w:tr>
      <w:tr w14:paraId="1F678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top w:w="16" w:type="dxa"/>
              <w:left w:w="16" w:type="dxa"/>
              <w:right w:w="16" w:type="dxa"/>
            </w:tcMar>
            <w:vAlign w:val="center"/>
          </w:tcPr>
          <w:p w14:paraId="60F9F78B">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是否开工建设</w:t>
            </w:r>
          </w:p>
        </w:tc>
        <w:tc>
          <w:tcPr>
            <w:tcW w:w="3210" w:type="dxa"/>
            <w:vAlign w:val="center"/>
          </w:tcPr>
          <w:p w14:paraId="6B9AFDD4">
            <w:pP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sym w:font="Wingdings 2" w:char="00A3"/>
            </w:r>
            <w:r>
              <w:rPr>
                <w:color w:val="000000" w:themeColor="text1"/>
                <w:kern w:val="0"/>
                <w:sz w:val="24"/>
                <w14:textFill>
                  <w14:solidFill>
                    <w14:schemeClr w14:val="tx1"/>
                  </w14:solidFill>
                </w14:textFill>
              </w:rPr>
              <w:t>否</w:t>
            </w:r>
          </w:p>
          <w:p w14:paraId="1E5F1118">
            <w:pPr>
              <w:spacing w:line="360" w:lineRule="auto"/>
              <w:rPr>
                <w:color w:val="000000" w:themeColor="text1"/>
                <w:kern w:val="0"/>
                <w:sz w:val="24"/>
                <w:u w:val="single"/>
                <w14:textFill>
                  <w14:solidFill>
                    <w14:schemeClr w14:val="tx1"/>
                  </w14:solidFill>
                </w14:textFill>
              </w:rPr>
            </w:pPr>
            <w:r>
              <w:rPr>
                <w:rFonts w:hint="eastAsia"/>
                <w:color w:val="000000" w:themeColor="text1"/>
                <w:kern w:val="0"/>
                <w:sz w:val="24"/>
                <w14:textFill>
                  <w14:solidFill>
                    <w14:schemeClr w14:val="tx1"/>
                  </w14:solidFill>
                </w14:textFill>
              </w:rPr>
              <w:sym w:font="Wingdings 2" w:char="0052"/>
            </w:r>
            <w:r>
              <w:rPr>
                <w:color w:val="000000" w:themeColor="text1"/>
                <w:kern w:val="0"/>
                <w:sz w:val="24"/>
                <w14:textFill>
                  <w14:solidFill>
                    <w14:schemeClr w14:val="tx1"/>
                  </w14:solidFill>
                </w14:textFill>
              </w:rPr>
              <w:t>是</w:t>
            </w:r>
            <w:r>
              <w:rPr>
                <w:rFonts w:hint="eastAsia"/>
                <w:color w:val="000000" w:themeColor="text1"/>
                <w:kern w:val="0"/>
                <w:sz w:val="24"/>
                <w14:textFill>
                  <w14:solidFill>
                    <w14:schemeClr w14:val="tx1"/>
                  </w14:solidFill>
                </w14:textFill>
              </w:rPr>
              <w:t>：</w:t>
            </w:r>
            <w:r>
              <w:rPr>
                <w:rFonts w:hint="eastAsia"/>
                <w:color w:val="000000" w:themeColor="text1"/>
                <w:kern w:val="0"/>
                <w:sz w:val="24"/>
                <w:u w:val="single"/>
                <w14:textFill>
                  <w14:solidFill>
                    <w14:schemeClr w14:val="tx1"/>
                  </w14:solidFill>
                </w14:textFill>
              </w:rPr>
              <w:t xml:space="preserve"> 项目地目前正在进行进场道路及项目场地平整工作              </w:t>
            </w:r>
          </w:p>
        </w:tc>
        <w:tc>
          <w:tcPr>
            <w:tcW w:w="1550" w:type="dxa"/>
            <w:tcMar>
              <w:top w:w="16" w:type="dxa"/>
              <w:left w:w="16" w:type="dxa"/>
              <w:right w:w="16" w:type="dxa"/>
            </w:tcMar>
            <w:vAlign w:val="center"/>
          </w:tcPr>
          <w:p w14:paraId="742916F6">
            <w:pPr>
              <w:jc w:val="center"/>
              <w:rPr>
                <w:rFonts w:eastAsia="Calibri"/>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用地（用海）面积（m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w:t>
            </w:r>
          </w:p>
        </w:tc>
        <w:tc>
          <w:tcPr>
            <w:tcW w:w="3239" w:type="dxa"/>
            <w:tcMar>
              <w:top w:w="16" w:type="dxa"/>
              <w:left w:w="16" w:type="dxa"/>
              <w:right w:w="16" w:type="dxa"/>
            </w:tcMar>
            <w:vAlign w:val="center"/>
          </w:tcPr>
          <w:p w14:paraId="1E1F91C9">
            <w:pPr>
              <w:jc w:val="center"/>
              <w:rPr>
                <w:rFonts w:eastAsia="Calibri"/>
                <w:color w:val="000000" w:themeColor="text1"/>
                <w:kern w:val="0"/>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2400m</w:t>
            </w:r>
            <w:r>
              <w:rPr>
                <w:rFonts w:hint="eastAsia" w:eastAsia="Calibri"/>
                <w:color w:val="000000" w:themeColor="text1"/>
                <w:kern w:val="0"/>
                <w:sz w:val="24"/>
                <w:vertAlign w:val="superscript"/>
                <w14:textFill>
                  <w14:solidFill>
                    <w14:schemeClr w14:val="tx1"/>
                  </w14:solidFill>
                </w14:textFill>
              </w:rPr>
              <w:t>2</w:t>
            </w:r>
            <w:r>
              <w:rPr>
                <w:rFonts w:hint="eastAsia" w:eastAsia="Calibri"/>
                <w:color w:val="000000" w:themeColor="text1"/>
                <w:kern w:val="0"/>
                <w:sz w:val="24"/>
                <w14:textFill>
                  <w14:solidFill>
                    <w14:schemeClr w14:val="tx1"/>
                  </w14:solidFill>
                </w14:textFill>
              </w:rPr>
              <w:t>（3.6亩）</w:t>
            </w:r>
          </w:p>
        </w:tc>
      </w:tr>
      <w:tr w14:paraId="67816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6C2C30B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999" w:type="dxa"/>
            <w:gridSpan w:val="3"/>
            <w:vAlign w:val="center"/>
          </w:tcPr>
          <w:p w14:paraId="1874062C">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根据《建设项目环境影响报告表编制技术指南（污染影响类）》（试行），项目专项评价设置情况如下：</w:t>
            </w:r>
          </w:p>
          <w:p w14:paraId="7055E38B">
            <w:pPr>
              <w:pStyle w:val="83"/>
              <w:rPr>
                <w:rFonts w:hint="eastAsia" w:ascii="黑体" w:hAnsi="黑体" w:eastAsia="黑体" w:cs="黑体"/>
                <w:b w:val="0"/>
                <w:bCs/>
                <w:color w:val="000000" w:themeColor="text1"/>
                <w:kern w:val="0"/>
                <w14:textFill>
                  <w14:solidFill>
                    <w14:schemeClr w14:val="tx1"/>
                  </w14:solidFill>
                </w14:textFill>
              </w:rPr>
            </w:pPr>
            <w:r>
              <w:rPr>
                <w:rFonts w:hint="eastAsia" w:ascii="黑体" w:hAnsi="黑体" w:eastAsia="黑体" w:cs="黑体"/>
                <w:b w:val="0"/>
                <w:bCs/>
                <w:color w:val="000000" w:themeColor="text1"/>
                <w:kern w:val="0"/>
                <w14:textFill>
                  <w14:solidFill>
                    <w14:schemeClr w14:val="tx1"/>
                  </w14:solidFill>
                </w14:textFill>
              </w:rPr>
              <w:t>表1-1  专项评价设置原则表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3065"/>
              <w:gridCol w:w="2874"/>
              <w:gridCol w:w="905"/>
            </w:tblGrid>
            <w:tr w14:paraId="135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29" w:type="dxa"/>
                  <w:tcBorders>
                    <w:tl2br w:val="nil"/>
                    <w:tr2bl w:val="nil"/>
                  </w:tcBorders>
                  <w:vAlign w:val="center"/>
                </w:tcPr>
                <w:p w14:paraId="7C84453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专项评价类别</w:t>
                  </w:r>
                </w:p>
              </w:tc>
              <w:tc>
                <w:tcPr>
                  <w:tcW w:w="3065" w:type="dxa"/>
                  <w:tcBorders>
                    <w:tl2br w:val="nil"/>
                    <w:tr2bl w:val="nil"/>
                  </w:tcBorders>
                  <w:vAlign w:val="center"/>
                </w:tcPr>
                <w:p w14:paraId="623EEAB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设置原则</w:t>
                  </w:r>
                </w:p>
              </w:tc>
              <w:tc>
                <w:tcPr>
                  <w:tcW w:w="2874" w:type="dxa"/>
                  <w:tcBorders>
                    <w:tl2br w:val="nil"/>
                    <w:tr2bl w:val="nil"/>
                  </w:tcBorders>
                  <w:vAlign w:val="center"/>
                </w:tcPr>
                <w:p w14:paraId="0EF46A8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本项目建设情况</w:t>
                  </w:r>
                </w:p>
              </w:tc>
              <w:tc>
                <w:tcPr>
                  <w:tcW w:w="905" w:type="dxa"/>
                  <w:tcBorders>
                    <w:tl2br w:val="nil"/>
                    <w:tr2bl w:val="nil"/>
                  </w:tcBorders>
                  <w:vAlign w:val="center"/>
                </w:tcPr>
                <w:p w14:paraId="1A68E65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是否设置专项</w:t>
                  </w:r>
                </w:p>
              </w:tc>
            </w:tr>
            <w:tr w14:paraId="211B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12575CE1">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大气</w:t>
                  </w:r>
                </w:p>
              </w:tc>
              <w:tc>
                <w:tcPr>
                  <w:tcW w:w="3065" w:type="dxa"/>
                  <w:tcBorders>
                    <w:tl2br w:val="nil"/>
                    <w:tr2bl w:val="nil"/>
                  </w:tcBorders>
                  <w:vAlign w:val="center"/>
                </w:tcPr>
                <w:p w14:paraId="24913C2D">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排放废气含有毒有害污染物</w:t>
                  </w:r>
                  <w:r>
                    <w:rPr>
                      <w:rFonts w:hint="eastAsia"/>
                      <w:b w:val="0"/>
                      <w:bCs/>
                      <w:color w:val="000000" w:themeColor="text1"/>
                      <w:kern w:val="0"/>
                      <w:vertAlign w:val="superscript"/>
                      <w14:textFill>
                        <w14:solidFill>
                          <w14:schemeClr w14:val="tx1"/>
                        </w14:solidFill>
                      </w14:textFill>
                    </w:rPr>
                    <w:t>1</w:t>
                  </w:r>
                  <w:r>
                    <w:rPr>
                      <w:rFonts w:hint="eastAsia"/>
                      <w:b w:val="0"/>
                      <w:bCs/>
                      <w:color w:val="000000" w:themeColor="text1"/>
                      <w:kern w:val="0"/>
                      <w14:textFill>
                        <w14:solidFill>
                          <w14:schemeClr w14:val="tx1"/>
                        </w14:solidFill>
                      </w14:textFill>
                    </w:rPr>
                    <w:t>、二噁英、苯并〔a〕芘、氰化物、氯气且厂界外500米范围内有环境空气保护目标</w:t>
                  </w:r>
                  <w:r>
                    <w:rPr>
                      <w:rFonts w:hint="eastAsia"/>
                      <w:b w:val="0"/>
                      <w:bCs/>
                      <w:color w:val="000000" w:themeColor="text1"/>
                      <w:kern w:val="0"/>
                      <w:vertAlign w:val="superscript"/>
                      <w14:textFill>
                        <w14:solidFill>
                          <w14:schemeClr w14:val="tx1"/>
                        </w14:solidFill>
                      </w14:textFill>
                    </w:rPr>
                    <w:t>2</w:t>
                  </w:r>
                  <w:r>
                    <w:rPr>
                      <w:rFonts w:hint="eastAsia"/>
                      <w:b w:val="0"/>
                      <w:bCs/>
                      <w:color w:val="000000" w:themeColor="text1"/>
                      <w:kern w:val="0"/>
                      <w14:textFill>
                        <w14:solidFill>
                          <w14:schemeClr w14:val="tx1"/>
                        </w14:solidFill>
                      </w14:textFill>
                    </w:rPr>
                    <w:t>的建设项目</w:t>
                  </w:r>
                </w:p>
              </w:tc>
              <w:tc>
                <w:tcPr>
                  <w:tcW w:w="2874" w:type="dxa"/>
                  <w:tcBorders>
                    <w:tl2br w:val="nil"/>
                    <w:tr2bl w:val="nil"/>
                  </w:tcBorders>
                  <w:vAlign w:val="center"/>
                </w:tcPr>
                <w:p w14:paraId="6AE104EA">
                  <w:pPr>
                    <w:pStyle w:val="84"/>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本项目500m范围内有大气环境保护目标散户（西南面74m）、大法古村（西南面313m），本次项目排放废气主要为颗粒物、H</w:t>
                  </w:r>
                  <w:r>
                    <w:rPr>
                      <w:rFonts w:hint="eastAsia"/>
                      <w:b w:val="0"/>
                      <w:bCs/>
                      <w:color w:val="000000" w:themeColor="text1"/>
                      <w:kern w:val="0"/>
                      <w:vertAlign w:val="subscript"/>
                      <w14:textFill>
                        <w14:solidFill>
                          <w14:schemeClr w14:val="tx1"/>
                        </w14:solidFill>
                      </w14:textFill>
                    </w:rPr>
                    <w:t>2</w:t>
                  </w:r>
                  <w:r>
                    <w:rPr>
                      <w:rFonts w:hint="eastAsia"/>
                      <w:b w:val="0"/>
                      <w:bCs/>
                      <w:color w:val="000000" w:themeColor="text1"/>
                      <w:kern w:val="0"/>
                      <w14:textFill>
                        <w14:solidFill>
                          <w14:schemeClr w14:val="tx1"/>
                        </w14:solidFill>
                      </w14:textFill>
                    </w:rPr>
                    <w:t>S、NH</w:t>
                  </w:r>
                  <w:r>
                    <w:rPr>
                      <w:rFonts w:hint="eastAsia"/>
                      <w:b w:val="0"/>
                      <w:bCs/>
                      <w:color w:val="000000" w:themeColor="text1"/>
                      <w:kern w:val="0"/>
                      <w:vertAlign w:val="subscript"/>
                      <w14:textFill>
                        <w14:solidFill>
                          <w14:schemeClr w14:val="tx1"/>
                        </w14:solidFill>
                      </w14:textFill>
                    </w:rPr>
                    <w:t>3</w:t>
                  </w:r>
                  <w:r>
                    <w:rPr>
                      <w:rFonts w:hint="eastAsia"/>
                      <w:b w:val="0"/>
                      <w:bCs/>
                      <w:color w:val="000000" w:themeColor="text1"/>
                      <w:kern w:val="0"/>
                      <w14:textFill>
                        <w14:solidFill>
                          <w14:schemeClr w14:val="tx1"/>
                        </w14:solidFill>
                      </w14:textFill>
                    </w:rPr>
                    <w:t>、臭气，不涉及《有毒有害大气污染物名录》中规定的污染物</w:t>
                  </w:r>
                </w:p>
              </w:tc>
              <w:tc>
                <w:tcPr>
                  <w:tcW w:w="905" w:type="dxa"/>
                  <w:tcBorders>
                    <w:tl2br w:val="nil"/>
                    <w:tr2bl w:val="nil"/>
                  </w:tcBorders>
                  <w:vAlign w:val="center"/>
                </w:tcPr>
                <w:p w14:paraId="7AD9E101">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6E78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60EE824B">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地表水</w:t>
                  </w:r>
                </w:p>
              </w:tc>
              <w:tc>
                <w:tcPr>
                  <w:tcW w:w="3065" w:type="dxa"/>
                  <w:tcBorders>
                    <w:tl2br w:val="nil"/>
                    <w:tr2bl w:val="nil"/>
                  </w:tcBorders>
                  <w:vAlign w:val="center"/>
                </w:tcPr>
                <w:p w14:paraId="28BA7F89">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新增工业废水直排建设项目（槽罐车外送污水处理厂的除外）；新增废水直排的污水集中处理厂</w:t>
                  </w:r>
                </w:p>
              </w:tc>
              <w:tc>
                <w:tcPr>
                  <w:tcW w:w="2874" w:type="dxa"/>
                  <w:tcBorders>
                    <w:tl2br w:val="nil"/>
                    <w:tr2bl w:val="nil"/>
                  </w:tcBorders>
                  <w:vAlign w:val="center"/>
                </w:tcPr>
                <w:p w14:paraId="203FB730">
                  <w:pPr>
                    <w:pStyle w:val="84"/>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本项目生活污水</w:t>
                  </w:r>
                  <w:r>
                    <w:rPr>
                      <w:rFonts w:hint="eastAsia"/>
                      <w:b w:val="0"/>
                      <w:bCs/>
                      <w:color w:val="000000" w:themeColor="text1"/>
                      <w:kern w:val="0"/>
                      <w14:textFill>
                        <w14:solidFill>
                          <w14:schemeClr w14:val="tx1"/>
                        </w14:solidFill>
                      </w14:textFill>
                    </w:rPr>
                    <w:t>依托现有</w:t>
                  </w:r>
                  <w:r>
                    <w:rPr>
                      <w:b w:val="0"/>
                      <w:bCs/>
                      <w:color w:val="000000" w:themeColor="text1"/>
                      <w:kern w:val="0"/>
                      <w14:textFill>
                        <w14:solidFill>
                          <w14:schemeClr w14:val="tx1"/>
                        </w14:solidFill>
                      </w14:textFill>
                    </w:rPr>
                    <w:t>化粪池处理，生产废水</w:t>
                  </w:r>
                  <w:r>
                    <w:rPr>
                      <w:rFonts w:hint="eastAsia"/>
                      <w:b w:val="0"/>
                      <w:bCs/>
                      <w:color w:val="000000" w:themeColor="text1"/>
                      <w:kern w:val="0"/>
                      <w14:textFill>
                        <w14:solidFill>
                          <w14:schemeClr w14:val="tx1"/>
                        </w14:solidFill>
                      </w14:textFill>
                    </w:rPr>
                    <w:t>依托现有污</w:t>
                  </w:r>
                  <w:r>
                    <w:rPr>
                      <w:b w:val="0"/>
                      <w:bCs/>
                      <w:color w:val="000000" w:themeColor="text1"/>
                      <w:kern w:val="0"/>
                      <w14:textFill>
                        <w14:solidFill>
                          <w14:schemeClr w14:val="tx1"/>
                        </w14:solidFill>
                      </w14:textFill>
                    </w:rPr>
                    <w:t>水处理系统处理后，排入寻甸县污水处理厂</w:t>
                  </w:r>
                  <w:r>
                    <w:rPr>
                      <w:rFonts w:hint="eastAsia"/>
                      <w:b w:val="0"/>
                      <w:bCs/>
                      <w:color w:val="000000" w:themeColor="text1"/>
                      <w:kern w:val="0"/>
                      <w14:textFill>
                        <w14:solidFill>
                          <w14:schemeClr w14:val="tx1"/>
                        </w14:solidFill>
                      </w14:textFill>
                    </w:rPr>
                    <w:t>，</w:t>
                  </w:r>
                  <w:r>
                    <w:rPr>
                      <w:b w:val="0"/>
                      <w:bCs/>
                      <w:color w:val="000000" w:themeColor="text1"/>
                      <w:kern w:val="0"/>
                      <w14:textFill>
                        <w14:solidFill>
                          <w14:schemeClr w14:val="tx1"/>
                        </w14:solidFill>
                      </w14:textFill>
                    </w:rPr>
                    <w:t>不直接进入区域地表水</w:t>
                  </w:r>
                </w:p>
              </w:tc>
              <w:tc>
                <w:tcPr>
                  <w:tcW w:w="905" w:type="dxa"/>
                  <w:tcBorders>
                    <w:tl2br w:val="nil"/>
                    <w:tr2bl w:val="nil"/>
                  </w:tcBorders>
                  <w:vAlign w:val="center"/>
                </w:tcPr>
                <w:p w14:paraId="71BD54A2">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03C0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618A415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环境风险</w:t>
                  </w:r>
                </w:p>
              </w:tc>
              <w:tc>
                <w:tcPr>
                  <w:tcW w:w="3065" w:type="dxa"/>
                  <w:tcBorders>
                    <w:tl2br w:val="nil"/>
                    <w:tr2bl w:val="nil"/>
                  </w:tcBorders>
                  <w:vAlign w:val="center"/>
                </w:tcPr>
                <w:p w14:paraId="36EF0094">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有毒有害和易燃易爆危险物质存储量超过临界量</w:t>
                  </w:r>
                  <w:r>
                    <w:rPr>
                      <w:rFonts w:hint="eastAsia"/>
                      <w:b w:val="0"/>
                      <w:bCs/>
                      <w:color w:val="000000" w:themeColor="text1"/>
                      <w:kern w:val="0"/>
                      <w:vertAlign w:val="superscript"/>
                      <w14:textFill>
                        <w14:solidFill>
                          <w14:schemeClr w14:val="tx1"/>
                        </w14:solidFill>
                      </w14:textFill>
                    </w:rPr>
                    <w:t>3</w:t>
                  </w:r>
                  <w:r>
                    <w:rPr>
                      <w:rFonts w:hint="eastAsia"/>
                      <w:b w:val="0"/>
                      <w:bCs/>
                      <w:color w:val="000000" w:themeColor="text1"/>
                      <w:kern w:val="0"/>
                      <w14:textFill>
                        <w14:solidFill>
                          <w14:schemeClr w14:val="tx1"/>
                        </w14:solidFill>
                      </w14:textFill>
                    </w:rPr>
                    <w:t>的建设项目</w:t>
                  </w:r>
                </w:p>
              </w:tc>
              <w:tc>
                <w:tcPr>
                  <w:tcW w:w="2874" w:type="dxa"/>
                  <w:tcBorders>
                    <w:tl2br w:val="nil"/>
                    <w:tr2bl w:val="nil"/>
                  </w:tcBorders>
                  <w:vAlign w:val="center"/>
                </w:tcPr>
                <w:p w14:paraId="1D5CD782">
                  <w:pPr>
                    <w:autoSpaceDE w:val="0"/>
                    <w:autoSpaceDN w:val="0"/>
                    <w:adjustRightInd w:val="0"/>
                    <w:rPr>
                      <w:color w:val="000000" w:themeColor="text1"/>
                      <w:kern w:val="0"/>
                      <w:szCs w:val="21"/>
                      <w:highlight w:val="yellow"/>
                      <w14:textFill>
                        <w14:solidFill>
                          <w14:schemeClr w14:val="tx1"/>
                        </w14:solidFill>
                      </w14:textFill>
                    </w:rPr>
                  </w:pPr>
                  <w:r>
                    <w:rPr>
                      <w:rFonts w:hint="eastAsia"/>
                      <w:color w:val="000000" w:themeColor="text1"/>
                      <w:kern w:val="0"/>
                      <w:szCs w:val="21"/>
                      <w14:textFill>
                        <w14:solidFill>
                          <w14:schemeClr w14:val="tx1"/>
                        </w14:solidFill>
                      </w14:textFill>
                    </w:rPr>
                    <w:t>项目厂内最大储存的冰醋酸含量2.5t，未超过临界量（10t）；新增产生的废矿物油类储存量为0.01t，未超过临界量（2500t）</w:t>
                  </w:r>
                </w:p>
              </w:tc>
              <w:tc>
                <w:tcPr>
                  <w:tcW w:w="905" w:type="dxa"/>
                  <w:tcBorders>
                    <w:tl2br w:val="nil"/>
                    <w:tr2bl w:val="nil"/>
                  </w:tcBorders>
                  <w:vAlign w:val="center"/>
                </w:tcPr>
                <w:p w14:paraId="0AFCE7B9">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0332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1E868B63">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生态</w:t>
                  </w:r>
                </w:p>
              </w:tc>
              <w:tc>
                <w:tcPr>
                  <w:tcW w:w="3065" w:type="dxa"/>
                  <w:tcBorders>
                    <w:tl2br w:val="nil"/>
                    <w:tr2bl w:val="nil"/>
                  </w:tcBorders>
                  <w:vAlign w:val="center"/>
                </w:tcPr>
                <w:p w14:paraId="11BA085C">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取水口下游500米范围内有重要水生生物的自然产卵场、索饵场、越冬场和洄游通道的新增河道取水的污染类建设项目</w:t>
                  </w:r>
                </w:p>
              </w:tc>
              <w:tc>
                <w:tcPr>
                  <w:tcW w:w="2874" w:type="dxa"/>
                  <w:tcBorders>
                    <w:tl2br w:val="nil"/>
                    <w:tr2bl w:val="nil"/>
                  </w:tcBorders>
                  <w:vAlign w:val="center"/>
                </w:tcPr>
                <w:p w14:paraId="219D521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本项目不涉及取水口</w:t>
                  </w:r>
                </w:p>
              </w:tc>
              <w:tc>
                <w:tcPr>
                  <w:tcW w:w="905" w:type="dxa"/>
                  <w:tcBorders>
                    <w:tl2br w:val="nil"/>
                    <w:tr2bl w:val="nil"/>
                  </w:tcBorders>
                  <w:vAlign w:val="center"/>
                </w:tcPr>
                <w:p w14:paraId="29E3203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2CC1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vAlign w:val="center"/>
                </w:tcPr>
                <w:p w14:paraId="56133C06">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海洋</w:t>
                  </w:r>
                </w:p>
              </w:tc>
              <w:tc>
                <w:tcPr>
                  <w:tcW w:w="3065" w:type="dxa"/>
                  <w:tcBorders>
                    <w:tl2br w:val="nil"/>
                    <w:tr2bl w:val="nil"/>
                  </w:tcBorders>
                  <w:vAlign w:val="center"/>
                </w:tcPr>
                <w:p w14:paraId="7EBBB60E">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直接向海排放污染物的海洋工程建设项目</w:t>
                  </w:r>
                </w:p>
              </w:tc>
              <w:tc>
                <w:tcPr>
                  <w:tcW w:w="2874" w:type="dxa"/>
                  <w:tcBorders>
                    <w:tl2br w:val="nil"/>
                    <w:tr2bl w:val="nil"/>
                  </w:tcBorders>
                  <w:vAlign w:val="center"/>
                </w:tcPr>
                <w:p w14:paraId="4807E946">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项目不涉及海洋工程</w:t>
                  </w:r>
                </w:p>
              </w:tc>
              <w:tc>
                <w:tcPr>
                  <w:tcW w:w="905" w:type="dxa"/>
                  <w:tcBorders>
                    <w:tl2br w:val="nil"/>
                    <w:tr2bl w:val="nil"/>
                  </w:tcBorders>
                  <w:vAlign w:val="center"/>
                </w:tcPr>
                <w:p w14:paraId="6B592403">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否</w:t>
                  </w:r>
                </w:p>
              </w:tc>
            </w:tr>
            <w:tr w14:paraId="362D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shd w:val="clear" w:color="auto" w:fill="FFFFFF"/>
                  <w:vAlign w:val="center"/>
                </w:tcPr>
                <w:p w14:paraId="374440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3065" w:type="dxa"/>
                  <w:tcBorders>
                    <w:tl2br w:val="nil"/>
                    <w:tr2bl w:val="nil"/>
                  </w:tcBorders>
                  <w:shd w:val="clear" w:color="auto" w:fill="FFFFFF"/>
                  <w:vAlign w:val="center"/>
                </w:tcPr>
                <w:p w14:paraId="4762FD8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涉及集中式饮用水水源和热水、矿泉水、温泉等特殊地下水资源保护区的开展地下</w:t>
                  </w:r>
                  <w:r>
                    <w:rPr>
                      <w:rFonts w:hint="eastAsia"/>
                      <w:color w:val="000000" w:themeColor="text1"/>
                      <w:szCs w:val="21"/>
                      <w14:textFill>
                        <w14:solidFill>
                          <w14:schemeClr w14:val="tx1"/>
                        </w14:solidFill>
                      </w14:textFill>
                    </w:rPr>
                    <w:t>水专</w:t>
                  </w:r>
                  <w:r>
                    <w:rPr>
                      <w:color w:val="000000" w:themeColor="text1"/>
                      <w:szCs w:val="21"/>
                      <w14:textFill>
                        <w14:solidFill>
                          <w14:schemeClr w14:val="tx1"/>
                        </w14:solidFill>
                      </w14:textFill>
                    </w:rPr>
                    <w:t>项评价工作</w:t>
                  </w:r>
                </w:p>
              </w:tc>
              <w:tc>
                <w:tcPr>
                  <w:tcW w:w="2874" w:type="dxa"/>
                  <w:tcBorders>
                    <w:tl2br w:val="nil"/>
                    <w:tr2bl w:val="nil"/>
                  </w:tcBorders>
                  <w:shd w:val="clear" w:color="auto" w:fill="FFFFFF"/>
                  <w:vAlign w:val="center"/>
                </w:tcPr>
                <w:p w14:paraId="463C7485">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本项目不涉及集中式饮用水水源和热水、矿泉水、温泉等特殊地下水资源保护区。</w:t>
                  </w:r>
                </w:p>
              </w:tc>
              <w:tc>
                <w:tcPr>
                  <w:tcW w:w="905" w:type="dxa"/>
                  <w:tcBorders>
                    <w:tl2br w:val="nil"/>
                    <w:tr2bl w:val="nil"/>
                  </w:tcBorders>
                  <w:shd w:val="clear" w:color="auto" w:fill="FFFFFF"/>
                  <w:vAlign w:val="center"/>
                </w:tcPr>
                <w:p w14:paraId="2F91A2D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14:paraId="6B8A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tcBorders>
                    <w:tl2br w:val="nil"/>
                    <w:tr2bl w:val="nil"/>
                  </w:tcBorders>
                  <w:shd w:val="clear" w:color="auto" w:fill="FFFFFF"/>
                  <w:vAlign w:val="center"/>
                </w:tcPr>
                <w:p w14:paraId="50398B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土壤和噪声</w:t>
                  </w:r>
                </w:p>
              </w:tc>
              <w:tc>
                <w:tcPr>
                  <w:tcW w:w="3065" w:type="dxa"/>
                  <w:tcBorders>
                    <w:tl2br w:val="nil"/>
                    <w:tr2bl w:val="nil"/>
                  </w:tcBorders>
                  <w:shd w:val="clear" w:color="auto" w:fill="FFFFFF"/>
                  <w:vAlign w:val="center"/>
                </w:tcPr>
                <w:p w14:paraId="78E281C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不开展</w:t>
                  </w:r>
                </w:p>
              </w:tc>
              <w:tc>
                <w:tcPr>
                  <w:tcW w:w="2874" w:type="dxa"/>
                  <w:tcBorders>
                    <w:tl2br w:val="nil"/>
                    <w:tr2bl w:val="nil"/>
                  </w:tcBorders>
                  <w:shd w:val="clear" w:color="auto" w:fill="FFFFFF"/>
                  <w:vAlign w:val="center"/>
                </w:tcPr>
                <w:p w14:paraId="46D8095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05" w:type="dxa"/>
                  <w:tcBorders>
                    <w:tl2br w:val="nil"/>
                    <w:tr2bl w:val="nil"/>
                  </w:tcBorders>
                  <w:shd w:val="clear" w:color="auto" w:fill="FFFFFF"/>
                  <w:vAlign w:val="center"/>
                </w:tcPr>
                <w:p w14:paraId="23E88A8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c>
            </w:tr>
            <w:tr w14:paraId="7A24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3" w:type="dxa"/>
                  <w:gridSpan w:val="4"/>
                  <w:tcBorders>
                    <w:tl2br w:val="nil"/>
                    <w:tr2bl w:val="nil"/>
                  </w:tcBorders>
                  <w:vAlign w:val="center"/>
                </w:tcPr>
                <w:p w14:paraId="5B768D87">
                  <w:pPr>
                    <w:pStyle w:val="84"/>
                    <w:jc w:val="both"/>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注：①废气中有毒有害污染物指纳入《有毒有害大气污染物名录》的污染物（不包括无排放标准的污染物）。</w:t>
                  </w:r>
                </w:p>
                <w:p w14:paraId="614236C2">
                  <w:pPr>
                    <w:pStyle w:val="84"/>
                    <w:jc w:val="both"/>
                    <w:rPr>
                      <w:b w:val="0"/>
                      <w:bCs/>
                      <w:color w:val="000000" w:themeColor="text1"/>
                      <w:kern w:val="0"/>
                      <w:sz w:val="18"/>
                      <w:szCs w:val="18"/>
                      <w14:textFill>
                        <w14:solidFill>
                          <w14:schemeClr w14:val="tx1"/>
                        </w14:solidFill>
                      </w14:textFill>
                    </w:rPr>
                  </w:pPr>
                  <w:r>
                    <w:rPr>
                      <w:rFonts w:hint="eastAsia"/>
                      <w:b w:val="0"/>
                      <w:bCs/>
                      <w:color w:val="000000" w:themeColor="text1"/>
                      <w:kern w:val="0"/>
                      <w:sz w:val="18"/>
                      <w:szCs w:val="18"/>
                      <w14:textFill>
                        <w14:solidFill>
                          <w14:schemeClr w14:val="tx1"/>
                        </w14:solidFill>
                      </w14:textFill>
                    </w:rPr>
                    <w:t>②环境空气保护目标指自然保护区、风景名胜区、居住区、文化区和农村地区中人群较集中的区域。</w:t>
                  </w:r>
                </w:p>
                <w:p w14:paraId="0230E4A6">
                  <w:pPr>
                    <w:pStyle w:val="84"/>
                    <w:jc w:val="both"/>
                    <w:rPr>
                      <w:b w:val="0"/>
                      <w:bCs/>
                      <w:color w:val="000000" w:themeColor="text1"/>
                      <w:kern w:val="0"/>
                      <w14:textFill>
                        <w14:solidFill>
                          <w14:schemeClr w14:val="tx1"/>
                        </w14:solidFill>
                      </w14:textFill>
                    </w:rPr>
                  </w:pPr>
                  <w:r>
                    <w:rPr>
                      <w:rFonts w:hint="eastAsia"/>
                      <w:b w:val="0"/>
                      <w:bCs/>
                      <w:color w:val="000000" w:themeColor="text1"/>
                      <w:kern w:val="0"/>
                      <w:sz w:val="18"/>
                      <w:szCs w:val="18"/>
                      <w14:textFill>
                        <w14:solidFill>
                          <w14:schemeClr w14:val="tx1"/>
                        </w14:solidFill>
                      </w14:textFill>
                    </w:rPr>
                    <w:t>③临界量及其计算方法可参考《建设项目环境风险评价技术导则》（HJ 169）附录B、附录C。</w:t>
                  </w:r>
                </w:p>
              </w:tc>
            </w:tr>
          </w:tbl>
          <w:p w14:paraId="15264C75">
            <w:pPr>
              <w:ind w:firstLine="480" w:firstLineChars="200"/>
              <w:rPr>
                <w:color w:val="000000" w:themeColor="text1"/>
                <w:kern w:val="0"/>
                <w:sz w:val="24"/>
                <w14:textFill>
                  <w14:solidFill>
                    <w14:schemeClr w14:val="tx1"/>
                  </w14:solidFill>
                </w14:textFill>
              </w:rPr>
            </w:pPr>
          </w:p>
        </w:tc>
      </w:tr>
      <w:tr w14:paraId="24A6B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6A5DEFB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规划情况</w:t>
            </w:r>
          </w:p>
        </w:tc>
        <w:tc>
          <w:tcPr>
            <w:tcW w:w="7999" w:type="dxa"/>
            <w:gridSpan w:val="3"/>
            <w:vAlign w:val="center"/>
          </w:tcPr>
          <w:p w14:paraId="05B05697">
            <w:pPr>
              <w:numPr>
                <w:ilvl w:val="0"/>
                <w:numId w:val="4"/>
              </w:numPr>
              <w:spacing w:line="360" w:lineRule="auto"/>
              <w:jc w:val="left"/>
              <w:rPr>
                <w:rFonts w:hint="eastAsia"/>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名称：</w:t>
            </w:r>
            <w:r>
              <w:rPr>
                <w:rFonts w:hint="eastAsia"/>
                <w:color w:val="000000" w:themeColor="text1"/>
                <w:kern w:val="0"/>
                <w:sz w:val="24"/>
                <w14:textFill>
                  <w14:solidFill>
                    <w14:schemeClr w14:val="tx1"/>
                  </w14:solidFill>
                </w14:textFill>
              </w:rPr>
              <w:t>《寻甸回族彝族自治县国土空间总体规划（2021—2035年）》</w:t>
            </w:r>
          </w:p>
          <w:p w14:paraId="2C059CDA">
            <w:pPr>
              <w:numPr>
                <w:ilvl w:val="0"/>
                <w:numId w:val="4"/>
              </w:numPr>
              <w:spacing w:line="360" w:lineRule="auto"/>
              <w:jc w:val="left"/>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审批机关：昆明市人民政府</w:t>
            </w:r>
          </w:p>
          <w:p w14:paraId="17CB97BA">
            <w:pPr>
              <w:pStyle w:val="16"/>
              <w:spacing w:line="360" w:lineRule="auto"/>
              <w:rPr>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（3）审批文件名称及文号：昆明市人民政府关于《寻甸回族彝族自治县国土空间总体规划（2021—2035年）》的批复（昆政复〔2025〕12号）；</w:t>
            </w:r>
          </w:p>
        </w:tc>
      </w:tr>
      <w:tr w14:paraId="46614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416D467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规划环境影响评价情况</w:t>
            </w:r>
          </w:p>
        </w:tc>
        <w:tc>
          <w:tcPr>
            <w:tcW w:w="7999" w:type="dxa"/>
            <w:gridSpan w:val="3"/>
            <w:vAlign w:val="center"/>
          </w:tcPr>
          <w:p w14:paraId="66A28D1F">
            <w:pPr>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6E459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7F8415B8">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999" w:type="dxa"/>
            <w:gridSpan w:val="3"/>
            <w:vAlign w:val="center"/>
          </w:tcPr>
          <w:p w14:paraId="3466F438">
            <w:pPr>
              <w:numPr>
                <w:ilvl w:val="0"/>
                <w:numId w:val="5"/>
              </w:numPr>
              <w:spacing w:line="360" w:lineRule="auto"/>
              <w:jc w:val="left"/>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与</w:t>
            </w:r>
            <w:r>
              <w:rPr>
                <w:rFonts w:hint="eastAsia"/>
                <w:color w:val="000000" w:themeColor="text1"/>
                <w:kern w:val="0"/>
                <w:sz w:val="24"/>
                <w14:textFill>
                  <w14:solidFill>
                    <w14:schemeClr w14:val="tx1"/>
                  </w14:solidFill>
                </w14:textFill>
              </w:rPr>
              <w:t>《寻甸回族彝族自治县国土空间总体规划（2021—2035年）》</w:t>
            </w:r>
            <w:r>
              <w:rPr>
                <w:rFonts w:hint="eastAsia"/>
                <w:color w:val="000000" w:themeColor="text1"/>
                <w:kern w:val="0"/>
                <w:sz w:val="24"/>
                <w:lang w:val="en-US" w:eastAsia="zh-CN"/>
                <w14:textFill>
                  <w14:solidFill>
                    <w14:schemeClr w14:val="tx1"/>
                  </w14:solidFill>
                </w14:textFill>
              </w:rPr>
              <w:t>符合性分析</w:t>
            </w:r>
          </w:p>
          <w:p w14:paraId="7E75979F">
            <w:pPr>
              <w:numPr>
                <w:ilvl w:val="0"/>
                <w:numId w:val="0"/>
              </w:numPr>
              <w:spacing w:line="360" w:lineRule="auto"/>
              <w:ind w:firstLine="211" w:firstLineChars="100"/>
              <w:jc w:val="left"/>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 xml:space="preserve">表1-1 </w:t>
            </w:r>
            <w:r>
              <w:rPr>
                <w:rFonts w:hint="eastAsia"/>
                <w:b/>
                <w:bCs/>
                <w:color w:val="000000" w:themeColor="text1"/>
                <w:kern w:val="0"/>
                <w:sz w:val="21"/>
                <w:szCs w:val="21"/>
                <w:lang w:val="en-US" w:eastAsia="zh-CN"/>
                <w14:textFill>
                  <w14:solidFill>
                    <w14:schemeClr w14:val="tx1"/>
                  </w14:solidFill>
                </w14:textFill>
              </w:rPr>
              <w:t>与</w:t>
            </w:r>
            <w:r>
              <w:rPr>
                <w:rFonts w:hint="eastAsia"/>
                <w:b/>
                <w:bCs/>
                <w:color w:val="000000" w:themeColor="text1"/>
                <w:kern w:val="0"/>
                <w:sz w:val="21"/>
                <w:szCs w:val="21"/>
                <w14:textFill>
                  <w14:solidFill>
                    <w14:schemeClr w14:val="tx1"/>
                  </w14:solidFill>
                </w14:textFill>
              </w:rPr>
              <w:t>《寻甸回族彝族自治县国土空间总体规划（2021—2035年）》</w:t>
            </w:r>
            <w:r>
              <w:rPr>
                <w:rFonts w:hint="eastAsia"/>
                <w:b/>
                <w:bCs/>
                <w:color w:val="000000" w:themeColor="text1"/>
                <w:kern w:val="0"/>
                <w:sz w:val="21"/>
                <w:szCs w:val="21"/>
                <w:lang w:val="en-US" w:eastAsia="zh-CN"/>
                <w14:textFill>
                  <w14:solidFill>
                    <w14:schemeClr w14:val="tx1"/>
                  </w14:solidFill>
                </w14:textFill>
              </w:rPr>
              <w:t>符合性分析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3135"/>
              <w:gridCol w:w="2968"/>
              <w:gridCol w:w="919"/>
            </w:tblGrid>
            <w:tr w14:paraId="2945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058A1619">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序号</w:t>
                  </w:r>
                </w:p>
              </w:tc>
              <w:tc>
                <w:tcPr>
                  <w:tcW w:w="3135" w:type="dxa"/>
                  <w:vAlign w:val="center"/>
                </w:tcPr>
                <w:p w14:paraId="2AF70956">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内容</w:t>
                  </w:r>
                </w:p>
              </w:tc>
              <w:tc>
                <w:tcPr>
                  <w:tcW w:w="2968" w:type="dxa"/>
                  <w:vAlign w:val="center"/>
                </w:tcPr>
                <w:p w14:paraId="75CF2955">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本项目</w:t>
                  </w:r>
                </w:p>
              </w:tc>
              <w:tc>
                <w:tcPr>
                  <w:tcW w:w="919" w:type="dxa"/>
                  <w:vAlign w:val="center"/>
                </w:tcPr>
                <w:p w14:paraId="54B4D8DF">
                  <w:pPr>
                    <w:pStyle w:val="16"/>
                    <w:spacing w:line="240" w:lineRule="auto"/>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符合性</w:t>
                  </w:r>
                </w:p>
              </w:tc>
            </w:tr>
            <w:tr w14:paraId="7518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19E30D25">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3135" w:type="dxa"/>
                  <w:vAlign w:val="center"/>
                </w:tcPr>
                <w:p w14:paraId="316CE415">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规划要求：《规划》是空间发展的指南，需贯彻新发展理念，统筹发展和安全，促进人与自然和谐共生，发挥高原特色农业发展标杆功能。</w:t>
                  </w:r>
                </w:p>
              </w:tc>
              <w:tc>
                <w:tcPr>
                  <w:tcW w:w="2968" w:type="dxa"/>
                  <w:vAlign w:val="center"/>
                </w:tcPr>
                <w:p w14:paraId="5228A203">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有机肥制造项目属于农业产业链延伸产业，可通过资源化利用农业废弃</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物</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提升农业绿色发展水平，与“高原特色农业标杆”定位及“绿色高效发展”理念匹配。</w:t>
                  </w:r>
                </w:p>
              </w:tc>
              <w:tc>
                <w:tcPr>
                  <w:tcW w:w="919" w:type="dxa"/>
                  <w:vAlign w:val="center"/>
                </w:tcPr>
                <w:p w14:paraId="01DC418E">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4A47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6ECE879F">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3135" w:type="dxa"/>
                  <w:vAlign w:val="center"/>
                </w:tcPr>
                <w:p w14:paraId="2875605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安全发展空间基础：城镇开发边界面积控制在32.85平方千米以内；严格保护耕地（保有量≥141.93万亩）、永久基本农田（≥117.86万亩）及生态保护红线（≥682.88平方千米）</w:t>
                  </w:r>
                </w:p>
              </w:tc>
              <w:tc>
                <w:tcPr>
                  <w:tcW w:w="2968" w:type="dxa"/>
                  <w:vAlign w:val="center"/>
                </w:tcPr>
                <w:p w14:paraId="563EACE0">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项目位于城市开发边界线以外，不占用生态红线、基本农田。</w:t>
                  </w:r>
                </w:p>
              </w:tc>
              <w:tc>
                <w:tcPr>
                  <w:tcW w:w="919" w:type="dxa"/>
                  <w:vAlign w:val="center"/>
                </w:tcPr>
                <w:p w14:paraId="0596A12F">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519C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9899E38">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w:t>
                  </w:r>
                </w:p>
              </w:tc>
              <w:tc>
                <w:tcPr>
                  <w:tcW w:w="3135" w:type="dxa"/>
                  <w:vAlign w:val="center"/>
                </w:tcPr>
                <w:p w14:paraId="27B7D7EC">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国土空间开发保护格局：规划要求“引导产业和人口集聚，优化现代服务业空间布局，支撑高质量发展”。规划强调“构建现代化基础设施体系，完善城乡各类基础设施规划要求“加强重要生态空间保护和管控，推进生态修复。</w:t>
                  </w:r>
                </w:p>
              </w:tc>
              <w:tc>
                <w:tcPr>
                  <w:tcW w:w="2968" w:type="dxa"/>
                  <w:vAlign w:val="center"/>
                </w:tcPr>
                <w:p w14:paraId="4238FB3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本有机肥制造项目设置于本项目旁边，可符合产业集聚导向，避免分散布局。项目需依托现有或规划的交通、能源、水利等基础设施，确保生产运营保障，符合基础设施统筹要求。本项目将避免对牛栏江等生态敏感区产生影响，且生产过程将符合环保要求。</w:t>
                  </w:r>
                </w:p>
              </w:tc>
              <w:tc>
                <w:tcPr>
                  <w:tcW w:w="919" w:type="dxa"/>
                  <w:vAlign w:val="center"/>
                </w:tcPr>
                <w:p w14:paraId="4D8446BA">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57F7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FD72C76">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p>
              </w:tc>
              <w:tc>
                <w:tcPr>
                  <w:tcW w:w="3135" w:type="dxa"/>
                  <w:vAlign w:val="center"/>
                </w:tcPr>
                <w:p w14:paraId="6699EADF">
                  <w:pPr>
                    <w:pStyle w:val="16"/>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城乡空间品质：规划要求“加大存量用地挖潜，提高土地节约集约利用水平”</w:t>
                  </w:r>
                </w:p>
              </w:tc>
              <w:tc>
                <w:tcPr>
                  <w:tcW w:w="2968" w:type="dxa"/>
                  <w:vAlign w:val="center"/>
                </w:tcPr>
                <w:p w14:paraId="5F077914">
                  <w:pPr>
                    <w:keepNext w:val="0"/>
                    <w:keepLines w:val="0"/>
                    <w:widowControl/>
                    <w:numPr>
                      <w:ilvl w:val="0"/>
                      <w:numId w:val="0"/>
                    </w:numPr>
                    <w:suppressLineNumbers w:val="0"/>
                    <w:spacing w:before="0" w:beforeAutospacing="1" w:after="0" w:afterAutospacing="1"/>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w:t>
                  </w:r>
                  <w:r>
                    <w:rPr>
                      <w:rFonts w:hint="default" w:ascii="Times New Roman" w:hAnsi="Times New Roman" w:cs="Times New Roman"/>
                      <w:color w:val="000000" w:themeColor="text1"/>
                      <w:lang w:val="en-US" w:eastAsia="zh-CN"/>
                      <w14:textFill>
                        <w14:solidFill>
                          <w14:schemeClr w14:val="tx1"/>
                        </w14:solidFill>
                      </w14:textFill>
                    </w:rPr>
                    <w:t>目新增地块为为工业用地。</w:t>
                  </w:r>
                  <w:r>
                    <w:rPr>
                      <w:rFonts w:hint="default" w:ascii="Times New Roman" w:hAnsi="Times New Roman" w:cs="Times New Roman"/>
                      <w:color w:val="000000" w:themeColor="text1"/>
                      <w14:textFill>
                        <w14:solidFill>
                          <w14:schemeClr w14:val="tx1"/>
                        </w14:solidFill>
                      </w14:textFill>
                    </w:rPr>
                    <w:t>利用存量工业用地，避免粗放式占地，符合节约集约要求。</w:t>
                  </w:r>
                </w:p>
              </w:tc>
              <w:tc>
                <w:tcPr>
                  <w:tcW w:w="919" w:type="dxa"/>
                  <w:vAlign w:val="center"/>
                </w:tcPr>
                <w:p w14:paraId="50D95C1D">
                  <w:pPr>
                    <w:pStyle w:val="16"/>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bl>
          <w:p w14:paraId="1116A147">
            <w:pPr>
              <w:pStyle w:val="16"/>
              <w:spacing w:line="360" w:lineRule="auto"/>
              <w:rPr>
                <w:rFonts w:hint="eastAsia"/>
                <w:color w:val="000000" w:themeColor="text1"/>
                <w:lang w:val="en-US" w:eastAsia="zh-CN"/>
                <w14:textFill>
                  <w14:solidFill>
                    <w14:schemeClr w14:val="tx1"/>
                  </w14:solidFill>
                </w14:textFill>
              </w:rPr>
            </w:pPr>
          </w:p>
        </w:tc>
      </w:tr>
      <w:tr w14:paraId="7D7DE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14:paraId="19E28BC1">
            <w:pPr>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999" w:type="dxa"/>
            <w:gridSpan w:val="3"/>
            <w:vAlign w:val="center"/>
          </w:tcPr>
          <w:p w14:paraId="5C7DD82D">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1、产业政策符合性分析</w:t>
            </w:r>
          </w:p>
          <w:p w14:paraId="5624F291">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本项目属于</w:t>
            </w:r>
            <w:r>
              <w:rPr>
                <w:color w:val="000000" w:themeColor="text1"/>
                <w:kern w:val="0"/>
                <w:sz w:val="24"/>
                <w14:textFill>
                  <w14:solidFill>
                    <w14:schemeClr w14:val="tx1"/>
                  </w14:solidFill>
                </w14:textFill>
              </w:rPr>
              <w:t>C26</w:t>
            </w:r>
            <w:r>
              <w:rPr>
                <w:rFonts w:hint="eastAsia"/>
                <w:color w:val="000000" w:themeColor="text1"/>
                <w:kern w:val="0"/>
                <w:sz w:val="24"/>
                <w:lang w:val="en-US" w:eastAsia="zh-CN"/>
                <w14:textFill>
                  <w14:solidFill>
                    <w14:schemeClr w14:val="tx1"/>
                  </w14:solidFill>
                </w14:textFill>
              </w:rPr>
              <w:t>25有机</w:t>
            </w:r>
            <w:r>
              <w:rPr>
                <w:rFonts w:hint="eastAsia"/>
                <w:color w:val="000000" w:themeColor="text1"/>
                <w:kern w:val="0"/>
                <w:sz w:val="24"/>
                <w14:textFill>
                  <w14:solidFill>
                    <w14:schemeClr w14:val="tx1"/>
                  </w14:solidFill>
                </w14:textFill>
              </w:rPr>
              <w:t>肥料</w:t>
            </w:r>
            <w:r>
              <w:rPr>
                <w:rFonts w:hint="eastAsia"/>
                <w:color w:val="000000" w:themeColor="text1"/>
                <w:kern w:val="0"/>
                <w:sz w:val="24"/>
                <w:lang w:val="en-US" w:eastAsia="zh-CN"/>
                <w14:textFill>
                  <w14:solidFill>
                    <w14:schemeClr w14:val="tx1"/>
                  </w14:solidFill>
                </w14:textFill>
              </w:rPr>
              <w:t>及微生物肥料</w:t>
            </w:r>
            <w:r>
              <w:rPr>
                <w:rFonts w:hint="eastAsia"/>
                <w:color w:val="000000" w:themeColor="text1"/>
                <w:kern w:val="0"/>
                <w:sz w:val="24"/>
                <w14:textFill>
                  <w14:solidFill>
                    <w14:schemeClr w14:val="tx1"/>
                  </w14:solidFill>
                </w14:textFill>
              </w:rPr>
              <w:t>制造</w:t>
            </w:r>
            <w:r>
              <w:rPr>
                <w:rFonts w:hint="eastAsia"/>
                <w:color w:val="000000" w:themeColor="text1"/>
                <w:sz w:val="24"/>
                <w14:textFill>
                  <w14:solidFill>
                    <w14:schemeClr w14:val="tx1"/>
                  </w14:solidFill>
                </w14:textFill>
              </w:rPr>
              <w:t>，根据《产业结构调整指导目录（2024本）》，本项目生产水溶肥及固态肥，属于其鼓励类中“十一、石化化工，2、优质钾肥及新型肥料的生产”</w:t>
            </w:r>
            <w:r>
              <w:rPr>
                <w:color w:val="000000" w:themeColor="text1"/>
                <w:kern w:val="0"/>
                <w:sz w:val="24"/>
                <w14:textFill>
                  <w14:solidFill>
                    <w14:schemeClr w14:val="tx1"/>
                  </w14:solidFill>
                </w14:textFill>
              </w:rPr>
              <w:t>，符合国家产业政策。</w:t>
            </w:r>
          </w:p>
          <w:p w14:paraId="2CF4BE85">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查阅《市场准入负面清单（2022年版）》（发改体改规〔2022〕397号），本项目亦不在《市场准入负面清单（2022年版）》（发改体改规〔2022〕397号）之列，项目所采用的设备也不属于《产业结构调整指导目录（2024年本）》中明示的淘汰范畴。</w:t>
            </w:r>
          </w:p>
          <w:p w14:paraId="647E76D2">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项目于20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日在云南省投资项目在线审批监管平台上完成备案，项目代码为</w:t>
            </w:r>
            <w:r>
              <w:rPr>
                <w:rFonts w:hint="eastAsia" w:eastAsia="Calibri"/>
                <w:color w:val="000000" w:themeColor="text1"/>
                <w:kern w:val="0"/>
                <w:sz w:val="24"/>
                <w14:textFill>
                  <w14:solidFill>
                    <w14:schemeClr w14:val="tx1"/>
                  </w14:solidFill>
                </w14:textFill>
              </w:rPr>
              <w:t>2510-530129-04-01-957343</w:t>
            </w:r>
            <w:r>
              <w:rPr>
                <w:color w:val="000000" w:themeColor="text1"/>
                <w:sz w:val="24"/>
                <w14:textFill>
                  <w14:solidFill>
                    <w14:schemeClr w14:val="tx1"/>
                  </w14:solidFill>
                </w14:textFill>
              </w:rPr>
              <w:t>。</w:t>
            </w:r>
          </w:p>
          <w:p w14:paraId="20D1C6CE">
            <w:pPr>
              <w:pStyle w:val="105"/>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kern w:val="0"/>
                <w14:textFill>
                  <w14:solidFill>
                    <w14:schemeClr w14:val="tx1"/>
                  </w14:solidFill>
                </w14:textFill>
              </w:rPr>
              <w:t>综上，本项目的建设符合国家现行的产业政策。</w:t>
            </w:r>
          </w:p>
          <w:p w14:paraId="44A37630">
            <w:pPr>
              <w:spacing w:line="360" w:lineRule="auto"/>
              <w:ind w:firstLine="241" w:firstLineChars="100"/>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bookmarkStart w:id="11" w:name="_Toc146947600"/>
            <w:bookmarkStart w:id="12" w:name="_Toc146948000"/>
            <w:bookmarkStart w:id="13" w:name="_Toc147891714"/>
            <w:bookmarkStart w:id="14" w:name="_Toc181025431"/>
            <w:bookmarkStart w:id="15" w:name="_Toc182886899"/>
            <w:bookmarkStart w:id="16" w:name="_Toc181025599"/>
            <w:bookmarkStart w:id="17" w:name="_Toc142310342"/>
            <w:bookmarkStart w:id="18" w:name="_Toc181011686"/>
            <w:bookmarkStart w:id="19" w:name="_Toc317583870"/>
            <w:r>
              <w:rPr>
                <w:b/>
                <w:color w:val="000000" w:themeColor="text1"/>
                <w:sz w:val="24"/>
                <w14:textFill>
                  <w14:solidFill>
                    <w14:schemeClr w14:val="tx1"/>
                  </w14:solidFill>
                </w14:textFill>
              </w:rPr>
              <w:t>项目与周围环境的相容性分析</w:t>
            </w:r>
            <w:bookmarkEnd w:id="11"/>
            <w:bookmarkEnd w:id="12"/>
            <w:bookmarkEnd w:id="13"/>
            <w:bookmarkEnd w:id="14"/>
            <w:bookmarkEnd w:id="15"/>
            <w:bookmarkEnd w:id="16"/>
            <w:bookmarkEnd w:id="17"/>
            <w:bookmarkEnd w:id="18"/>
            <w:bookmarkEnd w:id="19"/>
          </w:p>
          <w:p w14:paraId="0E5CD742">
            <w:pPr>
              <w:spacing w:line="360" w:lineRule="auto"/>
              <w:ind w:firstLine="480" w:firstLineChars="200"/>
              <w:rPr>
                <w:color w:val="000000" w:themeColor="text1"/>
                <w:kern w:val="18"/>
                <w:sz w:val="24"/>
                <w14:textFill>
                  <w14:solidFill>
                    <w14:schemeClr w14:val="tx1"/>
                  </w14:solidFill>
                </w14:textFill>
              </w:rPr>
            </w:pPr>
            <w:r>
              <w:rPr>
                <w:rFonts w:hint="eastAsia"/>
                <w:color w:val="000000" w:themeColor="text1"/>
                <w:sz w:val="24"/>
                <w14:textFill>
                  <w14:solidFill>
                    <w14:schemeClr w14:val="tx1"/>
                  </w14:solidFill>
                </w14:textFill>
              </w:rPr>
              <w:t>项目选址均位于</w:t>
            </w:r>
            <w:r>
              <w:rPr>
                <w:rFonts w:hint="eastAsia"/>
                <w:color w:val="000000" w:themeColor="text1"/>
                <w:kern w:val="18"/>
                <w:sz w:val="24"/>
                <w14:textFill>
                  <w14:solidFill>
                    <w14:schemeClr w14:val="tx1"/>
                  </w14:solidFill>
                </w14:textFill>
              </w:rPr>
              <w:t>仁德街道道院社区大法古村，</w:t>
            </w:r>
            <w:r>
              <w:rPr>
                <w:rFonts w:hint="eastAsia"/>
                <w:color w:val="000000" w:themeColor="text1"/>
                <w:sz w:val="24"/>
                <w14:textFill>
                  <w14:solidFill>
                    <w14:schemeClr w14:val="tx1"/>
                  </w14:solidFill>
                </w14:textFill>
              </w:rPr>
              <w:t>根据现场踏勘，项目东北侧70m为本公司现有果蔬废弃物处理项目生产厂房、西侧10m为废弃砖厂、东侧572m处企业为混凝土厂、西侧20m处企业为冷库，项目周边500m范围内无食品、药品等对环境敏感的企业，无学校、医院等敏感目标，最近的环境敏感目标为西南侧74m的散户和313m处的大法古村。</w:t>
            </w:r>
            <w:r>
              <w:rPr>
                <w:color w:val="000000" w:themeColor="text1"/>
                <w:kern w:val="18"/>
                <w:sz w:val="24"/>
                <w14:textFill>
                  <w14:solidFill>
                    <w14:schemeClr w14:val="tx1"/>
                  </w14:solidFill>
                </w14:textFill>
              </w:rPr>
              <w:t>周边多为</w:t>
            </w:r>
            <w:r>
              <w:rPr>
                <w:rFonts w:hint="eastAsia"/>
                <w:color w:val="000000" w:themeColor="text1"/>
                <w:kern w:val="18"/>
                <w:sz w:val="24"/>
                <w14:textFill>
                  <w14:solidFill>
                    <w14:schemeClr w14:val="tx1"/>
                  </w14:solidFill>
                </w14:textFill>
              </w:rPr>
              <w:t>山</w:t>
            </w:r>
            <w:r>
              <w:rPr>
                <w:color w:val="000000" w:themeColor="text1"/>
                <w:kern w:val="18"/>
                <w:sz w:val="24"/>
                <w14:textFill>
                  <w14:solidFill>
                    <w14:schemeClr w14:val="tx1"/>
                  </w14:solidFill>
                </w14:textFill>
              </w:rPr>
              <w:t>地，</w:t>
            </w:r>
            <w:r>
              <w:rPr>
                <w:rFonts w:hint="eastAsia"/>
                <w:color w:val="000000" w:themeColor="text1"/>
                <w:sz w:val="24"/>
                <w14:textFill>
                  <w14:solidFill>
                    <w14:schemeClr w14:val="tx1"/>
                  </w14:solidFill>
                </w14:textFill>
              </w:rPr>
              <w:t>项目区周围植被主要为灌木，生态结构较为单一；动植物类型较少。项目区及周围无古树名木分布，亦无珍稀保护动物，只有少量的鼠类、虫类、麻雀等。</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下文</w:t>
            </w:r>
            <w:r>
              <w:rPr>
                <w:color w:val="000000" w:themeColor="text1"/>
                <w:sz w:val="24"/>
                <w14:textFill>
                  <w14:solidFill>
                    <w14:schemeClr w14:val="tx1"/>
                  </w14:solidFill>
                </w14:textFill>
              </w:rPr>
              <w:t>分析项目废气、废水、噪声达标排放，固体废物处置率100%，项目与周围环境相容。</w:t>
            </w:r>
            <w:r>
              <w:rPr>
                <w:rFonts w:hint="eastAsia" w:ascii="宋体" w:hAnsi="宋体" w:cs="宋体"/>
                <w:color w:val="000000" w:themeColor="text1"/>
                <w:sz w:val="24"/>
                <w14:textFill>
                  <w14:solidFill>
                    <w14:schemeClr w14:val="tx1"/>
                  </w14:solidFill>
                </w14:textFill>
              </w:rPr>
              <w:t>综上所述，扩建后项目不与区域环境相冲突，扩建后项目的建设符合当地环境的要求，扩建后</w:t>
            </w:r>
            <w:r>
              <w:rPr>
                <w:rFonts w:hint="eastAsia" w:ascii="宋体" w:hAnsi="宋体" w:cs="宋体"/>
                <w:color w:val="000000" w:themeColor="text1"/>
                <w:kern w:val="0"/>
                <w:sz w:val="24"/>
                <w:lang w:bidi="ar"/>
                <w14:textFill>
                  <w14:solidFill>
                    <w14:schemeClr w14:val="tx1"/>
                  </w14:solidFill>
                </w14:textFill>
              </w:rPr>
              <w:t>项目与周边环境相容。</w:t>
            </w:r>
          </w:p>
          <w:p w14:paraId="02070C7E">
            <w:pPr>
              <w:pStyle w:val="5"/>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  3、选址合理性分析</w:t>
            </w:r>
          </w:p>
          <w:p w14:paraId="11FB160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项目固态肥生产厂房位于公司西南侧新租用地块，该地块用地性质为工业用地，查询文件见附件6：自然资源局三区三线及用地证明；拟建液态水溶肥建设地点位于现污水站旁空置厂房内，未新增建设用地。扩建后项目</w:t>
            </w:r>
            <w:r>
              <w:rPr>
                <w:color w:val="000000" w:themeColor="text1"/>
                <w:sz w:val="24"/>
                <w14:textFill>
                  <w14:solidFill>
                    <w14:schemeClr w14:val="tx1"/>
                  </w14:solidFill>
                </w14:textFill>
              </w:rPr>
              <w:t>与</w:t>
            </w:r>
            <w:r>
              <w:rPr>
                <w:rFonts w:hint="eastAsia"/>
                <w:color w:val="000000" w:themeColor="text1"/>
                <w:sz w:val="24"/>
                <w14:textFill>
                  <w14:solidFill>
                    <w14:schemeClr w14:val="tx1"/>
                  </w14:solidFill>
                </w14:textFill>
              </w:rPr>
              <w:t>《</w:t>
            </w:r>
            <w:r>
              <w:rPr>
                <w:rFonts w:hint="eastAsia"/>
                <w:color w:val="000000" w:themeColor="text1"/>
                <w:kern w:val="0"/>
                <w:sz w:val="24"/>
                <w:lang w:bidi="ar"/>
                <w14:textFill>
                  <w14:solidFill>
                    <w14:schemeClr w14:val="tx1"/>
                  </w14:solidFill>
                </w14:textFill>
              </w:rPr>
              <w:t>昆明市生态环境分区管控动态更新方案</w:t>
            </w:r>
            <w:r>
              <w:rPr>
                <w:rFonts w:hint="eastAsia"/>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《中华人民共和国长江保护法》、</w:t>
            </w:r>
            <w:r>
              <w:rPr>
                <w:color w:val="000000" w:themeColor="text1"/>
                <w:kern w:val="0"/>
                <w:sz w:val="24"/>
                <w14:textFill>
                  <w14:solidFill>
                    <w14:schemeClr w14:val="tx1"/>
                  </w14:solidFill>
                </w14:textFill>
              </w:rPr>
              <w:t>《云南省长江经济带发展负面清单指南实施细则（试行，2022年版）》、</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云南省牛栏江保护条例</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、《牛栏江流域（云南部分）水环境保护规划（2009-2030年）》、《牛栏江流域（寻甸段）水环境保护规划（2009-2030 年）》实施情况中期评估报告等相关法律法规、规划相符或不冲突。</w:t>
            </w:r>
          </w:p>
          <w:p w14:paraId="10D0430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扩建后项目建设地点</w:t>
            </w:r>
            <w:r>
              <w:rPr>
                <w:color w:val="000000" w:themeColor="text1"/>
                <w:sz w:val="24"/>
                <w14:textFill>
                  <w14:solidFill>
                    <w14:schemeClr w14:val="tx1"/>
                  </w14:solidFill>
                </w14:textFill>
              </w:rPr>
              <w:t>已取得</w:t>
            </w:r>
            <w:r>
              <w:rPr>
                <w:rFonts w:hint="eastAsia"/>
                <w:color w:val="000000" w:themeColor="text1"/>
                <w:sz w:val="24"/>
                <w14:textFill>
                  <w14:solidFill>
                    <w14:schemeClr w14:val="tx1"/>
                  </w14:solidFill>
                </w14:textFill>
              </w:rPr>
              <w:t>寻甸回族彝族自治县自然资源</w:t>
            </w:r>
            <w:r>
              <w:rPr>
                <w:color w:val="000000" w:themeColor="text1"/>
                <w:sz w:val="24"/>
                <w14:textFill>
                  <w14:solidFill>
                    <w14:schemeClr w14:val="tx1"/>
                  </w14:solidFill>
                </w14:textFill>
              </w:rPr>
              <w:t>局</w:t>
            </w:r>
            <w:r>
              <w:rPr>
                <w:rFonts w:hint="eastAsia"/>
                <w:color w:val="000000" w:themeColor="text1"/>
                <w:sz w:val="24"/>
                <w14:textFill>
                  <w14:solidFill>
                    <w14:schemeClr w14:val="tx1"/>
                  </w14:solidFill>
                </w14:textFill>
              </w:rPr>
              <w:t>仁德自然资源所</w:t>
            </w:r>
            <w:r>
              <w:rPr>
                <w:color w:val="000000" w:themeColor="text1"/>
                <w:sz w:val="24"/>
                <w14:textFill>
                  <w14:solidFill>
                    <w14:schemeClr w14:val="tx1"/>
                  </w14:solidFill>
                </w14:textFill>
              </w:rPr>
              <w:t>于20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日出具的</w:t>
            </w:r>
            <w:r>
              <w:rPr>
                <w:rFonts w:hint="eastAsia"/>
                <w:color w:val="000000" w:themeColor="text1"/>
                <w:sz w:val="24"/>
                <w14:textFill>
                  <w14:solidFill>
                    <w14:schemeClr w14:val="tx1"/>
                  </w14:solidFill>
                </w14:textFill>
              </w:rPr>
              <w:t>“关于云南錦创环境科技有限公司改扩建”范围是否涉及生态红线及城镇开发边界的证明”（详见附件6项目“三区三线”查询文件）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该文件明确</w:t>
            </w:r>
            <w:r>
              <w:rPr>
                <w:color w:val="000000" w:themeColor="text1"/>
                <w:sz w:val="24"/>
                <w14:textFill>
                  <w14:solidFill>
                    <w14:schemeClr w14:val="tx1"/>
                  </w14:solidFill>
                </w14:textFill>
              </w:rPr>
              <w:t>项目范围未</w:t>
            </w:r>
            <w:r>
              <w:rPr>
                <w:rFonts w:hint="eastAsia"/>
                <w:color w:val="000000" w:themeColor="text1"/>
                <w:sz w:val="24"/>
                <w14:textFill>
                  <w14:solidFill>
                    <w14:schemeClr w14:val="tx1"/>
                  </w14:solidFill>
                </w14:textFill>
              </w:rPr>
              <w:t>与寻甸县</w:t>
            </w:r>
            <w:r>
              <w:rPr>
                <w:color w:val="000000" w:themeColor="text1"/>
                <w:sz w:val="24"/>
                <w14:textFill>
                  <w14:solidFill>
                    <w14:schemeClr w14:val="tx1"/>
                  </w14:solidFill>
                </w14:textFill>
              </w:rPr>
              <w:t>生态保护红线</w:t>
            </w:r>
            <w:r>
              <w:rPr>
                <w:rFonts w:hint="eastAsia"/>
                <w:color w:val="000000" w:themeColor="text1"/>
                <w:sz w:val="24"/>
                <w14:textFill>
                  <w14:solidFill>
                    <w14:schemeClr w14:val="tx1"/>
                  </w14:solidFill>
                </w14:textFill>
              </w:rPr>
              <w:t>及城镇开发边界管控范围重叠；项目范围在寻甸境内未涉及占用永久基本农田（三区三线）。</w:t>
            </w:r>
          </w:p>
          <w:p w14:paraId="30E86CDC">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lang w:bidi="ar"/>
                <w14:textFill>
                  <w14:solidFill>
                    <w14:schemeClr w14:val="tx1"/>
                  </w14:solidFill>
                </w14:textFill>
              </w:rPr>
              <w:t>环境质量现状评价结果表明，评价区域大气环境</w:t>
            </w:r>
            <w:r>
              <w:rPr>
                <w:rFonts w:hint="eastAsia"/>
                <w:color w:val="000000" w:themeColor="text1"/>
                <w:kern w:val="0"/>
                <w:sz w:val="24"/>
                <w:lang w:bidi="ar"/>
                <w14:textFill>
                  <w14:solidFill>
                    <w14:schemeClr w14:val="tx1"/>
                  </w14:solidFill>
                </w14:textFill>
              </w:rPr>
              <w:t>、地表水环境、地下水环境、</w:t>
            </w:r>
            <w:r>
              <w:rPr>
                <w:color w:val="000000" w:themeColor="text1"/>
                <w:kern w:val="0"/>
                <w:sz w:val="24"/>
                <w:lang w:bidi="ar"/>
                <w14:textFill>
                  <w14:solidFill>
                    <w14:schemeClr w14:val="tx1"/>
                  </w14:solidFill>
                </w14:textFill>
              </w:rPr>
              <w:t>声环境</w:t>
            </w:r>
            <w:r>
              <w:rPr>
                <w:rFonts w:hint="eastAsia"/>
                <w:color w:val="000000" w:themeColor="text1"/>
                <w:kern w:val="0"/>
                <w:sz w:val="24"/>
                <w:lang w:bidi="ar"/>
                <w14:textFill>
                  <w14:solidFill>
                    <w14:schemeClr w14:val="tx1"/>
                  </w14:solidFill>
                </w14:textFill>
              </w:rPr>
              <w:t>、土壤环境</w:t>
            </w:r>
            <w:r>
              <w:rPr>
                <w:color w:val="000000" w:themeColor="text1"/>
                <w:kern w:val="0"/>
                <w:sz w:val="24"/>
                <w:lang w:bidi="ar"/>
                <w14:textFill>
                  <w14:solidFill>
                    <w14:schemeClr w14:val="tx1"/>
                  </w14:solidFill>
                </w14:textFill>
              </w:rPr>
              <w:t>质量较好，满足环境功能要求。</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下文</w:t>
            </w:r>
            <w:r>
              <w:rPr>
                <w:color w:val="000000" w:themeColor="text1"/>
                <w:sz w:val="24"/>
                <w14:textFill>
                  <w14:solidFill>
                    <w14:schemeClr w14:val="tx1"/>
                  </w14:solidFill>
                </w14:textFill>
              </w:rPr>
              <w:t>分析</w:t>
            </w:r>
            <w:r>
              <w:rPr>
                <w:rFonts w:hint="eastAsia"/>
                <w:color w:val="000000" w:themeColor="text1"/>
                <w:sz w:val="24"/>
                <w14:textFill>
                  <w14:solidFill>
                    <w14:schemeClr w14:val="tx1"/>
                  </w14:solidFill>
                </w14:textFill>
              </w:rPr>
              <w:t>可知：</w:t>
            </w:r>
            <w:r>
              <w:rPr>
                <w:color w:val="000000" w:themeColor="text1"/>
                <w:sz w:val="24"/>
                <w14:textFill>
                  <w14:solidFill>
                    <w14:schemeClr w14:val="tx1"/>
                  </w14:solidFill>
                </w14:textFill>
              </w:rPr>
              <w:t>采取</w:t>
            </w:r>
            <w:r>
              <w:rPr>
                <w:rFonts w:hint="eastAsia"/>
                <w:color w:val="000000" w:themeColor="text1"/>
                <w:sz w:val="24"/>
                <w14:textFill>
                  <w14:solidFill>
                    <w14:schemeClr w14:val="tx1"/>
                  </w14:solidFill>
                </w14:textFill>
              </w:rPr>
              <w:t>相应的</w:t>
            </w:r>
            <w:r>
              <w:rPr>
                <w:color w:val="000000" w:themeColor="text1"/>
                <w:sz w:val="24"/>
                <w14:textFill>
                  <w14:solidFill>
                    <w14:schemeClr w14:val="tx1"/>
                  </w14:solidFill>
                </w14:textFill>
              </w:rPr>
              <w:t>污染防治和控制措施后，外排污染物可达标排放，固体废物处置率100%，</w:t>
            </w:r>
            <w:r>
              <w:rPr>
                <w:color w:val="000000" w:themeColor="text1"/>
                <w:kern w:val="0"/>
                <w:sz w:val="24"/>
                <w:lang w:bidi="ar"/>
                <w14:textFill>
                  <w14:solidFill>
                    <w14:schemeClr w14:val="tx1"/>
                  </w14:solidFill>
                </w14:textFill>
              </w:rPr>
              <w:t>环境影响评价结果表明，项目的建设对区域大气环境、水环境、声环境及生态环境的影响均不大，对周边环境</w:t>
            </w:r>
            <w:r>
              <w:rPr>
                <w:rFonts w:hint="eastAsia"/>
                <w:color w:val="000000" w:themeColor="text1"/>
                <w:kern w:val="0"/>
                <w:sz w:val="24"/>
                <w:lang w:bidi="ar"/>
                <w14:textFill>
                  <w14:solidFill>
                    <w14:schemeClr w14:val="tx1"/>
                  </w14:solidFill>
                </w14:textFill>
              </w:rPr>
              <w:t>敏感目标</w:t>
            </w:r>
            <w:r>
              <w:rPr>
                <w:color w:val="000000" w:themeColor="text1"/>
                <w:kern w:val="0"/>
                <w:sz w:val="24"/>
                <w:lang w:bidi="ar"/>
                <w14:textFill>
                  <w14:solidFill>
                    <w14:schemeClr w14:val="tx1"/>
                  </w14:solidFill>
                </w14:textFill>
              </w:rPr>
              <w:t>影响均较小。</w:t>
            </w:r>
            <w:r>
              <w:rPr>
                <w:rFonts w:hint="eastAsia"/>
                <w:color w:val="000000" w:themeColor="text1"/>
                <w:sz w:val="24"/>
                <w14:textFill>
                  <w14:solidFill>
                    <w14:schemeClr w14:val="tx1"/>
                  </w14:solidFill>
                </w14:textFill>
              </w:rPr>
              <w:t>项目最近的大气环境保护目标为西南面74米的大法古村散户，项目区主导风向为西南风，大法古村散户位于项目上风向，项目下风向500m范围内没有大气环境保护目标。</w:t>
            </w:r>
          </w:p>
          <w:p w14:paraId="3E4E3B2C">
            <w:pPr>
              <w:spacing w:line="346"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综上所述，从法律法规、规划、用地、环境质量现状、环境影响、主导风向等方面，项目选址合理可行。</w:t>
            </w:r>
          </w:p>
          <w:p w14:paraId="7C5AA1C5">
            <w:pPr>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、项目与《昆明市生态环境分区管控动态更新方案（</w:t>
            </w:r>
            <w:r>
              <w:rPr>
                <w:rFonts w:hint="eastAsia"/>
                <w:b/>
                <w:bCs/>
                <w:color w:val="000000" w:themeColor="text1"/>
                <w:kern w:val="0"/>
                <w:sz w:val="24"/>
                <w14:textFill>
                  <w14:solidFill>
                    <w14:schemeClr w14:val="tx1"/>
                  </w14:solidFill>
                </w14:textFill>
              </w:rPr>
              <w:t>2023</w:t>
            </w:r>
            <w:r>
              <w:rPr>
                <w:b/>
                <w:bCs/>
                <w:color w:val="000000" w:themeColor="text1"/>
                <w:kern w:val="0"/>
                <w:sz w:val="24"/>
                <w14:textFill>
                  <w14:solidFill>
                    <w14:schemeClr w14:val="tx1"/>
                  </w14:solidFill>
                </w14:textFill>
              </w:rPr>
              <w:t>）》的相符性分析</w:t>
            </w:r>
          </w:p>
          <w:p w14:paraId="32724AB3">
            <w:pPr>
              <w:pStyle w:val="111"/>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2024年11月12日昆明市生态环境局关于公开昆明市生态环境局关于印发《昆明市生态环境分区管控动态更新方案（2023年）》的通知，本项目根据云南省生态环境分区管控公共服务查询平台查询，扩建区域</w:t>
            </w:r>
            <w:r>
              <w:rPr>
                <w:rFonts w:hint="eastAsia"/>
                <w:color w:val="000000" w:themeColor="text1"/>
                <w:sz w:val="24"/>
                <w:lang w:val="en-US" w:eastAsia="zh-CN"/>
                <w14:textFill>
                  <w14:solidFill>
                    <w14:schemeClr w14:val="tx1"/>
                  </w14:solidFill>
                </w14:textFill>
              </w:rPr>
              <w:t>及依托</w:t>
            </w:r>
            <w:r>
              <w:rPr>
                <w:rFonts w:hint="eastAsia"/>
                <w:color w:val="000000" w:themeColor="text1"/>
                <w:sz w:val="24"/>
                <w14:textFill>
                  <w14:solidFill>
                    <w14:schemeClr w14:val="tx1"/>
                  </w14:solidFill>
                </w14:textFill>
              </w:rPr>
              <w:t>地块属于寻甸回族彝族自治县矿产资源重点管控单</w:t>
            </w:r>
            <w:r>
              <w:rPr>
                <w:rFonts w:hint="eastAsia"/>
                <w:color w:val="000000" w:themeColor="text1"/>
                <w:kern w:val="0"/>
                <w:sz w:val="24"/>
                <w:szCs w:val="24"/>
                <w14:textFill>
                  <w14:solidFill>
                    <w14:schemeClr w14:val="tx1"/>
                  </w14:solidFill>
                </w14:textFill>
              </w:rPr>
              <w:t>元。（管控单元查询图见下图1-1）。扩建</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《昆明市生态环境分工管控动态更新方案（2023）》</w:t>
            </w:r>
            <w:r>
              <w:rPr>
                <w:color w:val="000000" w:themeColor="text1"/>
                <w:sz w:val="24"/>
                <w14:textFill>
                  <w14:solidFill>
                    <w14:schemeClr w14:val="tx1"/>
                  </w14:solidFill>
                </w14:textFill>
              </w:rPr>
              <w:t>的符合性分析如表1-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所示。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0"/>
            </w:tblGrid>
            <w:tr w14:paraId="6CC8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5" w:hRule="atLeast"/>
              </w:trPr>
              <w:tc>
                <w:tcPr>
                  <w:tcW w:w="7740" w:type="dxa"/>
                </w:tcPr>
                <w:p w14:paraId="39E930E2">
                  <w:pPr>
                    <w:pStyle w:val="111"/>
                    <w:ind w:firstLine="0" w:firstLineChars="0"/>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4770120" cy="4523740"/>
                        <wp:effectExtent l="0" t="0" r="0" b="2540"/>
                        <wp:docPr id="53" name="图片 53" descr="管控单元截图202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管控单元截图20260121"/>
                                <pic:cNvPicPr>
                                  <a:picLocks noChangeAspect="1"/>
                                </pic:cNvPicPr>
                              </pic:nvPicPr>
                              <pic:blipFill>
                                <a:blip r:embed="rId9"/>
                                <a:stretch>
                                  <a:fillRect/>
                                </a:stretch>
                              </pic:blipFill>
                              <pic:spPr>
                                <a:xfrm>
                                  <a:off x="0" y="0"/>
                                  <a:ext cx="4770120" cy="4523740"/>
                                </a:xfrm>
                                <a:prstGeom prst="rect">
                                  <a:avLst/>
                                </a:prstGeom>
                              </pic:spPr>
                            </pic:pic>
                          </a:graphicData>
                        </a:graphic>
                      </wp:inline>
                    </w:drawing>
                  </w:r>
                </w:p>
              </w:tc>
            </w:tr>
          </w:tbl>
          <w:p w14:paraId="48B1D0E3">
            <w:pPr>
              <w:pStyle w:val="111"/>
              <w:ind w:firstLine="422"/>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图1-1 管控单元分布图</w:t>
            </w:r>
          </w:p>
          <w:p w14:paraId="768D2726">
            <w:pPr>
              <w:ind w:firstLine="422" w:firstLineChars="200"/>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表1-1与《昆明市生态环境分区管控动态更</w:t>
            </w:r>
            <w:r>
              <w:rPr>
                <w:b/>
                <w:bCs/>
                <w:color w:val="000000" w:themeColor="text1"/>
                <w:kern w:val="0"/>
                <w14:textFill>
                  <w14:solidFill>
                    <w14:schemeClr w14:val="tx1"/>
                  </w14:solidFill>
                </w14:textFill>
              </w:rPr>
              <w:t>新方案（2023）》</w:t>
            </w:r>
            <w:r>
              <w:rPr>
                <w:rFonts w:hint="eastAsia"/>
                <w:b/>
                <w:bCs/>
                <w:color w:val="000000" w:themeColor="text1"/>
                <w:kern w:val="0"/>
                <w14:textFill>
                  <w14:solidFill>
                    <w14:schemeClr w14:val="tx1"/>
                  </w14:solidFill>
                </w14:textFill>
              </w:rPr>
              <w:t>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633"/>
              <w:gridCol w:w="3946"/>
              <w:gridCol w:w="1884"/>
              <w:gridCol w:w="687"/>
            </w:tblGrid>
            <w:tr w14:paraId="4841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gridSpan w:val="2"/>
                  <w:tcBorders>
                    <w:tl2br w:val="nil"/>
                    <w:tr2bl w:val="nil"/>
                  </w:tcBorders>
                  <w:vAlign w:val="center"/>
                </w:tcPr>
                <w:p w14:paraId="28427BB3">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类别</w:t>
                  </w:r>
                </w:p>
              </w:tc>
              <w:tc>
                <w:tcPr>
                  <w:tcW w:w="3946" w:type="dxa"/>
                  <w:tcBorders>
                    <w:tl2br w:val="nil"/>
                    <w:tr2bl w:val="nil"/>
                  </w:tcBorders>
                  <w:vAlign w:val="center"/>
                </w:tcPr>
                <w:p w14:paraId="3EA0E54B">
                  <w:pPr>
                    <w:pStyle w:val="92"/>
                    <w:adjustRightInd/>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《昆明市生态环境分区管控动态更新方案（</w:t>
                  </w:r>
                  <w:r>
                    <w:rPr>
                      <w:rFonts w:hint="eastAsia"/>
                      <w:b/>
                      <w:bCs/>
                      <w:color w:val="000000" w:themeColor="text1"/>
                      <w:kern w:val="0"/>
                      <w14:textFill>
                        <w14:solidFill>
                          <w14:schemeClr w14:val="tx1"/>
                        </w14:solidFill>
                      </w14:textFill>
                    </w:rPr>
                    <w:t>2023</w:t>
                  </w:r>
                  <w:r>
                    <w:rPr>
                      <w:b/>
                      <w:bCs/>
                      <w:color w:val="000000" w:themeColor="text1"/>
                      <w:kern w:val="0"/>
                      <w14:textFill>
                        <w14:solidFill>
                          <w14:schemeClr w14:val="tx1"/>
                        </w14:solidFill>
                      </w14:textFill>
                    </w:rPr>
                    <w:t>）》</w:t>
                  </w:r>
                </w:p>
              </w:tc>
              <w:tc>
                <w:tcPr>
                  <w:tcW w:w="1884" w:type="dxa"/>
                  <w:tcBorders>
                    <w:tl2br w:val="nil"/>
                    <w:tr2bl w:val="nil"/>
                  </w:tcBorders>
                  <w:vAlign w:val="center"/>
                </w:tcPr>
                <w:p w14:paraId="3764DE27">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项目情况</w:t>
                  </w:r>
                </w:p>
              </w:tc>
              <w:tc>
                <w:tcPr>
                  <w:tcW w:w="687" w:type="dxa"/>
                  <w:tcBorders>
                    <w:tl2br w:val="nil"/>
                    <w:tr2bl w:val="nil"/>
                  </w:tcBorders>
                  <w:vAlign w:val="center"/>
                </w:tcPr>
                <w:p w14:paraId="1C5BE3C3">
                  <w:pPr>
                    <w:pStyle w:val="92"/>
                    <w:adjustRightInd/>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符合性</w:t>
                  </w:r>
                </w:p>
              </w:tc>
            </w:tr>
            <w:tr w14:paraId="3F5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restart"/>
                  <w:tcBorders>
                    <w:tl2br w:val="nil"/>
                    <w:tr2bl w:val="nil"/>
                  </w:tcBorders>
                  <w:vAlign w:val="center"/>
                </w:tcPr>
                <w:p w14:paraId="23B9DC2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寻甸回族彝族自治县矿产资源重点管控单元</w:t>
                  </w:r>
                </w:p>
              </w:tc>
              <w:tc>
                <w:tcPr>
                  <w:tcW w:w="633" w:type="dxa"/>
                  <w:tcBorders>
                    <w:tl2br w:val="nil"/>
                    <w:tr2bl w:val="nil"/>
                  </w:tcBorders>
                  <w:vAlign w:val="center"/>
                </w:tcPr>
                <w:p w14:paraId="1370AC6C">
                  <w:pPr>
                    <w:jc w:val="center"/>
                    <w:rPr>
                      <w:color w:val="000000" w:themeColor="text1"/>
                      <w:kern w:val="0"/>
                      <w14:textFill>
                        <w14:solidFill>
                          <w14:schemeClr w14:val="tx1"/>
                        </w14:solidFill>
                      </w14:textFill>
                    </w:rPr>
                  </w:pPr>
                  <w:r>
                    <w:rPr>
                      <w:rStyle w:val="45"/>
                      <w:color w:val="000000" w:themeColor="text1"/>
                      <w:kern w:val="0"/>
                      <w:szCs w:val="21"/>
                      <w14:textFill>
                        <w14:solidFill>
                          <w14:schemeClr w14:val="tx1"/>
                        </w14:solidFill>
                      </w14:textFill>
                    </w:rPr>
                    <w:t>空间布局约束</w:t>
                  </w:r>
                </w:p>
              </w:tc>
              <w:tc>
                <w:tcPr>
                  <w:tcW w:w="3946" w:type="dxa"/>
                  <w:tcBorders>
                    <w:tl2br w:val="nil"/>
                    <w:tr2bl w:val="nil"/>
                  </w:tcBorders>
                  <w:vAlign w:val="center"/>
                </w:tcPr>
                <w:p w14:paraId="4892B36E">
                  <w:pPr>
                    <w:pStyle w:val="92"/>
                    <w:adjustRightInd/>
                    <w:ind w:firstLine="420" w:firstLineChars="200"/>
                    <w:jc w:val="both"/>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落实《云南省矿产资源总体规划》禁止开采区规定，禁止开采区内不得新设采矿权。</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1.对于规划区与饮用水水源保护区重叠区域不新设采矿权，原有矿权逐步有序退出，排污口不得设置在饮用水水源保护区内。饮用水水源二级保护区执行绿色勘查相关要求。</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2.禁止在长江干流岸线三公里范围内和重要支流岸线一公里范围内新建、改建、扩建尾矿库；</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3.不再新建露天磷矿山，严格总磷排放管控要求，控制总磷排放总量，涉及磷矿开采企业应对排污口和周边环境进行总磷监测，依法公开监测信息；</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4.继续实施长江经济带废弃矿山生态修复工作。</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5.矿山开采地面设施禁止占用永久基本农田。</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6.矿山企业应当按照“谁开发、谁保护、谁破坏、谁治理”的原则，结合矿山生产实际，及时组织开展矿山地质环境恢复治理和土</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7.地复垦相关工作，切实履行矿山生态修复义务。加快推进历史遗留矿山生态修复工作。</w:t>
                  </w:r>
                </w:p>
              </w:tc>
              <w:tc>
                <w:tcPr>
                  <w:tcW w:w="1884" w:type="dxa"/>
                  <w:tcBorders>
                    <w:tl2br w:val="nil"/>
                    <w:tr2bl w:val="nil"/>
                  </w:tcBorders>
                  <w:vAlign w:val="center"/>
                </w:tcPr>
                <w:p w14:paraId="539FDA1B">
                  <w:pPr>
                    <w:pStyle w:val="92"/>
                    <w:numPr>
                      <w:ilvl w:val="0"/>
                      <w:numId w:val="6"/>
                    </w:numPr>
                    <w:adjustRightInd/>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本次扩建项目为肥料生产，不涉及新立矿权。不新增废水排放口。</w:t>
                  </w:r>
                </w:p>
                <w:p w14:paraId="7E1667CB">
                  <w:pPr>
                    <w:numPr>
                      <w:ilvl w:val="0"/>
                      <w:numId w:val="6"/>
                    </w:num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本项目属于肥料制造，不属于尾矿库行业；</w:t>
                  </w:r>
                </w:p>
                <w:p w14:paraId="751CD6F5">
                  <w:pPr>
                    <w:numPr>
                      <w:ilvl w:val="0"/>
                      <w:numId w:val="6"/>
                    </w:num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本项目属于肥料制造，不属于矿山类；</w:t>
                  </w:r>
                </w:p>
                <w:p w14:paraId="08BE85CE">
                  <w:pPr>
                    <w:numPr>
                      <w:ilvl w:val="0"/>
                      <w:numId w:val="6"/>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p w14:paraId="2A6F77FD">
                  <w:pPr>
                    <w:numPr>
                      <w:ilvl w:val="0"/>
                      <w:numId w:val="6"/>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p w14:paraId="714EA762">
                  <w:pPr>
                    <w:numPr>
                      <w:ilvl w:val="0"/>
                      <w:numId w:val="6"/>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p w14:paraId="2F7A27D0">
                  <w:pPr>
                    <w:numPr>
                      <w:ilvl w:val="0"/>
                      <w:numId w:val="6"/>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w:t>
                  </w:r>
                </w:p>
                <w:p w14:paraId="6772B74C">
                  <w:pPr>
                    <w:rPr>
                      <w:color w:val="000000" w:themeColor="text1"/>
                      <w14:textFill>
                        <w14:solidFill>
                          <w14:schemeClr w14:val="tx1"/>
                        </w14:solidFill>
                      </w14:textFill>
                    </w:rPr>
                  </w:pPr>
                </w:p>
                <w:p w14:paraId="527E99E5">
                  <w:pPr>
                    <w:rPr>
                      <w:color w:val="000000" w:themeColor="text1"/>
                      <w14:textFill>
                        <w14:solidFill>
                          <w14:schemeClr w14:val="tx1"/>
                        </w14:solidFill>
                      </w14:textFill>
                    </w:rPr>
                  </w:pPr>
                </w:p>
                <w:p w14:paraId="049A9A2A">
                  <w:pPr>
                    <w:pStyle w:val="92"/>
                    <w:adjustRightInd/>
                    <w:ind w:firstLine="420" w:firstLineChars="200"/>
                    <w:jc w:val="both"/>
                    <w:rPr>
                      <w:color w:val="000000" w:themeColor="text1"/>
                      <w:kern w:val="0"/>
                      <w:szCs w:val="20"/>
                      <w14:textFill>
                        <w14:solidFill>
                          <w14:schemeClr w14:val="tx1"/>
                        </w14:solidFill>
                      </w14:textFill>
                    </w:rPr>
                  </w:pPr>
                </w:p>
              </w:tc>
              <w:tc>
                <w:tcPr>
                  <w:tcW w:w="687" w:type="dxa"/>
                  <w:tcBorders>
                    <w:tl2br w:val="nil"/>
                    <w:tr2bl w:val="nil"/>
                  </w:tcBorders>
                  <w:vAlign w:val="center"/>
                </w:tcPr>
                <w:p w14:paraId="790431A8">
                  <w:pPr>
                    <w:pStyle w:val="92"/>
                    <w:adjustRightInd/>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符合</w:t>
                  </w:r>
                </w:p>
              </w:tc>
            </w:tr>
            <w:tr w14:paraId="59A9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continue"/>
                  <w:tcBorders>
                    <w:tl2br w:val="nil"/>
                    <w:tr2bl w:val="nil"/>
                  </w:tcBorders>
                  <w:vAlign w:val="center"/>
                </w:tcPr>
                <w:p w14:paraId="426199C6">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00B7D65F">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污染物排放管控</w:t>
                  </w:r>
                </w:p>
              </w:tc>
              <w:tc>
                <w:tcPr>
                  <w:tcW w:w="3946" w:type="dxa"/>
                  <w:tcBorders>
                    <w:tl2br w:val="nil"/>
                    <w:tr2bl w:val="nil"/>
                  </w:tcBorders>
                  <w:vAlign w:val="center"/>
                </w:tcPr>
                <w:p w14:paraId="6D69C9B9">
                  <w:pP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1.贯彻“边开采、边治理、边恢复”的原则，及时治理恢复矿山地质环境，复垦矿山占用土地和损毁土地。</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2.实施“矿山复绿”行动。重点加强历史遗留矿山矿区土地复垦，实施矿山地质环境治理恢复及矿区土地复垦工程。</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3.加强尾矿、废石等资源的再利用与资源综合利用，对尾矿库、废石堆通过平整、覆土、种植等措施开展复垦还绿，严防重金属污染。</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4.矿山企业应当按照“谁开发、谁保护、谁破坏、谁治理”的原则。</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5.进一步加强重金属污染防控，严格实行重点行业重点污染物总量控制指标，减少重金属排放；</w:t>
                  </w:r>
                </w:p>
              </w:tc>
              <w:tc>
                <w:tcPr>
                  <w:tcW w:w="1884" w:type="dxa"/>
                  <w:tcBorders>
                    <w:tl2br w:val="nil"/>
                    <w:tr2bl w:val="nil"/>
                  </w:tcBorders>
                  <w:vAlign w:val="center"/>
                </w:tcPr>
                <w:p w14:paraId="5220BA92">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本项目为</w:t>
                  </w:r>
                  <w:r>
                    <w:rPr>
                      <w:rFonts w:hint="eastAsia"/>
                      <w:color w:val="000000" w:themeColor="text1"/>
                      <w:kern w:val="0"/>
                      <w:szCs w:val="21"/>
                      <w:lang w:val="en-US" w:eastAsia="zh-CN"/>
                      <w14:textFill>
                        <w14:solidFill>
                          <w14:schemeClr w14:val="tx1"/>
                        </w14:solidFill>
                      </w14:textFill>
                    </w:rPr>
                    <w:t>有机</w:t>
                  </w:r>
                  <w:r>
                    <w:rPr>
                      <w:color w:val="000000" w:themeColor="text1"/>
                      <w:kern w:val="0"/>
                      <w:szCs w:val="21"/>
                      <w14:textFill>
                        <w14:solidFill>
                          <w14:schemeClr w14:val="tx1"/>
                        </w14:solidFill>
                      </w14:textFill>
                    </w:rPr>
                    <w:t>肥生产项目，属于</w:t>
                  </w:r>
                  <w:r>
                    <w:rPr>
                      <w:rFonts w:hint="eastAsia"/>
                      <w:color w:val="000000" w:themeColor="text1"/>
                      <w:kern w:val="0"/>
                      <w:szCs w:val="21"/>
                      <w:lang w:val="en-US" w:eastAsia="zh-CN"/>
                      <w14:textFill>
                        <w14:solidFill>
                          <w14:schemeClr w14:val="tx1"/>
                        </w14:solidFill>
                      </w14:textFill>
                    </w:rPr>
                    <w:t>鼓励</w:t>
                  </w:r>
                  <w:r>
                    <w:rPr>
                      <w:color w:val="000000" w:themeColor="text1"/>
                      <w:kern w:val="0"/>
                      <w:szCs w:val="21"/>
                      <w14:textFill>
                        <w14:solidFill>
                          <w14:schemeClr w14:val="tx1"/>
                        </w14:solidFill>
                      </w14:textFill>
                    </w:rPr>
                    <w:t>类项目，符合国家现行产业政策。</w:t>
                  </w:r>
                  <w:r>
                    <w:rPr>
                      <w:rFonts w:hint="eastAsia"/>
                      <w:color w:val="000000" w:themeColor="text1"/>
                      <w:kern w:val="0"/>
                      <w:szCs w:val="21"/>
                      <w14:textFill>
                        <w14:solidFill>
                          <w14:schemeClr w14:val="tx1"/>
                        </w14:solidFill>
                      </w14:textFill>
                    </w:rPr>
                    <w:t>不涉及表中所列内容。</w:t>
                  </w:r>
                </w:p>
                <w:p w14:paraId="67CB97F6">
                  <w:pPr>
                    <w:rPr>
                      <w:color w:val="000000" w:themeColor="text1"/>
                      <w:kern w:val="0"/>
                      <w:szCs w:val="21"/>
                      <w14:textFill>
                        <w14:solidFill>
                          <w14:schemeClr w14:val="tx1"/>
                        </w14:solidFill>
                      </w14:textFill>
                    </w:rPr>
                  </w:pPr>
                </w:p>
              </w:tc>
              <w:tc>
                <w:tcPr>
                  <w:tcW w:w="687" w:type="dxa"/>
                  <w:tcBorders>
                    <w:tl2br w:val="nil"/>
                    <w:tr2bl w:val="nil"/>
                  </w:tcBorders>
                  <w:vAlign w:val="center"/>
                </w:tcPr>
                <w:p w14:paraId="55991733">
                  <w:pPr>
                    <w:pStyle w:val="92"/>
                    <w:adjustRightInd/>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符合</w:t>
                  </w:r>
                </w:p>
              </w:tc>
            </w:tr>
            <w:tr w14:paraId="54E2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jc w:val="center"/>
              </w:trPr>
              <w:tc>
                <w:tcPr>
                  <w:tcW w:w="623" w:type="dxa"/>
                  <w:vMerge w:val="continue"/>
                  <w:tcBorders>
                    <w:tl2br w:val="nil"/>
                    <w:tr2bl w:val="nil"/>
                  </w:tcBorders>
                  <w:vAlign w:val="center"/>
                </w:tcPr>
                <w:p w14:paraId="357FF2DB">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5B30890A">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环境风险防控</w:t>
                  </w:r>
                </w:p>
              </w:tc>
              <w:tc>
                <w:tcPr>
                  <w:tcW w:w="3946" w:type="dxa"/>
                  <w:tcBorders>
                    <w:tl2br w:val="nil"/>
                    <w:tr2bl w:val="nil"/>
                  </w:tcBorders>
                  <w:vAlign w:val="center"/>
                </w:tcPr>
                <w:p w14:paraId="458BF419">
                  <w:pP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1.产生、利用或处置含重金属的固体废物（含危险废物）的企业在贮存、转移、利用、处置固体废物（含危险废物）过程中，</w:t>
                  </w:r>
                  <w:bookmarkStart w:id="20" w:name="OLE_LINK3"/>
                  <w:r>
                    <w:rPr>
                      <w:rFonts w:hint="eastAsia"/>
                      <w:color w:val="000000" w:themeColor="text1"/>
                      <w14:textFill>
                        <w14:solidFill>
                          <w14:schemeClr w14:val="tx1"/>
                        </w14:solidFill>
                      </w14:textFill>
                    </w:rPr>
                    <w:t>应配套防扬散、防流失、防渗漏及其他防止污染环境的措施。</w:t>
                  </w:r>
                  <w:bookmarkEnd w:id="20"/>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2.各工矿企业应当结合风险源状况明确环境风险的防范、减缓措施。构建“单元—厂区—园区/区域”的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1884" w:type="dxa"/>
                  <w:tcBorders>
                    <w:tl2br w:val="nil"/>
                    <w:tr2bl w:val="nil"/>
                  </w:tcBorders>
                  <w:vAlign w:val="center"/>
                </w:tcPr>
                <w:p w14:paraId="70D949E9">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w:t>
                  </w:r>
                  <w:r>
                    <w:rPr>
                      <w:rFonts w:hint="eastAsia"/>
                      <w:color w:val="000000" w:themeColor="text1"/>
                      <w14:textFill>
                        <w14:solidFill>
                          <w14:schemeClr w14:val="tx1"/>
                        </w14:solidFill>
                      </w14:textFill>
                    </w:rPr>
                    <w:t>本项目产生的固废在实施本环评提出的处理措施后均能得到妥善处置。环评已提出分区防渗措施；</w:t>
                  </w:r>
                </w:p>
                <w:p w14:paraId="01C54366">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.经过判断，本</w:t>
                  </w:r>
                  <w:r>
                    <w:rPr>
                      <w:color w:val="000000" w:themeColor="text1"/>
                      <w:kern w:val="0"/>
                      <w:szCs w:val="21"/>
                      <w14:textFill>
                        <w14:solidFill>
                          <w14:schemeClr w14:val="tx1"/>
                        </w14:solidFill>
                      </w14:textFill>
                    </w:rPr>
                    <w:t>项目不涉及重大</w:t>
                  </w:r>
                  <w:r>
                    <w:rPr>
                      <w:rFonts w:hint="eastAsia"/>
                      <w:color w:val="000000" w:themeColor="text1"/>
                      <w:kern w:val="0"/>
                      <w:szCs w:val="21"/>
                      <w14:textFill>
                        <w14:solidFill>
                          <w14:schemeClr w14:val="tx1"/>
                        </w14:solidFill>
                      </w14:textFill>
                    </w:rPr>
                    <w:t>环境风险</w:t>
                  </w:r>
                  <w:r>
                    <w:rPr>
                      <w:color w:val="000000" w:themeColor="text1"/>
                      <w:kern w:val="0"/>
                      <w:szCs w:val="21"/>
                      <w14:textFill>
                        <w14:solidFill>
                          <w14:schemeClr w14:val="tx1"/>
                        </w14:solidFill>
                      </w14:textFill>
                    </w:rPr>
                    <w:t>源。</w:t>
                  </w:r>
                  <w:r>
                    <w:rPr>
                      <w:rFonts w:hint="eastAsia"/>
                      <w:color w:val="000000" w:themeColor="text1"/>
                      <w:kern w:val="0"/>
                      <w:szCs w:val="21"/>
                      <w14:textFill>
                        <w14:solidFill>
                          <w14:schemeClr w14:val="tx1"/>
                        </w14:solidFill>
                      </w14:textFill>
                    </w:rPr>
                    <w:t>依托厂区现有事故暂存池，项目建成后将修编公司</w:t>
                  </w:r>
                  <w:r>
                    <w:rPr>
                      <w:rFonts w:hint="eastAsia"/>
                      <w:color w:val="000000" w:themeColor="text1"/>
                      <w14:textFill>
                        <w14:solidFill>
                          <w14:schemeClr w14:val="tx1"/>
                        </w14:solidFill>
                      </w14:textFill>
                    </w:rPr>
                    <w:t>突发环境事件应急预案并备案。</w:t>
                  </w:r>
                </w:p>
              </w:tc>
              <w:tc>
                <w:tcPr>
                  <w:tcW w:w="687" w:type="dxa"/>
                  <w:tcBorders>
                    <w:tl2br w:val="nil"/>
                    <w:tr2bl w:val="nil"/>
                  </w:tcBorders>
                  <w:vAlign w:val="center"/>
                </w:tcPr>
                <w:p w14:paraId="51F40026">
                  <w:pPr>
                    <w:pStyle w:val="92"/>
                    <w:adjustRightInd/>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符合</w:t>
                  </w:r>
                </w:p>
              </w:tc>
            </w:tr>
            <w:tr w14:paraId="6766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dxa"/>
                  <w:vMerge w:val="continue"/>
                  <w:tcBorders>
                    <w:tl2br w:val="nil"/>
                    <w:tr2bl w:val="nil"/>
                  </w:tcBorders>
                  <w:vAlign w:val="center"/>
                </w:tcPr>
                <w:p w14:paraId="586706F4">
                  <w:pPr>
                    <w:jc w:val="center"/>
                    <w:rPr>
                      <w:color w:val="000000" w:themeColor="text1"/>
                      <w:kern w:val="0"/>
                      <w:szCs w:val="21"/>
                      <w14:textFill>
                        <w14:solidFill>
                          <w14:schemeClr w14:val="tx1"/>
                        </w14:solidFill>
                      </w14:textFill>
                    </w:rPr>
                  </w:pPr>
                </w:p>
              </w:tc>
              <w:tc>
                <w:tcPr>
                  <w:tcW w:w="633" w:type="dxa"/>
                  <w:tcBorders>
                    <w:tl2br w:val="nil"/>
                    <w:tr2bl w:val="nil"/>
                  </w:tcBorders>
                  <w:vAlign w:val="center"/>
                </w:tcPr>
                <w:p w14:paraId="05D4BFA5">
                  <w:pPr>
                    <w:jc w:val="center"/>
                    <w:rPr>
                      <w:rStyle w:val="45"/>
                      <w:color w:val="000000" w:themeColor="text1"/>
                      <w:kern w:val="0"/>
                      <w:szCs w:val="21"/>
                      <w14:textFill>
                        <w14:solidFill>
                          <w14:schemeClr w14:val="tx1"/>
                        </w14:solidFill>
                      </w14:textFill>
                    </w:rPr>
                  </w:pPr>
                  <w:r>
                    <w:rPr>
                      <w:rStyle w:val="45"/>
                      <w:color w:val="000000" w:themeColor="text1"/>
                      <w:kern w:val="0"/>
                      <w:szCs w:val="21"/>
                      <w14:textFill>
                        <w14:solidFill>
                          <w14:schemeClr w14:val="tx1"/>
                        </w14:solidFill>
                      </w14:textFill>
                    </w:rPr>
                    <w:t>资源开发效率要求</w:t>
                  </w:r>
                </w:p>
              </w:tc>
              <w:tc>
                <w:tcPr>
                  <w:tcW w:w="3946" w:type="dxa"/>
                  <w:tcBorders>
                    <w:tl2br w:val="nil"/>
                    <w:tr2bl w:val="nil"/>
                  </w:tcBorders>
                  <w:vAlign w:val="center"/>
                </w:tcPr>
                <w:p w14:paraId="3E7685A0">
                  <w:pPr>
                    <w:rPr>
                      <w:color w:val="000000" w:themeColor="text1"/>
                      <w14:textFill>
                        <w14:solidFill>
                          <w14:schemeClr w14:val="tx1"/>
                        </w14:solidFill>
                      </w14:textFill>
                    </w:rPr>
                  </w:pPr>
                  <w:r>
                    <w:rPr>
                      <w:rFonts w:hint="eastAsia"/>
                      <w:color w:val="000000" w:themeColor="text1"/>
                      <w14:textFill>
                        <w14:solidFill>
                          <w14:schemeClr w14:val="tx1"/>
                        </w14:solidFill>
                      </w14:textFill>
                    </w:rPr>
                    <w:t>1.积极推进矿产资源开发规模化、集约化，落实云南省关于煤矿转型升级、非煤矿山转型升级、煤炭行业化解过剩产能有关要求。</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 </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3.应从源头减少废水产生，实施清污分流，应充分利用矿井水、循环利用选矿水。</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4.加快老矿山改造升级，建设绿色矿山，提高矿产资源回采率和综合回收率，大力开展粉煤灰、磷石膏、炉渣、冶炼废渣、尾矿等资源化利用。 </w:t>
                  </w:r>
                  <w:r>
                    <w:rPr>
                      <w:rFonts w:hint="eastAsia"/>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5.提高煤矸石、废石等综合利用率，降低废石排放率，鼓励利用尾矿、废石、建筑垃圾等生产机制砂石，提高固体废物循环利用水平。</w:t>
                  </w:r>
                </w:p>
              </w:tc>
              <w:tc>
                <w:tcPr>
                  <w:tcW w:w="1884" w:type="dxa"/>
                  <w:tcBorders>
                    <w:tl2br w:val="nil"/>
                    <w:tr2bl w:val="nil"/>
                  </w:tcBorders>
                  <w:vAlign w:val="center"/>
                </w:tcPr>
                <w:p w14:paraId="402B21ED">
                  <w:pPr>
                    <w:pStyle w:val="98"/>
                    <w:spacing w:line="240" w:lineRule="auto"/>
                    <w:ind w:firstLine="0" w:firstLineChars="0"/>
                    <w:jc w:val="both"/>
                    <w:rPr>
                      <w:rFonts w:eastAsia="宋体"/>
                      <w:color w:val="000000" w:themeColor="text1"/>
                      <w:kern w:val="0"/>
                      <w:sz w:val="21"/>
                      <w:szCs w:val="21"/>
                      <w14:textFill>
                        <w14:solidFill>
                          <w14:schemeClr w14:val="tx1"/>
                        </w14:solidFill>
                      </w14:textFill>
                    </w:rPr>
                  </w:pPr>
                  <w:r>
                    <w:rPr>
                      <w:rFonts w:eastAsia="宋体"/>
                      <w:color w:val="000000" w:themeColor="text1"/>
                      <w:kern w:val="0"/>
                      <w:sz w:val="21"/>
                      <w:szCs w:val="21"/>
                      <w14:textFill>
                        <w14:solidFill>
                          <w14:schemeClr w14:val="tx1"/>
                        </w14:solidFill>
                      </w14:textFill>
                    </w:rPr>
                    <w:t>本</w:t>
                  </w:r>
                  <w:r>
                    <w:rPr>
                      <w:rFonts w:hint="eastAsia" w:eastAsia="宋体"/>
                      <w:color w:val="000000" w:themeColor="text1"/>
                      <w:kern w:val="0"/>
                      <w:sz w:val="21"/>
                      <w:szCs w:val="21"/>
                      <w14:textFill>
                        <w14:solidFill>
                          <w14:schemeClr w14:val="tx1"/>
                        </w14:solidFill>
                      </w14:textFill>
                    </w:rPr>
                    <w:t>扩建</w:t>
                  </w:r>
                  <w:r>
                    <w:rPr>
                      <w:rFonts w:eastAsia="宋体"/>
                      <w:color w:val="000000" w:themeColor="text1"/>
                      <w:kern w:val="0"/>
                      <w:sz w:val="21"/>
                      <w:szCs w:val="21"/>
                      <w14:textFill>
                        <w14:solidFill>
                          <w14:schemeClr w14:val="tx1"/>
                        </w14:solidFill>
                      </w14:textFill>
                    </w:rPr>
                    <w:t>项目</w:t>
                  </w:r>
                  <w:r>
                    <w:rPr>
                      <w:rFonts w:hint="eastAsia" w:eastAsia="宋体"/>
                      <w:color w:val="000000" w:themeColor="text1"/>
                      <w:kern w:val="0"/>
                      <w:sz w:val="21"/>
                      <w:szCs w:val="21"/>
                      <w14:textFill>
                        <w14:solidFill>
                          <w14:schemeClr w14:val="tx1"/>
                        </w14:solidFill>
                      </w14:textFill>
                    </w:rPr>
                    <w:t>为肥料制造</w:t>
                  </w:r>
                  <w:r>
                    <w:rPr>
                      <w:rFonts w:eastAsia="宋体"/>
                      <w:color w:val="000000" w:themeColor="text1"/>
                      <w:kern w:val="0"/>
                      <w:sz w:val="21"/>
                      <w:szCs w:val="21"/>
                      <w14:textFill>
                        <w14:solidFill>
                          <w14:schemeClr w14:val="tx1"/>
                        </w14:solidFill>
                      </w14:textFill>
                    </w:rPr>
                    <w:t>，不涉及该项所列的内容。</w:t>
                  </w:r>
                </w:p>
              </w:tc>
              <w:tc>
                <w:tcPr>
                  <w:tcW w:w="687" w:type="dxa"/>
                  <w:tcBorders>
                    <w:tl2br w:val="nil"/>
                    <w:tr2bl w:val="nil"/>
                  </w:tcBorders>
                  <w:vAlign w:val="center"/>
                </w:tcPr>
                <w:p w14:paraId="460935D3">
                  <w:pPr>
                    <w:jc w:val="center"/>
                    <w:rPr>
                      <w:color w:val="000000" w:themeColor="text1"/>
                      <w:kern w:val="0"/>
                      <w:szCs w:val="20"/>
                      <w14:textFill>
                        <w14:solidFill>
                          <w14:schemeClr w14:val="tx1"/>
                        </w14:solidFill>
                      </w14:textFill>
                    </w:rPr>
                  </w:pPr>
                  <w:r>
                    <w:rPr>
                      <w:color w:val="000000" w:themeColor="text1"/>
                      <w:kern w:val="0"/>
                      <w:szCs w:val="21"/>
                      <w14:textFill>
                        <w14:solidFill>
                          <w14:schemeClr w14:val="tx1"/>
                        </w14:solidFill>
                      </w14:textFill>
                    </w:rPr>
                    <w:t>符合</w:t>
                  </w:r>
                </w:p>
              </w:tc>
            </w:tr>
          </w:tbl>
          <w:p w14:paraId="22B9C313">
            <w:pPr>
              <w:pStyle w:val="81"/>
              <w:spacing w:line="360" w:lineRule="auto"/>
              <w:ind w:firstLine="480" w:firstLineChars="200"/>
              <w:rPr>
                <w:rFonts w:ascii="Times New Roman" w:hAnsi="Times New Roman"/>
                <w:b/>
                <w:bCs/>
                <w:color w:val="000000" w:themeColor="text1"/>
                <w:sz w:val="24"/>
                <w:szCs w:val="24"/>
                <w14:textFill>
                  <w14:solidFill>
                    <w14:schemeClr w14:val="tx1"/>
                  </w14:solidFill>
                </w14:textFill>
              </w:rPr>
            </w:pPr>
            <w:r>
              <w:rPr>
                <w:rFonts w:hint="eastAsia" w:hAnsi="宋体" w:cs="宋体"/>
                <w:color w:val="000000" w:themeColor="text1"/>
                <w:sz w:val="24"/>
                <w:szCs w:val="20"/>
                <w14:textFill>
                  <w14:solidFill>
                    <w14:schemeClr w14:val="tx1"/>
                  </w14:solidFill>
                </w14:textFill>
              </w:rPr>
              <w:t>综上所述，本项目</w:t>
            </w:r>
            <w:r>
              <w:rPr>
                <w:rFonts w:hint="eastAsia" w:hAnsi="宋体" w:cs="宋体"/>
                <w:color w:val="000000" w:themeColor="text1"/>
                <w:sz w:val="24"/>
                <w:szCs w:val="24"/>
                <w14:textFill>
                  <w14:solidFill>
                    <w14:schemeClr w14:val="tx1"/>
                  </w14:solidFill>
                </w14:textFill>
              </w:rPr>
              <w:t>符合</w:t>
            </w:r>
            <w:r>
              <w:rPr>
                <w:rFonts w:hint="eastAsia" w:ascii="Times New Roman" w:hAnsi="Times New Roman"/>
                <w:color w:val="000000" w:themeColor="text1"/>
                <w:sz w:val="24"/>
                <w:szCs w:val="24"/>
                <w14:textFill>
                  <w14:solidFill>
                    <w14:schemeClr w14:val="tx1"/>
                  </w14:solidFill>
                </w14:textFill>
              </w:rPr>
              <w:t>《昆明市生态环境分区管控动态更新方案（2023年）》的</w:t>
            </w:r>
            <w:r>
              <w:rPr>
                <w:rFonts w:hint="eastAsia" w:hAnsi="宋体" w:cs="宋体"/>
                <w:color w:val="000000" w:themeColor="text1"/>
                <w:sz w:val="24"/>
                <w:szCs w:val="24"/>
                <w14:textFill>
                  <w14:solidFill>
                    <w14:schemeClr w14:val="tx1"/>
                  </w14:solidFill>
                </w14:textFill>
              </w:rPr>
              <w:t>相关要求</w:t>
            </w:r>
            <w:r>
              <w:rPr>
                <w:rFonts w:ascii="Times New Roman" w:hAnsi="Times New Roman"/>
                <w:color w:val="000000" w:themeColor="text1"/>
                <w:sz w:val="24"/>
                <w:szCs w:val="24"/>
                <w14:textFill>
                  <w14:solidFill>
                    <w14:schemeClr w14:val="tx1"/>
                  </w14:solidFill>
                </w14:textFill>
              </w:rPr>
              <w:t>。</w:t>
            </w:r>
          </w:p>
          <w:p w14:paraId="222BD4C5">
            <w:pPr>
              <w:spacing w:line="360" w:lineRule="auto"/>
              <w:ind w:left="479" w:leftChars="228"/>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5、与《昆明市大气污染防治条例》符合性分析</w:t>
            </w:r>
          </w:p>
          <w:p w14:paraId="5AD26DF2">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本项目与2020年12月13日发布的昆明市第十四届人民代表大会常务委员会《昆明市大气污染防治条例》符合性分析见表1-2。</w:t>
            </w:r>
          </w:p>
          <w:p w14:paraId="36C80E4B">
            <w:pPr>
              <w:pStyle w:val="83"/>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表1-2  与《昆明市大气污染防治条例》符合性分析</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2"/>
              <w:gridCol w:w="4246"/>
              <w:gridCol w:w="2488"/>
              <w:gridCol w:w="537"/>
            </w:tblGrid>
            <w:tr w14:paraId="7FEB0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02" w:type="dxa"/>
                  <w:tcBorders>
                    <w:tl2br w:val="nil"/>
                    <w:tr2bl w:val="nil"/>
                  </w:tcBorders>
                  <w:tcMar>
                    <w:top w:w="15" w:type="dxa"/>
                    <w:left w:w="15" w:type="dxa"/>
                    <w:right w:w="15" w:type="dxa"/>
                  </w:tcMar>
                  <w:vAlign w:val="center"/>
                </w:tcPr>
                <w:p w14:paraId="33294C11">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序号</w:t>
                  </w:r>
                </w:p>
              </w:tc>
              <w:tc>
                <w:tcPr>
                  <w:tcW w:w="4246" w:type="dxa"/>
                  <w:tcBorders>
                    <w:tl2br w:val="nil"/>
                    <w:tr2bl w:val="nil"/>
                  </w:tcBorders>
                  <w:tcMar>
                    <w:top w:w="15" w:type="dxa"/>
                    <w:left w:w="15" w:type="dxa"/>
                    <w:right w:w="15" w:type="dxa"/>
                  </w:tcMar>
                  <w:vAlign w:val="center"/>
                </w:tcPr>
                <w:p w14:paraId="643835FA">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大气污染防治法</w:t>
                  </w:r>
                </w:p>
              </w:tc>
              <w:tc>
                <w:tcPr>
                  <w:tcW w:w="2488" w:type="dxa"/>
                  <w:tcBorders>
                    <w:tl2br w:val="nil"/>
                    <w:tr2bl w:val="nil"/>
                  </w:tcBorders>
                  <w:tcMar>
                    <w:top w:w="15" w:type="dxa"/>
                    <w:left w:w="15" w:type="dxa"/>
                    <w:right w:w="15" w:type="dxa"/>
                  </w:tcMar>
                  <w:vAlign w:val="center"/>
                </w:tcPr>
                <w:p w14:paraId="1B001E49">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w:t>
                  </w:r>
                </w:p>
              </w:tc>
              <w:tc>
                <w:tcPr>
                  <w:tcW w:w="537" w:type="dxa"/>
                  <w:tcBorders>
                    <w:tl2br w:val="nil"/>
                    <w:tr2bl w:val="nil"/>
                  </w:tcBorders>
                  <w:tcMar>
                    <w:top w:w="15" w:type="dxa"/>
                    <w:left w:w="15" w:type="dxa"/>
                    <w:right w:w="15" w:type="dxa"/>
                  </w:tcMar>
                  <w:vAlign w:val="center"/>
                </w:tcPr>
                <w:p w14:paraId="1BF51BC8">
                  <w:pPr>
                    <w:pStyle w:val="84"/>
                    <w:rPr>
                      <w:color w:val="000000" w:themeColor="text1"/>
                      <w:kern w:val="0"/>
                      <w14:textFill>
                        <w14:solidFill>
                          <w14:schemeClr w14:val="tx1"/>
                        </w14:solidFill>
                      </w14:textFill>
                    </w:rPr>
                  </w:pPr>
                  <w:r>
                    <w:rPr>
                      <w:color w:val="000000" w:themeColor="text1"/>
                      <w:kern w:val="0"/>
                      <w14:textFill>
                        <w14:solidFill>
                          <w14:schemeClr w14:val="tx1"/>
                        </w14:solidFill>
                      </w14:textFill>
                    </w:rPr>
                    <w:t>符合性</w:t>
                  </w:r>
                </w:p>
              </w:tc>
            </w:tr>
            <w:tr w14:paraId="66D7C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restart"/>
                  <w:tcBorders>
                    <w:tl2br w:val="nil"/>
                    <w:tr2bl w:val="nil"/>
                  </w:tcBorders>
                  <w:tcMar>
                    <w:top w:w="15" w:type="dxa"/>
                    <w:left w:w="15" w:type="dxa"/>
                    <w:right w:w="15" w:type="dxa"/>
                  </w:tcMar>
                  <w:vAlign w:val="center"/>
                </w:tcPr>
                <w:p w14:paraId="0FD7E039">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1</w:t>
                  </w:r>
                </w:p>
              </w:tc>
              <w:tc>
                <w:tcPr>
                  <w:tcW w:w="6734" w:type="dxa"/>
                  <w:gridSpan w:val="2"/>
                  <w:tcBorders>
                    <w:tl2br w:val="nil"/>
                    <w:tr2bl w:val="nil"/>
                  </w:tcBorders>
                  <w:tcMar>
                    <w:top w:w="15" w:type="dxa"/>
                    <w:left w:w="15" w:type="dxa"/>
                    <w:right w:w="15" w:type="dxa"/>
                  </w:tcMar>
                  <w:vAlign w:val="center"/>
                </w:tcPr>
                <w:p w14:paraId="50C4362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第二章</w:t>
                  </w:r>
                  <w:r>
                    <w:rPr>
                      <w:b w:val="0"/>
                      <w:bCs/>
                      <w:color w:val="000000" w:themeColor="text1"/>
                      <w:kern w:val="0"/>
                      <w14:textFill>
                        <w14:solidFill>
                          <w14:schemeClr w14:val="tx1"/>
                        </w14:solidFill>
                      </w14:textFill>
                    </w:rPr>
                    <w:t>、</w:t>
                  </w:r>
                  <w:r>
                    <w:rPr>
                      <w:rFonts w:hint="eastAsia"/>
                      <w:b w:val="0"/>
                      <w:bCs/>
                      <w:color w:val="000000" w:themeColor="text1"/>
                      <w:kern w:val="0"/>
                      <w14:textFill>
                        <w14:solidFill>
                          <w14:schemeClr w14:val="tx1"/>
                        </w14:solidFill>
                      </w14:textFill>
                    </w:rPr>
                    <w:t>大气污染防治的监督管理</w:t>
                  </w:r>
                </w:p>
              </w:tc>
              <w:tc>
                <w:tcPr>
                  <w:tcW w:w="537" w:type="dxa"/>
                  <w:tcBorders>
                    <w:tl2br w:val="nil"/>
                    <w:tr2bl w:val="nil"/>
                  </w:tcBorders>
                  <w:tcMar>
                    <w:top w:w="15" w:type="dxa"/>
                    <w:left w:w="15" w:type="dxa"/>
                    <w:right w:w="15" w:type="dxa"/>
                  </w:tcMar>
                  <w:vAlign w:val="center"/>
                </w:tcPr>
                <w:p w14:paraId="6DC75367">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w:t>
                  </w:r>
                </w:p>
              </w:tc>
            </w:tr>
            <w:tr w14:paraId="67EF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6611FEDB">
                  <w:pPr>
                    <w:pStyle w:val="84"/>
                    <w:rPr>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068B618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第十一条：按照国家有关规定依法实行排污许可管理的单位，应当依法取得排污许可证，并按照排污许可证的规定排放大气污染物，禁止无排污许可证或者不按照排污许可证的规定排放大气污染物</w:t>
                  </w:r>
                </w:p>
              </w:tc>
              <w:tc>
                <w:tcPr>
                  <w:tcW w:w="2488" w:type="dxa"/>
                  <w:tcBorders>
                    <w:tl2br w:val="nil"/>
                    <w:tr2bl w:val="nil"/>
                  </w:tcBorders>
                  <w:tcMar>
                    <w:top w:w="15" w:type="dxa"/>
                    <w:left w:w="15" w:type="dxa"/>
                    <w:right w:w="15" w:type="dxa"/>
                  </w:tcMar>
                  <w:vAlign w:val="center"/>
                </w:tcPr>
                <w:p w14:paraId="49BF77B3">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项目按要求申请排污许可证，项目按照排污许可要求排放大气污染物。</w:t>
                  </w:r>
                </w:p>
              </w:tc>
              <w:tc>
                <w:tcPr>
                  <w:tcW w:w="537" w:type="dxa"/>
                  <w:tcBorders>
                    <w:tl2br w:val="nil"/>
                    <w:tr2bl w:val="nil"/>
                  </w:tcBorders>
                  <w:tcMar>
                    <w:top w:w="15" w:type="dxa"/>
                    <w:left w:w="15" w:type="dxa"/>
                    <w:right w:w="15" w:type="dxa"/>
                  </w:tcMar>
                  <w:vAlign w:val="center"/>
                </w:tcPr>
                <w:p w14:paraId="543008A4">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3D6B0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0A6B0165">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3659DB3F">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二条：本市实行重点大气污染物排放总量控制制度，逐步削减重点大气污染物排放总量。市人民政府应当将省人民政府确定的重点大气污染物排放总量控制任务分解到各县（市、区）人民政府、开发（度假）园区管委会，并督促落实。禁止排放超过排放标准或者超过重点大气污染物排放总量控制指标的大气污染物</w:t>
                  </w:r>
                  <w:r>
                    <w:rPr>
                      <w:b w:val="0"/>
                      <w:bCs/>
                      <w:color w:val="000000" w:themeColor="text1"/>
                      <w:kern w:val="0"/>
                      <w14:textFill>
                        <w14:solidFill>
                          <w14:schemeClr w14:val="tx1"/>
                        </w14:solidFill>
                      </w14:textFill>
                    </w:rPr>
                    <w:t>。</w:t>
                  </w:r>
                </w:p>
              </w:tc>
              <w:tc>
                <w:tcPr>
                  <w:tcW w:w="2488" w:type="dxa"/>
                  <w:tcBorders>
                    <w:tl2br w:val="nil"/>
                    <w:tr2bl w:val="nil"/>
                  </w:tcBorders>
                  <w:tcMar>
                    <w:top w:w="15" w:type="dxa"/>
                    <w:left w:w="15" w:type="dxa"/>
                    <w:right w:w="15" w:type="dxa"/>
                  </w:tcMar>
                  <w:vAlign w:val="center"/>
                </w:tcPr>
                <w:p w14:paraId="0859FA62">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项目设置有大气污染物排放总量控制标准，并且严格执行</w:t>
                  </w:r>
                  <w:r>
                    <w:rPr>
                      <w:rFonts w:hint="eastAsia"/>
                      <w:b w:val="0"/>
                      <w:bCs/>
                      <w:color w:val="000000" w:themeColor="text1"/>
                      <w:kern w:val="0"/>
                      <w14:textFill>
                        <w14:solidFill>
                          <w14:schemeClr w14:val="tx1"/>
                        </w14:solidFill>
                      </w14:textFill>
                    </w:rPr>
                    <w:t>，项目不涉及超过重点大气污染物排放总量控制指标的大气污染物</w:t>
                  </w:r>
                  <w:r>
                    <w:rPr>
                      <w:b w:val="0"/>
                      <w:bCs/>
                      <w:color w:val="000000" w:themeColor="text1"/>
                      <w:kern w:val="0"/>
                      <w14:textFill>
                        <w14:solidFill>
                          <w14:schemeClr w14:val="tx1"/>
                        </w14:solidFill>
                      </w14:textFill>
                    </w:rPr>
                    <w:t>。</w:t>
                  </w:r>
                </w:p>
              </w:tc>
              <w:tc>
                <w:tcPr>
                  <w:tcW w:w="537" w:type="dxa"/>
                  <w:tcBorders>
                    <w:tl2br w:val="nil"/>
                    <w:tr2bl w:val="nil"/>
                  </w:tcBorders>
                  <w:tcMar>
                    <w:top w:w="15" w:type="dxa"/>
                    <w:left w:w="15" w:type="dxa"/>
                    <w:right w:w="15" w:type="dxa"/>
                  </w:tcMar>
                  <w:vAlign w:val="center"/>
                </w:tcPr>
                <w:p w14:paraId="5CD4AADC">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符合</w:t>
                  </w:r>
                </w:p>
              </w:tc>
            </w:tr>
            <w:tr w14:paraId="180A8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580B8148">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75D96D25">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第十五条：排放大气污染物的企业事业单位和其他生产经营者应当加强精细化管理，严格按照有关规定，配套建设、使用和维护大气污染防治装备。</w:t>
                  </w:r>
                </w:p>
              </w:tc>
              <w:tc>
                <w:tcPr>
                  <w:tcW w:w="2488" w:type="dxa"/>
                  <w:tcBorders>
                    <w:tl2br w:val="nil"/>
                    <w:tr2bl w:val="nil"/>
                  </w:tcBorders>
                  <w:tcMar>
                    <w:top w:w="15" w:type="dxa"/>
                    <w:left w:w="15" w:type="dxa"/>
                    <w:right w:w="15" w:type="dxa"/>
                  </w:tcMar>
                  <w:vAlign w:val="center"/>
                </w:tcPr>
                <w:p w14:paraId="68ADF139">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项目设置完善的废气处理措施，能够保证废气稳定达标排放。</w:t>
                  </w:r>
                </w:p>
              </w:tc>
              <w:tc>
                <w:tcPr>
                  <w:tcW w:w="537" w:type="dxa"/>
                  <w:tcBorders>
                    <w:tl2br w:val="nil"/>
                    <w:tr2bl w:val="nil"/>
                  </w:tcBorders>
                  <w:tcMar>
                    <w:top w:w="15" w:type="dxa"/>
                    <w:left w:w="15" w:type="dxa"/>
                    <w:right w:w="15" w:type="dxa"/>
                  </w:tcMar>
                  <w:vAlign w:val="center"/>
                </w:tcPr>
                <w:p w14:paraId="63E691D4">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符合</w:t>
                  </w:r>
                </w:p>
              </w:tc>
            </w:tr>
            <w:tr w14:paraId="5E776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46A1B069">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2875148A">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第十六条 向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488" w:type="dxa"/>
                  <w:tcBorders>
                    <w:tl2br w:val="nil"/>
                    <w:tr2bl w:val="nil"/>
                  </w:tcBorders>
                  <w:tcMar>
                    <w:top w:w="15" w:type="dxa"/>
                    <w:left w:w="15" w:type="dxa"/>
                    <w:right w:w="15" w:type="dxa"/>
                  </w:tcMar>
                  <w:vAlign w:val="center"/>
                </w:tcPr>
                <w:p w14:paraId="5CF477D0">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项目按照大气综排规定设置大气污染物排放口，废气均经过合理的废气处置装置处理后达标外排。</w:t>
                  </w:r>
                </w:p>
              </w:tc>
              <w:tc>
                <w:tcPr>
                  <w:tcW w:w="537" w:type="dxa"/>
                  <w:tcBorders>
                    <w:tl2br w:val="nil"/>
                    <w:tr2bl w:val="nil"/>
                  </w:tcBorders>
                  <w:tcMar>
                    <w:top w:w="15" w:type="dxa"/>
                    <w:left w:w="15" w:type="dxa"/>
                    <w:right w:w="15" w:type="dxa"/>
                  </w:tcMar>
                  <w:vAlign w:val="center"/>
                </w:tcPr>
                <w:p w14:paraId="3EF80954">
                  <w:pPr>
                    <w:pStyle w:val="84"/>
                    <w:rPr>
                      <w:b w:val="0"/>
                      <w:bCs/>
                      <w:color w:val="000000" w:themeColor="text1"/>
                      <w:kern w:val="0"/>
                      <w14:textFill>
                        <w14:solidFill>
                          <w14:schemeClr w14:val="tx1"/>
                        </w14:solidFill>
                      </w14:textFill>
                    </w:rPr>
                  </w:pPr>
                </w:p>
              </w:tc>
            </w:tr>
            <w:tr w14:paraId="4D32E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restart"/>
                  <w:tcBorders>
                    <w:tl2br w:val="nil"/>
                    <w:tr2bl w:val="nil"/>
                  </w:tcBorders>
                  <w:tcMar>
                    <w:top w:w="15" w:type="dxa"/>
                    <w:left w:w="15" w:type="dxa"/>
                    <w:right w:w="15" w:type="dxa"/>
                  </w:tcMar>
                  <w:vAlign w:val="center"/>
                </w:tcPr>
                <w:p w14:paraId="73D868FA">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2</w:t>
                  </w:r>
                </w:p>
              </w:tc>
              <w:tc>
                <w:tcPr>
                  <w:tcW w:w="6734" w:type="dxa"/>
                  <w:gridSpan w:val="2"/>
                  <w:tcBorders>
                    <w:tl2br w:val="nil"/>
                    <w:tr2bl w:val="nil"/>
                  </w:tcBorders>
                  <w:tcMar>
                    <w:top w:w="15" w:type="dxa"/>
                    <w:left w:w="15" w:type="dxa"/>
                    <w:right w:w="15" w:type="dxa"/>
                  </w:tcMar>
                  <w:vAlign w:val="center"/>
                </w:tcPr>
                <w:p w14:paraId="3C9EB6FE">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第三章、大气污染防治措施</w:t>
                  </w:r>
                </w:p>
              </w:tc>
              <w:tc>
                <w:tcPr>
                  <w:tcW w:w="537" w:type="dxa"/>
                  <w:tcBorders>
                    <w:tl2br w:val="nil"/>
                    <w:tr2bl w:val="nil"/>
                  </w:tcBorders>
                  <w:tcMar>
                    <w:top w:w="15" w:type="dxa"/>
                    <w:left w:w="15" w:type="dxa"/>
                    <w:right w:w="15" w:type="dxa"/>
                  </w:tcMar>
                  <w:vAlign w:val="center"/>
                </w:tcPr>
                <w:p w14:paraId="31C2B08C">
                  <w:pPr>
                    <w:pStyle w:val="84"/>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w:t>
                  </w:r>
                </w:p>
              </w:tc>
            </w:tr>
            <w:tr w14:paraId="519B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3114B617">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733C1EBB">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第二十四条：市、县（市、区）人民政府、开发（度假）园区管委会应当采取有效措施优化能源结构，推广利用清洁能源。推进生产和生活领域以气代煤、以电代煤、以电代柴。加快天然气基础设施建设，增加天然气使用量，控制大气污染物的排放。对具备条件且有供热需求的现有各类工业园区与工业集中区实施热电联产或者集中供热改造；对具备条件的新建各类工业园区，应当将集中供热纳入建设项目。市、县（市、区）人民政府、开发（度假）园区管委会加强民用散煤管理，增加优质煤炭和洁净型煤供应，推广节能环保型炉具。</w:t>
                  </w:r>
                </w:p>
              </w:tc>
              <w:tc>
                <w:tcPr>
                  <w:tcW w:w="2488" w:type="dxa"/>
                  <w:tcBorders>
                    <w:tl2br w:val="nil"/>
                    <w:tr2bl w:val="nil"/>
                  </w:tcBorders>
                  <w:tcMar>
                    <w:top w:w="15" w:type="dxa"/>
                    <w:left w:w="15" w:type="dxa"/>
                    <w:right w:w="15" w:type="dxa"/>
                  </w:tcMar>
                  <w:vAlign w:val="center"/>
                </w:tcPr>
                <w:p w14:paraId="7525526A">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本项目所用能源为电能，属于清洁能源。</w:t>
                  </w:r>
                </w:p>
              </w:tc>
              <w:tc>
                <w:tcPr>
                  <w:tcW w:w="537" w:type="dxa"/>
                  <w:tcBorders>
                    <w:tl2br w:val="nil"/>
                    <w:tr2bl w:val="nil"/>
                  </w:tcBorders>
                  <w:tcMar>
                    <w:top w:w="15" w:type="dxa"/>
                    <w:left w:w="15" w:type="dxa"/>
                    <w:right w:w="15" w:type="dxa"/>
                  </w:tcMar>
                  <w:vAlign w:val="center"/>
                </w:tcPr>
                <w:p w14:paraId="7CB6F8D6">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2B979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74F8B54D">
                  <w:pPr>
                    <w:pStyle w:val="84"/>
                    <w:rPr>
                      <w:b w:val="0"/>
                      <w:bCs/>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03ED0CDE">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第二十五条</w:t>
                  </w:r>
                  <w:r>
                    <w:rPr>
                      <w:rFonts w:hint="eastAsia"/>
                      <w:b w:val="0"/>
                      <w:bCs/>
                      <w:color w:val="000000" w:themeColor="text1"/>
                      <w:kern w:val="0"/>
                      <w14:textFill>
                        <w14:solidFill>
                          <w14:schemeClr w14:val="tx1"/>
                        </w14:solidFill>
                      </w14:textFill>
                    </w:rPr>
                    <w:t>：</w:t>
                  </w:r>
                  <w:r>
                    <w:rPr>
                      <w:b w:val="0"/>
                      <w:bCs/>
                      <w:color w:val="000000" w:themeColor="text1"/>
                      <w:kern w:val="0"/>
                      <w14:textFill>
                        <w14:solidFill>
                          <w14:schemeClr w14:val="tx1"/>
                        </w14:solidFill>
                      </w14:textFill>
                    </w:rPr>
                    <w:t>城市人民政府应当按照有关规定划定并公布高污染燃料禁燃区，并根据大气环境质量改善要求，逐步扩大高污染燃料禁燃区范围。在禁燃区内，禁止销售、燃用高污染燃料；禁止新建、扩建燃用高污染燃料的设施，已建成的，应当在规定的期限内改用天然气、液化石油气、电或者其他清洁能源。</w:t>
                  </w:r>
                </w:p>
              </w:tc>
              <w:tc>
                <w:tcPr>
                  <w:tcW w:w="2488" w:type="dxa"/>
                  <w:tcBorders>
                    <w:tl2br w:val="nil"/>
                    <w:tr2bl w:val="nil"/>
                  </w:tcBorders>
                  <w:tcMar>
                    <w:top w:w="15" w:type="dxa"/>
                    <w:left w:w="15" w:type="dxa"/>
                    <w:right w:w="15" w:type="dxa"/>
                  </w:tcMar>
                  <w:vAlign w:val="center"/>
                </w:tcPr>
                <w:p w14:paraId="668F5038">
                  <w:pPr>
                    <w:pStyle w:val="84"/>
                    <w:ind w:firstLine="420" w:firstLineChars="200"/>
                    <w:jc w:val="both"/>
                    <w:rPr>
                      <w:b w:val="0"/>
                      <w:bCs/>
                      <w:color w:val="000000" w:themeColor="text1"/>
                      <w:kern w:val="0"/>
                      <w14:textFill>
                        <w14:solidFill>
                          <w14:schemeClr w14:val="tx1"/>
                        </w14:solidFill>
                      </w14:textFill>
                    </w:rPr>
                  </w:pPr>
                  <w:r>
                    <w:rPr>
                      <w:rFonts w:hint="eastAsia"/>
                      <w:b w:val="0"/>
                      <w:bCs/>
                      <w:color w:val="000000" w:themeColor="text1"/>
                      <w:kern w:val="0"/>
                      <w14:textFill>
                        <w14:solidFill>
                          <w14:schemeClr w14:val="tx1"/>
                        </w14:solidFill>
                      </w14:textFill>
                    </w:rPr>
                    <w:t>本项目所用能源为电能，属于清洁能源。</w:t>
                  </w:r>
                </w:p>
              </w:tc>
              <w:tc>
                <w:tcPr>
                  <w:tcW w:w="537" w:type="dxa"/>
                  <w:tcBorders>
                    <w:tl2br w:val="nil"/>
                    <w:tr2bl w:val="nil"/>
                  </w:tcBorders>
                  <w:tcMar>
                    <w:top w:w="15" w:type="dxa"/>
                    <w:left w:w="15" w:type="dxa"/>
                    <w:right w:w="15" w:type="dxa"/>
                  </w:tcMar>
                  <w:vAlign w:val="center"/>
                </w:tcPr>
                <w:p w14:paraId="6D99F493">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r w14:paraId="1B27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dxa"/>
                  <w:vMerge w:val="continue"/>
                  <w:tcBorders>
                    <w:tl2br w:val="nil"/>
                    <w:tr2bl w:val="nil"/>
                  </w:tcBorders>
                  <w:tcMar>
                    <w:top w:w="15" w:type="dxa"/>
                    <w:left w:w="15" w:type="dxa"/>
                    <w:right w:w="15" w:type="dxa"/>
                  </w:tcMar>
                  <w:vAlign w:val="center"/>
                </w:tcPr>
                <w:p w14:paraId="1B740787">
                  <w:pPr>
                    <w:pStyle w:val="84"/>
                    <w:rPr>
                      <w:color w:val="000000" w:themeColor="text1"/>
                      <w:kern w:val="0"/>
                      <w14:textFill>
                        <w14:solidFill>
                          <w14:schemeClr w14:val="tx1"/>
                        </w14:solidFill>
                      </w14:textFill>
                    </w:rPr>
                  </w:pPr>
                </w:p>
              </w:tc>
              <w:tc>
                <w:tcPr>
                  <w:tcW w:w="4246" w:type="dxa"/>
                  <w:tcBorders>
                    <w:tl2br w:val="nil"/>
                    <w:tr2bl w:val="nil"/>
                  </w:tcBorders>
                  <w:tcMar>
                    <w:top w:w="15" w:type="dxa"/>
                    <w:left w:w="15" w:type="dxa"/>
                    <w:right w:w="15" w:type="dxa"/>
                  </w:tcMar>
                  <w:vAlign w:val="center"/>
                </w:tcPr>
                <w:p w14:paraId="1E77748A">
                  <w:pPr>
                    <w:ind w:firstLine="420" w:firstLineChars="200"/>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第三十四条：建设单位应当将防治扬尘污染的费用纳入工程造价，并在施工承包合同中明确施工单位扬尘污染防治责任。</w:t>
                  </w:r>
                </w:p>
              </w:tc>
              <w:tc>
                <w:tcPr>
                  <w:tcW w:w="2488" w:type="dxa"/>
                  <w:tcBorders>
                    <w:tl2br w:val="nil"/>
                    <w:tr2bl w:val="nil"/>
                  </w:tcBorders>
                  <w:tcMar>
                    <w:top w:w="15" w:type="dxa"/>
                    <w:left w:w="15" w:type="dxa"/>
                    <w:right w:w="15" w:type="dxa"/>
                  </w:tcMar>
                  <w:vAlign w:val="center"/>
                </w:tcPr>
                <w:p w14:paraId="57E13346">
                  <w:pPr>
                    <w:pStyle w:val="84"/>
                    <w:ind w:firstLine="42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建设单位已将防治扬尘污染的费用列入工程造价，并且制定出具体的施工扬尘污染防治措施。</w:t>
                  </w:r>
                </w:p>
              </w:tc>
              <w:tc>
                <w:tcPr>
                  <w:tcW w:w="537" w:type="dxa"/>
                  <w:tcBorders>
                    <w:tl2br w:val="nil"/>
                    <w:tr2bl w:val="nil"/>
                  </w:tcBorders>
                  <w:tcMar>
                    <w:top w:w="15" w:type="dxa"/>
                    <w:left w:w="15" w:type="dxa"/>
                    <w:right w:w="15" w:type="dxa"/>
                  </w:tcMar>
                  <w:vAlign w:val="center"/>
                </w:tcPr>
                <w:p w14:paraId="621976DB">
                  <w:pPr>
                    <w:pStyle w:val="84"/>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符合</w:t>
                  </w:r>
                </w:p>
              </w:tc>
            </w:tr>
          </w:tbl>
          <w:p w14:paraId="2DBF502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w:t>
            </w:r>
            <w:r>
              <w:rPr>
                <w:color w:val="000000" w:themeColor="text1"/>
                <w:kern w:val="0"/>
                <w:sz w:val="24"/>
                <w14:textFill>
                  <w14:solidFill>
                    <w14:schemeClr w14:val="tx1"/>
                  </w14:solidFill>
                </w14:textFill>
              </w:rPr>
              <w:t>项目建设符合《昆明市大气污染防治条例》</w:t>
            </w:r>
            <w:r>
              <w:rPr>
                <w:rFonts w:hint="eastAsia"/>
                <w:color w:val="000000" w:themeColor="text1"/>
                <w:kern w:val="0"/>
                <w:sz w:val="24"/>
                <w14:textFill>
                  <w14:solidFill>
                    <w14:schemeClr w14:val="tx1"/>
                  </w14:solidFill>
                </w14:textFill>
              </w:rPr>
              <w:t>。</w:t>
            </w:r>
          </w:p>
          <w:p w14:paraId="01B9EC56">
            <w:pPr>
              <w:widowControl/>
              <w:tabs>
                <w:tab w:val="left" w:pos="0"/>
              </w:tabs>
              <w:snapToGrid w:val="0"/>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与《</w:t>
            </w:r>
            <w:r>
              <w:rPr>
                <w:rFonts w:hint="eastAsia"/>
                <w:b/>
                <w:bCs/>
                <w:color w:val="000000" w:themeColor="text1"/>
                <w:kern w:val="0"/>
                <w:sz w:val="24"/>
                <w14:textFill>
                  <w14:solidFill>
                    <w14:schemeClr w14:val="tx1"/>
                  </w14:solidFill>
                </w14:textFill>
              </w:rPr>
              <w:t>云南省</w:t>
            </w:r>
            <w:r>
              <w:rPr>
                <w:b/>
                <w:bCs/>
                <w:color w:val="000000" w:themeColor="text1"/>
                <w:kern w:val="0"/>
                <w:sz w:val="24"/>
                <w14:textFill>
                  <w14:solidFill>
                    <w14:schemeClr w14:val="tx1"/>
                  </w14:solidFill>
                </w14:textFill>
              </w:rPr>
              <w:t>长江经济带发展负面清单指南</w:t>
            </w:r>
            <w:r>
              <w:rPr>
                <w:rFonts w:hint="eastAsia"/>
                <w:b/>
                <w:bCs/>
                <w:color w:val="000000" w:themeColor="text1"/>
                <w:kern w:val="0"/>
                <w:sz w:val="24"/>
                <w14:textFill>
                  <w14:solidFill>
                    <w14:schemeClr w14:val="tx1"/>
                  </w14:solidFill>
                </w14:textFill>
              </w:rPr>
              <w:t>实施细则</w:t>
            </w:r>
            <w:r>
              <w:rPr>
                <w:b/>
                <w:bCs/>
                <w:color w:val="000000" w:themeColor="text1"/>
                <w:kern w:val="0"/>
                <w:sz w:val="24"/>
                <w14:textFill>
                  <w14:solidFill>
                    <w14:schemeClr w14:val="tx1"/>
                  </w14:solidFill>
                </w14:textFill>
              </w:rPr>
              <w:t>（试行</w:t>
            </w:r>
            <w:r>
              <w:rPr>
                <w:rFonts w:hint="eastAsia"/>
                <w:b/>
                <w:bCs/>
                <w:color w:val="000000" w:themeColor="text1"/>
                <w:kern w:val="0"/>
                <w:sz w:val="24"/>
                <w14:textFill>
                  <w14:solidFill>
                    <w14:schemeClr w14:val="tx1"/>
                  </w14:solidFill>
                </w14:textFill>
              </w:rPr>
              <w:t>，2022年版</w:t>
            </w:r>
            <w:r>
              <w:rPr>
                <w:b/>
                <w:bCs/>
                <w:color w:val="000000" w:themeColor="text1"/>
                <w:kern w:val="0"/>
                <w:sz w:val="24"/>
                <w14:textFill>
                  <w14:solidFill>
                    <w14:schemeClr w14:val="tx1"/>
                  </w14:solidFill>
                </w14:textFill>
              </w:rPr>
              <w:t>）》相符性分析</w:t>
            </w:r>
          </w:p>
          <w:p w14:paraId="51B95091">
            <w:pPr>
              <w:spacing w:line="360" w:lineRule="auto"/>
              <w:ind w:firstLine="480" w:firstLineChars="200"/>
              <w:rPr>
                <w:color w:val="000000" w:themeColor="text1"/>
                <w:kern w:val="0"/>
                <w:sz w:val="24"/>
                <w:szCs w:val="32"/>
                <w14:textFill>
                  <w14:solidFill>
                    <w14:schemeClr w14:val="tx1"/>
                  </w14:solidFill>
                </w14:textFill>
              </w:rPr>
            </w:pPr>
            <w:r>
              <w:rPr>
                <w:color w:val="000000" w:themeColor="text1"/>
                <w:kern w:val="0"/>
                <w:sz w:val="24"/>
                <w:szCs w:val="32"/>
                <w14:textFill>
                  <w14:solidFill>
                    <w14:schemeClr w14:val="tx1"/>
                  </w14:solidFill>
                </w14:textFill>
              </w:rPr>
              <w:t>根据20</w:t>
            </w:r>
            <w:r>
              <w:rPr>
                <w:rFonts w:hint="eastAsia"/>
                <w:color w:val="000000" w:themeColor="text1"/>
                <w:kern w:val="0"/>
                <w:sz w:val="24"/>
                <w:szCs w:val="32"/>
                <w14:textFill>
                  <w14:solidFill>
                    <w14:schemeClr w14:val="tx1"/>
                  </w14:solidFill>
                </w14:textFill>
              </w:rPr>
              <w:t>22</w:t>
            </w:r>
            <w:r>
              <w:rPr>
                <w:color w:val="000000" w:themeColor="text1"/>
                <w:kern w:val="0"/>
                <w:sz w:val="24"/>
                <w:szCs w:val="32"/>
                <w14:textFill>
                  <w14:solidFill>
                    <w14:schemeClr w14:val="tx1"/>
                  </w14:solidFill>
                </w14:textFill>
              </w:rPr>
              <w:t>年</w:t>
            </w:r>
            <w:r>
              <w:rPr>
                <w:rFonts w:hint="eastAsia"/>
                <w:color w:val="000000" w:themeColor="text1"/>
                <w:kern w:val="0"/>
                <w:sz w:val="24"/>
                <w:szCs w:val="32"/>
                <w14:textFill>
                  <w14:solidFill>
                    <w14:schemeClr w14:val="tx1"/>
                  </w14:solidFill>
                </w14:textFill>
              </w:rPr>
              <w:t>1</w:t>
            </w:r>
            <w:r>
              <w:rPr>
                <w:color w:val="000000" w:themeColor="text1"/>
                <w:kern w:val="0"/>
                <w:sz w:val="24"/>
                <w:szCs w:val="32"/>
                <w14:textFill>
                  <w14:solidFill>
                    <w14:schemeClr w14:val="tx1"/>
                  </w14:solidFill>
                </w14:textFill>
              </w:rPr>
              <w:t>月</w:t>
            </w:r>
            <w:r>
              <w:rPr>
                <w:rFonts w:hint="eastAsia"/>
                <w:color w:val="000000" w:themeColor="text1"/>
                <w:kern w:val="0"/>
                <w:sz w:val="24"/>
                <w:szCs w:val="32"/>
                <w14:textFill>
                  <w14:solidFill>
                    <w14:schemeClr w14:val="tx1"/>
                  </w14:solidFill>
                </w14:textFill>
              </w:rPr>
              <w:t>19</w:t>
            </w:r>
            <w:r>
              <w:rPr>
                <w:color w:val="000000" w:themeColor="text1"/>
                <w:kern w:val="0"/>
                <w:sz w:val="24"/>
                <w:szCs w:val="32"/>
                <w14:textFill>
                  <w14:solidFill>
                    <w14:schemeClr w14:val="tx1"/>
                  </w14:solidFill>
                </w14:textFill>
              </w:rPr>
              <w:t>日</w:t>
            </w:r>
            <w:r>
              <w:rPr>
                <w:rFonts w:hint="eastAsia"/>
                <w:color w:val="000000" w:themeColor="text1"/>
                <w:kern w:val="0"/>
                <w:sz w:val="24"/>
                <w:szCs w:val="32"/>
                <w14:textFill>
                  <w14:solidFill>
                    <w14:schemeClr w14:val="tx1"/>
                  </w14:solidFill>
                </w14:textFill>
              </w:rPr>
              <w:t>推动长江经济带发展领导小组办公室</w:t>
            </w:r>
            <w:r>
              <w:rPr>
                <w:color w:val="000000" w:themeColor="text1"/>
                <w:kern w:val="0"/>
                <w:sz w:val="24"/>
                <w:szCs w:val="32"/>
                <w14:textFill>
                  <w14:solidFill>
                    <w14:schemeClr w14:val="tx1"/>
                  </w14:solidFill>
                </w14:textFill>
              </w:rPr>
              <w:t>发布的</w:t>
            </w:r>
            <w:r>
              <w:rPr>
                <w:rFonts w:hint="eastAsia"/>
                <w:color w:val="000000" w:themeColor="text1"/>
                <w:kern w:val="0"/>
                <w:sz w:val="24"/>
                <w:szCs w:val="32"/>
                <w14:textFill>
                  <w14:solidFill>
                    <w14:schemeClr w14:val="tx1"/>
                  </w14:solidFill>
                </w14:textFill>
              </w:rPr>
              <w:t>关于印发</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长江经济带发展负面清单指南（试行，2022年版）</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的通知</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长江办</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2022</w:t>
            </w:r>
            <w:r>
              <w:rPr>
                <w:color w:val="000000" w:themeColor="text1"/>
                <w:kern w:val="0"/>
                <w:sz w:val="24"/>
                <w:szCs w:val="32"/>
                <w14:textFill>
                  <w14:solidFill>
                    <w14:schemeClr w14:val="tx1"/>
                  </w14:solidFill>
                </w14:textFill>
              </w:rPr>
              <w:t>〕</w:t>
            </w:r>
            <w:r>
              <w:rPr>
                <w:rFonts w:hint="eastAsia"/>
                <w:color w:val="000000" w:themeColor="text1"/>
                <w:kern w:val="0"/>
                <w:sz w:val="24"/>
                <w:szCs w:val="32"/>
                <w14:textFill>
                  <w14:solidFill>
                    <w14:schemeClr w14:val="tx1"/>
                  </w14:solidFill>
                </w14:textFill>
              </w:rPr>
              <w:t>7</w:t>
            </w:r>
            <w:r>
              <w:rPr>
                <w:color w:val="000000" w:themeColor="text1"/>
                <w:kern w:val="0"/>
                <w:sz w:val="24"/>
                <w:szCs w:val="32"/>
                <w14:textFill>
                  <w14:solidFill>
                    <w14:schemeClr w14:val="tx1"/>
                  </w14:solidFill>
                </w14:textFill>
              </w:rPr>
              <w:t>号）可知，</w:t>
            </w:r>
            <w:r>
              <w:rPr>
                <w:rFonts w:hint="eastAsia"/>
                <w:color w:val="000000" w:themeColor="text1"/>
                <w:kern w:val="0"/>
                <w:sz w:val="24"/>
                <w:szCs w:val="32"/>
                <w14:textFill>
                  <w14:solidFill>
                    <w14:schemeClr w14:val="tx1"/>
                  </w14:solidFill>
                </w14:textFill>
              </w:rPr>
              <w:t>本</w:t>
            </w:r>
            <w:r>
              <w:rPr>
                <w:color w:val="000000" w:themeColor="text1"/>
                <w:kern w:val="0"/>
                <w:sz w:val="24"/>
                <w:szCs w:val="32"/>
                <w14:textFill>
                  <w14:solidFill>
                    <w14:schemeClr w14:val="tx1"/>
                  </w14:solidFill>
                </w14:textFill>
              </w:rPr>
              <w:t>项目与《</w:t>
            </w:r>
            <w:r>
              <w:rPr>
                <w:rFonts w:hint="eastAsia"/>
                <w:color w:val="000000" w:themeColor="text1"/>
                <w:kern w:val="0"/>
                <w:sz w:val="24"/>
                <w:szCs w:val="32"/>
                <w14:textFill>
                  <w14:solidFill>
                    <w14:schemeClr w14:val="tx1"/>
                  </w14:solidFill>
                </w14:textFill>
              </w:rPr>
              <w:t>长江经济带发展负面清单指南（试行，2022年版）</w:t>
            </w:r>
            <w:r>
              <w:rPr>
                <w:color w:val="000000" w:themeColor="text1"/>
                <w:kern w:val="0"/>
                <w:sz w:val="24"/>
                <w:szCs w:val="32"/>
                <w14:textFill>
                  <w14:solidFill>
                    <w14:schemeClr w14:val="tx1"/>
                  </w14:solidFill>
                </w14:textFill>
              </w:rPr>
              <w:t>》的符合性分析</w:t>
            </w:r>
            <w:r>
              <w:rPr>
                <w:rFonts w:hint="eastAsia"/>
                <w:color w:val="000000" w:themeColor="text1"/>
                <w:kern w:val="0"/>
                <w:sz w:val="24"/>
                <w:szCs w:val="32"/>
                <w14:textFill>
                  <w14:solidFill>
                    <w14:schemeClr w14:val="tx1"/>
                  </w14:solidFill>
                </w14:textFill>
              </w:rPr>
              <w:t>见</w:t>
            </w:r>
            <w:r>
              <w:rPr>
                <w:color w:val="000000" w:themeColor="text1"/>
                <w:kern w:val="0"/>
                <w:sz w:val="24"/>
                <w:szCs w:val="32"/>
                <w14:textFill>
                  <w14:solidFill>
                    <w14:schemeClr w14:val="tx1"/>
                  </w14:solidFill>
                </w14:textFill>
              </w:rPr>
              <w:t>表1-</w:t>
            </w:r>
            <w:r>
              <w:rPr>
                <w:rFonts w:hint="eastAsia"/>
                <w:color w:val="000000" w:themeColor="text1"/>
                <w:kern w:val="0"/>
                <w:sz w:val="24"/>
                <w:szCs w:val="32"/>
                <w14:textFill>
                  <w14:solidFill>
                    <w14:schemeClr w14:val="tx1"/>
                  </w14:solidFill>
                </w14:textFill>
              </w:rPr>
              <w:t>3</w:t>
            </w:r>
            <w:r>
              <w:rPr>
                <w:color w:val="000000" w:themeColor="text1"/>
                <w:kern w:val="0"/>
                <w:sz w:val="24"/>
                <w:szCs w:val="32"/>
                <w14:textFill>
                  <w14:solidFill>
                    <w14:schemeClr w14:val="tx1"/>
                  </w14:solidFill>
                </w14:textFill>
              </w:rPr>
              <w:t>。</w:t>
            </w:r>
          </w:p>
          <w:p w14:paraId="3ED6735F">
            <w:pPr>
              <w:pStyle w:val="83"/>
              <w:rPr>
                <w:rFonts w:hint="eastAsia" w:ascii="黑体" w:hAnsi="黑体" w:eastAsia="黑体" w:cs="黑体"/>
                <w:b w:val="0"/>
                <w:bCs/>
                <w:color w:val="000000" w:themeColor="text1"/>
                <w:kern w:val="0"/>
                <w14:textFill>
                  <w14:solidFill>
                    <w14:schemeClr w14:val="tx1"/>
                  </w14:solidFill>
                </w14:textFill>
              </w:rPr>
            </w:pPr>
            <w:r>
              <w:rPr>
                <w:color w:val="000000" w:themeColor="text1"/>
                <w:kern w:val="0"/>
                <w14:textFill>
                  <w14:solidFill>
                    <w14:schemeClr w14:val="tx1"/>
                  </w14:solidFill>
                </w14:textFill>
              </w:rPr>
              <w:t>表1-3  与《长江经济带发展负面清单指南（试行，2022年版）》相符性分析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1"/>
              <w:gridCol w:w="2727"/>
              <w:gridCol w:w="432"/>
            </w:tblGrid>
            <w:tr w14:paraId="26E3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1F491341">
                  <w:pPr>
                    <w:widowControl/>
                    <w:jc w:val="center"/>
                    <w:rPr>
                      <w:b/>
                      <w:bCs/>
                      <w:color w:val="000000" w:themeColor="text1"/>
                      <w:kern w:val="0"/>
                      <w:szCs w:val="21"/>
                      <w14:textFill>
                        <w14:solidFill>
                          <w14:schemeClr w14:val="tx1"/>
                        </w14:solidFill>
                      </w14:textFill>
                    </w:rPr>
                  </w:pPr>
                  <w:r>
                    <w:rPr>
                      <w:rFonts w:hint="eastAsia"/>
                      <w:b/>
                      <w:color w:val="000000" w:themeColor="text1"/>
                      <w:szCs w:val="21"/>
                      <w14:textFill>
                        <w14:solidFill>
                          <w14:schemeClr w14:val="tx1"/>
                        </w14:solidFill>
                      </w14:textFill>
                    </w:rPr>
                    <w:t>相关要求</w:t>
                  </w:r>
                </w:p>
              </w:tc>
              <w:tc>
                <w:tcPr>
                  <w:tcW w:w="1754" w:type="pct"/>
                  <w:vAlign w:val="center"/>
                </w:tcPr>
                <w:p w14:paraId="0E275F1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项目</w:t>
                  </w:r>
                  <w:r>
                    <w:rPr>
                      <w:rFonts w:hint="eastAsia"/>
                      <w:b/>
                      <w:bCs/>
                      <w:color w:val="000000" w:themeColor="text1"/>
                      <w:kern w:val="0"/>
                      <w:szCs w:val="21"/>
                      <w14:textFill>
                        <w14:solidFill>
                          <w14:schemeClr w14:val="tx1"/>
                        </w14:solidFill>
                      </w14:textFill>
                    </w:rPr>
                    <w:t>情况</w:t>
                  </w:r>
                </w:p>
              </w:tc>
              <w:tc>
                <w:tcPr>
                  <w:tcW w:w="278" w:type="pct"/>
                  <w:vAlign w:val="center"/>
                </w:tcPr>
                <w:p w14:paraId="283FFA80">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符合性</w:t>
                  </w:r>
                </w:p>
              </w:tc>
            </w:tr>
            <w:tr w14:paraId="6360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18324C3F">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第一条  禁止新建、改建和扩建不符合《全国内河航道与港口布局规划》等全国港口规划和《昭通</w:t>
                  </w:r>
                  <w:bookmarkStart w:id="73" w:name="_GoBack"/>
                  <w:bookmarkEnd w:id="73"/>
                  <w:r>
                    <w:rPr>
                      <w:rFonts w:hint="eastAsia"/>
                      <w:color w:val="000000" w:themeColor="text1"/>
                      <w:szCs w:val="21"/>
                      <w:lang w:eastAsia="zh-CN"/>
                      <w14:textFill>
                        <w14:solidFill>
                          <w14:schemeClr w14:val="tx1"/>
                        </w14:solidFill>
                      </w14:textFill>
                    </w:rPr>
                    <w:t>市</w:t>
                  </w:r>
                  <w:r>
                    <w:rPr>
                      <w:color w:val="000000" w:themeColor="text1"/>
                      <w:szCs w:val="21"/>
                      <w14:textFill>
                        <w14:solidFill>
                          <w14:schemeClr w14:val="tx1"/>
                        </w14:solidFill>
                      </w14:textFill>
                    </w:rPr>
                    <w:t>港口码头岸线规划(金沙江段2019年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035年)》、《景洪港总体规划(2019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2035年)》等州(市)级以上港口布局规划以及港口总体规划的码头项目。</w:t>
                  </w:r>
                </w:p>
              </w:tc>
              <w:tc>
                <w:tcPr>
                  <w:tcW w:w="1754" w:type="pct"/>
                  <w:vAlign w:val="center"/>
                </w:tcPr>
                <w:p w14:paraId="2FE7F3D3">
                  <w:pP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本项目不涉及码头项目。</w:t>
                  </w:r>
                </w:p>
              </w:tc>
              <w:tc>
                <w:tcPr>
                  <w:tcW w:w="278" w:type="pct"/>
                  <w:vAlign w:val="center"/>
                </w:tcPr>
                <w:p w14:paraId="3E22B55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F47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288ACF5D">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第二条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54" w:type="pct"/>
                  <w:vAlign w:val="center"/>
                </w:tcPr>
                <w:p w14:paraId="298D4A2F">
                  <w:pP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本项目不涉及自然保护区。</w:t>
                  </w:r>
                </w:p>
              </w:tc>
              <w:tc>
                <w:tcPr>
                  <w:tcW w:w="278" w:type="pct"/>
                  <w:vAlign w:val="center"/>
                </w:tcPr>
                <w:p w14:paraId="36295C68">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D3F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8E4980C">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第三条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54" w:type="pct"/>
                  <w:vAlign w:val="center"/>
                </w:tcPr>
                <w:p w14:paraId="306E7D88">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项目不涉及风景名胜区等特殊敏感区。</w:t>
                  </w:r>
                </w:p>
              </w:tc>
              <w:tc>
                <w:tcPr>
                  <w:tcW w:w="278" w:type="pct"/>
                  <w:vAlign w:val="center"/>
                </w:tcPr>
                <w:p w14:paraId="45A68F7F">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182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4944F2A">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四条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54" w:type="pct"/>
                  <w:vAlign w:val="center"/>
                </w:tcPr>
                <w:p w14:paraId="037FA94F">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项目不涉及饮用水水源保护区。</w:t>
                  </w:r>
                </w:p>
              </w:tc>
              <w:tc>
                <w:tcPr>
                  <w:tcW w:w="278" w:type="pct"/>
                  <w:vAlign w:val="center"/>
                </w:tcPr>
                <w:p w14:paraId="332C1F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58D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756FADA">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54" w:type="pct"/>
                  <w:vAlign w:val="center"/>
                </w:tcPr>
                <w:p w14:paraId="2DD3640E">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w:t>
                  </w:r>
                  <w:r>
                    <w:rPr>
                      <w:color w:val="000000" w:themeColor="text1"/>
                      <w:szCs w:val="21"/>
                      <w14:textFill>
                        <w14:solidFill>
                          <w14:schemeClr w14:val="tx1"/>
                        </w14:solidFill>
                      </w14:textFill>
                    </w:rPr>
                    <w:t>不涉及水产种质资源保护区的岸线和河段范围；不涉及国家湿地公园的土地。</w:t>
                  </w:r>
                </w:p>
              </w:tc>
              <w:tc>
                <w:tcPr>
                  <w:tcW w:w="278" w:type="pct"/>
                  <w:vAlign w:val="center"/>
                </w:tcPr>
                <w:p w14:paraId="7AE88F14">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299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01D01F8">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第六条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54" w:type="pct"/>
                  <w:vAlign w:val="center"/>
                </w:tcPr>
                <w:p w14:paraId="4EC6D0D6">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lang w:val="zh-CN"/>
                      <w14:textFill>
                        <w14:solidFill>
                          <w14:schemeClr w14:val="tx1"/>
                        </w14:solidFill>
                      </w14:textFill>
                    </w:rPr>
                    <w:t>项目</w:t>
                  </w:r>
                  <w:r>
                    <w:rPr>
                      <w:color w:val="000000" w:themeColor="text1"/>
                      <w:szCs w:val="21"/>
                      <w14:textFill>
                        <w14:solidFill>
                          <w14:schemeClr w14:val="tx1"/>
                        </w14:solidFill>
                      </w14:textFill>
                    </w:rPr>
                    <w:t>不</w:t>
                  </w:r>
                  <w:r>
                    <w:rPr>
                      <w:color w:val="000000" w:themeColor="text1"/>
                      <w:szCs w:val="21"/>
                      <w:lang w:val="zh-CN"/>
                      <w14:textFill>
                        <w14:solidFill>
                          <w14:schemeClr w14:val="tx1"/>
                        </w14:solidFill>
                      </w14:textFill>
                    </w:rPr>
                    <w:t>利用、</w:t>
                  </w:r>
                  <w:r>
                    <w:rPr>
                      <w:color w:val="000000" w:themeColor="text1"/>
                      <w:szCs w:val="21"/>
                      <w14:textFill>
                        <w14:solidFill>
                          <w14:schemeClr w14:val="tx1"/>
                        </w14:solidFill>
                      </w14:textFill>
                    </w:rPr>
                    <w:t>不</w:t>
                  </w:r>
                  <w:r>
                    <w:rPr>
                      <w:color w:val="000000" w:themeColor="text1"/>
                      <w:szCs w:val="21"/>
                      <w:lang w:val="zh-CN"/>
                      <w14:textFill>
                        <w14:solidFill>
                          <w14:schemeClr w14:val="tx1"/>
                        </w14:solidFill>
                      </w14:textFill>
                    </w:rPr>
                    <w:t>占用长江流域河湖岸线；</w:t>
                  </w:r>
                  <w:r>
                    <w:rPr>
                      <w:color w:val="000000" w:themeColor="text1"/>
                      <w:szCs w:val="21"/>
                      <w14:textFill>
                        <w14:solidFill>
                          <w14:schemeClr w14:val="tx1"/>
                        </w14:solidFill>
                      </w14:textFill>
                    </w:rPr>
                    <w:t>不涉及</w:t>
                  </w:r>
                  <w:r>
                    <w:rPr>
                      <w:color w:val="000000" w:themeColor="text1"/>
                      <w:szCs w:val="21"/>
                      <w:lang w:val="zh-CN"/>
                      <w14:textFill>
                        <w14:solidFill>
                          <w14:schemeClr w14:val="tx1"/>
                        </w14:solidFill>
                      </w14:textFill>
                    </w:rPr>
                    <w:t>金沙江岸线保护区和保留区、九大高原湖泊保护区。</w:t>
                  </w:r>
                </w:p>
              </w:tc>
              <w:tc>
                <w:tcPr>
                  <w:tcW w:w="278" w:type="pct"/>
                  <w:vAlign w:val="center"/>
                </w:tcPr>
                <w:p w14:paraId="5FF0E46A">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C92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52091C07">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第七条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54" w:type="pct"/>
                  <w:vAlign w:val="center"/>
                </w:tcPr>
                <w:p w14:paraId="13B5AE58">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w:t>
                  </w:r>
                  <w:r>
                    <w:rPr>
                      <w:color w:val="000000" w:themeColor="text1"/>
                      <w:szCs w:val="21"/>
                      <w:lang w:val="zh-CN"/>
                      <w14:textFill>
                        <w14:solidFill>
                          <w14:schemeClr w14:val="tx1"/>
                        </w14:solidFill>
                      </w14:textFill>
                    </w:rPr>
                    <w:t>过江基础设施项目；</w:t>
                  </w:r>
                  <w:r>
                    <w:rPr>
                      <w:rFonts w:hint="eastAsia"/>
                      <w:color w:val="000000" w:themeColor="text1"/>
                      <w:szCs w:val="21"/>
                      <w14:textFill>
                        <w14:solidFill>
                          <w14:schemeClr w14:val="tx1"/>
                        </w14:solidFill>
                      </w14:textFill>
                    </w:rPr>
                    <w:t>且生活污水经现有化粪池处理，生产废水经现有生产废水处理系统处理后，排入寻甸县污水处理厂。项目不涉及</w:t>
                  </w:r>
                  <w:r>
                    <w:rPr>
                      <w:color w:val="000000" w:themeColor="text1"/>
                      <w:szCs w:val="21"/>
                      <w:lang w:val="zh-CN"/>
                      <w14:textFill>
                        <w14:solidFill>
                          <w14:schemeClr w14:val="tx1"/>
                        </w14:solidFill>
                      </w14:textFill>
                    </w:rPr>
                    <w:t>在金沙江干流、长江一级支流、九大高原湖泊流域新设、改设或扩大排污口。</w:t>
                  </w:r>
                </w:p>
              </w:tc>
              <w:tc>
                <w:tcPr>
                  <w:tcW w:w="278" w:type="pct"/>
                  <w:vAlign w:val="center"/>
                </w:tcPr>
                <w:p w14:paraId="619609FC">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C80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59ACB3F0">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第八条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禁止在金沙江干流、长江一级支流、水生生物保护区和长江流域禁捕水域开展天然渔业资源生产性捕捞。</w:t>
                  </w:r>
                </w:p>
              </w:tc>
              <w:tc>
                <w:tcPr>
                  <w:tcW w:w="1754" w:type="pct"/>
                  <w:vAlign w:val="center"/>
                </w:tcPr>
                <w:p w14:paraId="0A6B8EF3">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w:t>
                  </w:r>
                  <w:r>
                    <w:rPr>
                      <w:color w:val="000000" w:themeColor="text1"/>
                      <w:szCs w:val="21"/>
                      <w:lang w:val="zh-CN"/>
                      <w14:textFill>
                        <w14:solidFill>
                          <w14:schemeClr w14:val="tx1"/>
                        </w14:solidFill>
                      </w14:textFill>
                    </w:rPr>
                    <w:t>天然渔业资源生产性捕捞。</w:t>
                  </w:r>
                </w:p>
              </w:tc>
              <w:tc>
                <w:tcPr>
                  <w:tcW w:w="278" w:type="pct"/>
                  <w:vAlign w:val="center"/>
                </w:tcPr>
                <w:p w14:paraId="42513866">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27F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61AE801E">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第九条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54" w:type="pct"/>
                  <w:vAlign w:val="center"/>
                </w:tcPr>
                <w:p w14:paraId="64AEC6A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属于肥料制造，</w:t>
                  </w:r>
                  <w:r>
                    <w:rPr>
                      <w:color w:val="000000" w:themeColor="text1"/>
                      <w:szCs w:val="21"/>
                      <w14:textFill>
                        <w14:solidFill>
                          <w14:schemeClr w14:val="tx1"/>
                        </w14:solidFill>
                      </w14:textFill>
                    </w:rPr>
                    <w:t>不属于</w:t>
                  </w:r>
                  <w:r>
                    <w:rPr>
                      <w:color w:val="000000" w:themeColor="text1"/>
                      <w:szCs w:val="21"/>
                      <w:lang w:val="zh-CN"/>
                      <w14:textFill>
                        <w14:solidFill>
                          <w14:schemeClr w14:val="tx1"/>
                        </w14:solidFill>
                      </w14:textFill>
                    </w:rPr>
                    <w:t>化工项目、尾矿库、冶炼渣库和磷石膏库</w:t>
                  </w:r>
                  <w:r>
                    <w:rPr>
                      <w:color w:val="000000" w:themeColor="text1"/>
                      <w:szCs w:val="21"/>
                      <w14:textFill>
                        <w14:solidFill>
                          <w14:schemeClr w14:val="tx1"/>
                        </w14:solidFill>
                      </w14:textFill>
                    </w:rPr>
                    <w:t>项目。</w:t>
                  </w:r>
                </w:p>
              </w:tc>
              <w:tc>
                <w:tcPr>
                  <w:tcW w:w="278" w:type="pct"/>
                  <w:vAlign w:val="center"/>
                </w:tcPr>
                <w:p w14:paraId="0D43C7A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AC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0508F6A6">
                  <w:pPr>
                    <w:ind w:firstLine="420" w:firstLineChars="20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第十条</w:t>
                  </w:r>
                  <w:r>
                    <w:rPr>
                      <w:color w:val="000000" w:themeColor="text1"/>
                      <w:szCs w:val="21"/>
                      <w14:textFill>
                        <w14:solidFill>
                          <w14:schemeClr w14:val="tx1"/>
                        </w14:solidFill>
                      </w14:textFill>
                    </w:rPr>
                    <w:t xml:space="preserve">  </w:t>
                  </w:r>
                  <w:r>
                    <w:rPr>
                      <w:color w:val="000000" w:themeColor="text1"/>
                      <w:szCs w:val="21"/>
                      <w:lang w:val="zh-CN"/>
                      <w14:textFill>
                        <w14:solidFill>
                          <w14:schemeClr w14:val="tx1"/>
                        </w14:solidFill>
                      </w14:textFill>
                    </w:rPr>
                    <w:t>禁止在合规园区外新建、扩建钢铁、石化、化工、焦化、建材、有色、制浆造纸行业中的高污染项目。</w:t>
                  </w:r>
                </w:p>
              </w:tc>
              <w:tc>
                <w:tcPr>
                  <w:tcW w:w="1754" w:type="pct"/>
                  <w:vAlign w:val="center"/>
                </w:tcPr>
                <w:p w14:paraId="6AAA480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位于工业园区外，</w:t>
                  </w:r>
                  <w:r>
                    <w:rPr>
                      <w:color w:val="000000" w:themeColor="text1"/>
                      <w:szCs w:val="21"/>
                      <w14:textFill>
                        <w14:solidFill>
                          <w14:schemeClr w14:val="tx1"/>
                        </w14:solidFill>
                      </w14:textFill>
                    </w:rPr>
                    <w:t>不属于</w:t>
                  </w:r>
                  <w:r>
                    <w:rPr>
                      <w:color w:val="000000" w:themeColor="text1"/>
                      <w:szCs w:val="21"/>
                      <w:lang w:val="zh-CN"/>
                      <w14:textFill>
                        <w14:solidFill>
                          <w14:schemeClr w14:val="tx1"/>
                        </w14:solidFill>
                      </w14:textFill>
                    </w:rPr>
                    <w:t>钢铁、石化、化工、焦化、建材、有色、制浆造纸行业中的高污染项目。</w:t>
                  </w:r>
                </w:p>
              </w:tc>
              <w:tc>
                <w:tcPr>
                  <w:tcW w:w="278" w:type="pct"/>
                  <w:vAlign w:val="center"/>
                </w:tcPr>
                <w:p w14:paraId="77D31930">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B19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340D6E3B">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1754" w:type="pct"/>
                  <w:vAlign w:val="center"/>
                </w:tcPr>
                <w:p w14:paraId="10C016D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项目不涉及石化、煤化工业，项目不属于《云南省城镇人口密集区危险化学品生产企业搬迁改造名单》的搬迁改造企业。</w:t>
                  </w:r>
                </w:p>
              </w:tc>
              <w:tc>
                <w:tcPr>
                  <w:tcW w:w="278" w:type="pct"/>
                  <w:vAlign w:val="center"/>
                </w:tcPr>
                <w:p w14:paraId="61D3D99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2CE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vAlign w:val="center"/>
                </w:tcPr>
                <w:p w14:paraId="46EE91ED">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第十二条  禁止新建、扩建法律法规和相关政策</w:t>
                  </w:r>
                  <w:r>
                    <w:rPr>
                      <w:rFonts w:hint="eastAsia"/>
                      <w:color w:val="000000" w:themeColor="text1"/>
                      <w:szCs w:val="21"/>
                      <w14:textFill>
                        <w14:solidFill>
                          <w14:schemeClr w14:val="tx1"/>
                        </w14:solidFill>
                      </w14:textFill>
                    </w:rPr>
                    <w:t>明令禁止</w:t>
                  </w:r>
                  <w:r>
                    <w:rPr>
                      <w:color w:val="000000" w:themeColor="text1"/>
                      <w:szCs w:val="21"/>
                      <w14:textFill>
                        <w14:solidFill>
                          <w14:schemeClr w14:val="tx1"/>
                        </w14:solidFill>
                      </w14:textFill>
                    </w:rPr>
                    <w:t>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754" w:type="pct"/>
                  <w:vAlign w:val="center"/>
                </w:tcPr>
                <w:p w14:paraId="56C5B3B2">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color w:val="000000" w:themeColor="text1"/>
                      <w:szCs w:val="21"/>
                      <w:lang w:val="zh-CN"/>
                      <w14:textFill>
                        <w14:solidFill>
                          <w14:schemeClr w14:val="tx1"/>
                        </w14:solidFill>
                      </w14:textFill>
                    </w:rPr>
                    <w:t>不属于《产业结构调整指导目录（20</w:t>
                  </w:r>
                  <w:r>
                    <w:rPr>
                      <w:rFonts w:hint="eastAsia"/>
                      <w:color w:val="000000" w:themeColor="text1"/>
                      <w:szCs w:val="21"/>
                      <w14:textFill>
                        <w14:solidFill>
                          <w14:schemeClr w14:val="tx1"/>
                        </w14:solidFill>
                      </w14:textFill>
                    </w:rPr>
                    <w:t>24</w:t>
                  </w:r>
                  <w:r>
                    <w:rPr>
                      <w:color w:val="000000" w:themeColor="text1"/>
                      <w:szCs w:val="21"/>
                      <w:lang w:val="zh-CN"/>
                      <w14:textFill>
                        <w14:solidFill>
                          <w14:schemeClr w14:val="tx1"/>
                        </w14:solidFill>
                      </w14:textFill>
                    </w:rPr>
                    <w:t>年本）</w:t>
                  </w:r>
                  <w:r>
                    <w:rPr>
                      <w:rFonts w:hint="eastAsia"/>
                      <w:color w:val="000000" w:themeColor="text1"/>
                      <w:szCs w:val="21"/>
                      <w:lang w:val="zh-CN"/>
                      <w14:textFill>
                        <w14:solidFill>
                          <w14:schemeClr w14:val="tx1"/>
                        </w14:solidFill>
                      </w14:textFill>
                    </w:rPr>
                    <w:t>》</w:t>
                  </w:r>
                  <w:r>
                    <w:rPr>
                      <w:color w:val="000000" w:themeColor="text1"/>
                      <w:szCs w:val="21"/>
                      <w:lang w:val="zh-CN"/>
                      <w14:textFill>
                        <w14:solidFill>
                          <w14:schemeClr w14:val="tx1"/>
                        </w14:solidFill>
                      </w14:textFill>
                    </w:rPr>
                    <w:t>淘汰类或限制类项目，不属于法律法规和相关政策明令禁止的落后产能项目。不属于国家产能置换要求的严重过剩产能行业的项目，</w:t>
                  </w:r>
                  <w:r>
                    <w:rPr>
                      <w:color w:val="000000" w:themeColor="text1"/>
                      <w:szCs w:val="21"/>
                      <w14:textFill>
                        <w14:solidFill>
                          <w14:schemeClr w14:val="tx1"/>
                        </w14:solidFill>
                      </w14:textFill>
                    </w:rPr>
                    <w:t>不属</w:t>
                  </w:r>
                  <w:r>
                    <w:rPr>
                      <w:rFonts w:hint="eastAsia"/>
                      <w:color w:val="000000" w:themeColor="text1"/>
                      <w:szCs w:val="21"/>
                      <w14:textFill>
                        <w14:solidFill>
                          <w14:schemeClr w14:val="tx1"/>
                        </w14:solidFill>
                      </w14:textFill>
                    </w:rPr>
                    <w:t>于高</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耗能、高排放项目。</w:t>
                  </w:r>
                </w:p>
              </w:tc>
              <w:tc>
                <w:tcPr>
                  <w:tcW w:w="278" w:type="pct"/>
                  <w:vAlign w:val="center"/>
                </w:tcPr>
                <w:p w14:paraId="55A09CD3">
                  <w:pP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89821F0">
            <w:pPr>
              <w:spacing w:before="120" w:beforeLines="50" w:line="360" w:lineRule="auto"/>
              <w:ind w:firstLine="480"/>
              <w:rPr>
                <w:color w:val="000000" w:themeColor="text1"/>
                <w:kern w:val="0"/>
                <w:sz w:val="24"/>
                <w:szCs w:val="32"/>
                <w14:textFill>
                  <w14:solidFill>
                    <w14:schemeClr w14:val="tx1"/>
                  </w14:solidFill>
                </w14:textFill>
              </w:rPr>
            </w:pPr>
            <w:r>
              <w:rPr>
                <w:color w:val="000000" w:themeColor="text1"/>
                <w:kern w:val="0"/>
                <w:sz w:val="24"/>
                <w:szCs w:val="32"/>
                <w14:textFill>
                  <w14:solidFill>
                    <w14:schemeClr w14:val="tx1"/>
                  </w14:solidFill>
                </w14:textFill>
              </w:rPr>
              <w:t>项目符合《云南省长江经济带发展负面清单指南实施细则（试行</w:t>
            </w:r>
            <w:r>
              <w:rPr>
                <w:rFonts w:hint="eastAsia"/>
                <w:color w:val="000000" w:themeColor="text1"/>
                <w:kern w:val="0"/>
                <w:sz w:val="24"/>
                <w:szCs w:val="32"/>
                <w14:textFill>
                  <w14:solidFill>
                    <w14:schemeClr w14:val="tx1"/>
                  </w14:solidFill>
                </w14:textFill>
              </w:rPr>
              <w:t>，2022年版</w:t>
            </w:r>
            <w:r>
              <w:rPr>
                <w:color w:val="000000" w:themeColor="text1"/>
                <w:kern w:val="0"/>
                <w:sz w:val="24"/>
                <w:szCs w:val="32"/>
                <w14:textFill>
                  <w14:solidFill>
                    <w14:schemeClr w14:val="tx1"/>
                  </w14:solidFill>
                </w14:textFill>
              </w:rPr>
              <w:t>）》的要求。</w:t>
            </w:r>
          </w:p>
          <w:p w14:paraId="0304E423">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7、与《牛栏江流域（云南部分）水环境保护规划（</w:t>
            </w:r>
            <w:r>
              <w:rPr>
                <w:b/>
                <w:bCs/>
                <w:color w:val="000000" w:themeColor="text1"/>
                <w:sz w:val="24"/>
                <w14:textFill>
                  <w14:solidFill>
                    <w14:schemeClr w14:val="tx1"/>
                  </w14:solidFill>
                </w14:textFill>
              </w:rPr>
              <w:t xml:space="preserve">2009-2030 </w:t>
            </w:r>
            <w:r>
              <w:rPr>
                <w:rFonts w:hint="eastAsia"/>
                <w:b/>
                <w:bCs/>
                <w:color w:val="000000" w:themeColor="text1"/>
                <w:sz w:val="24"/>
                <w14:textFill>
                  <w14:solidFill>
                    <w14:schemeClr w14:val="tx1"/>
                  </w14:solidFill>
                </w14:textFill>
              </w:rPr>
              <w:t xml:space="preserve">年）》的符合性 </w:t>
            </w:r>
          </w:p>
          <w:p w14:paraId="2CEEE7F1">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《牛栏江流域（云南部分）水环境保护规划》（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年）（以下简称《规划》）于</w:t>
            </w:r>
            <w:r>
              <w:rPr>
                <w:color w:val="000000" w:themeColor="text1"/>
                <w:sz w:val="24"/>
                <w14:textFill>
                  <w14:solidFill>
                    <w14:schemeClr w14:val="tx1"/>
                  </w14:solidFill>
                </w14:textFill>
              </w:rPr>
              <w:t>2010</w:t>
            </w:r>
            <w:r>
              <w:rPr>
                <w:rFonts w:hint="eastAsia"/>
                <w:color w:val="000000" w:themeColor="text1"/>
                <w:sz w:val="24"/>
                <w14:textFill>
                  <w14:solidFill>
                    <w14:schemeClr w14:val="tx1"/>
                  </w14:solidFill>
                </w14:textFill>
              </w:rPr>
              <w:t>年经云南省人民政府批复（云政复</w:t>
            </w:r>
            <w:r>
              <w:rPr>
                <w:color w:val="000000" w:themeColor="text1"/>
                <w:sz w:val="24"/>
                <w14:textFill>
                  <w14:solidFill>
                    <w14:schemeClr w14:val="tx1"/>
                  </w14:solidFill>
                </w14:textFill>
              </w:rPr>
              <w:t>[2010]21</w:t>
            </w:r>
            <w:r>
              <w:rPr>
                <w:rFonts w:hint="eastAsia"/>
                <w:color w:val="000000" w:themeColor="text1"/>
                <w:sz w:val="24"/>
                <w14:textFill>
                  <w14:solidFill>
                    <w14:schemeClr w14:val="tx1"/>
                  </w14:solidFill>
                </w14:textFill>
              </w:rPr>
              <w:t>号）发布。《规划》范围为牛栏江流域</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云南部分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，干流全长</w:t>
            </w:r>
            <w:r>
              <w:rPr>
                <w:color w:val="000000" w:themeColor="text1"/>
                <w:sz w:val="24"/>
                <w14:textFill>
                  <w14:solidFill>
                    <w14:schemeClr w14:val="tx1"/>
                  </w14:solidFill>
                </w14:textFill>
              </w:rPr>
              <w:t>440km</w:t>
            </w:r>
            <w:r>
              <w:rPr>
                <w:rFonts w:hint="eastAsia"/>
                <w:color w:val="000000" w:themeColor="text1"/>
                <w:sz w:val="24"/>
                <w14:textFill>
                  <w14:solidFill>
                    <w14:schemeClr w14:val="tx1"/>
                  </w14:solidFill>
                </w14:textFill>
              </w:rPr>
              <w:t>，流域面积</w:t>
            </w:r>
            <w:r>
              <w:rPr>
                <w:color w:val="000000" w:themeColor="text1"/>
                <w:sz w:val="24"/>
                <w14:textFill>
                  <w14:solidFill>
                    <w14:schemeClr w14:val="tx1"/>
                  </w14:solidFill>
                </w14:textFill>
              </w:rPr>
              <w:t>13672km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，包括昆明、曲靖、昭通</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市</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个县</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市、区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46</w:t>
            </w:r>
            <w:r>
              <w:rPr>
                <w:rFonts w:hint="eastAsia"/>
                <w:color w:val="000000" w:themeColor="text1"/>
                <w:sz w:val="24"/>
                <w14:textFill>
                  <w14:solidFill>
                    <w14:schemeClr w14:val="tx1"/>
                  </w14:solidFill>
                </w14:textFill>
              </w:rPr>
              <w:t>个乡镇。《规划》总目标为：严格控制主要污染物及有毒有害物质的排放，切实控制重点工业污染源及城镇、农村生活污染源，大力削减农业面源污染负荷，保障城镇及农村居民饮用水安全，确保德泽水库水质达到并稳定保持国家地表水</w:t>
            </w:r>
            <w:r>
              <w:rPr>
                <w:color w:val="000000" w:themeColor="text1"/>
                <w:sz w:val="24"/>
                <w14:textFill>
                  <w14:solidFill>
                    <w14:schemeClr w14:val="tx1"/>
                  </w14:solidFill>
                </w14:textFill>
              </w:rPr>
              <w:t>Ⅲ</w:t>
            </w:r>
            <w:r>
              <w:rPr>
                <w:rFonts w:hint="eastAsia"/>
                <w:color w:val="000000" w:themeColor="text1"/>
                <w:sz w:val="24"/>
                <w14:textFill>
                  <w14:solidFill>
                    <w14:schemeClr w14:val="tx1"/>
                  </w14:solidFill>
                </w14:textFill>
              </w:rPr>
              <w:t>类水质标准。</w:t>
            </w:r>
          </w:p>
          <w:p w14:paraId="2EAD1F9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《规划》将牛栏江流域（云南段）划分为两大控制区，即牛栏江上游（德泽水库坝址以上）重点保护区（</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区）、牛栏江下游生态与环境保护区（</w:t>
            </w:r>
            <w:r>
              <w:rPr>
                <w:color w:val="000000" w:themeColor="text1"/>
                <w:sz w:val="24"/>
                <w14:textFill>
                  <w14:solidFill>
                    <w14:schemeClr w14:val="tx1"/>
                  </w14:solidFill>
                </w14:textFill>
              </w:rPr>
              <w:t xml:space="preserve">II </w:t>
            </w:r>
            <w:r>
              <w:rPr>
                <w:rFonts w:hint="eastAsia"/>
                <w:color w:val="000000" w:themeColor="text1"/>
                <w:sz w:val="24"/>
                <w14:textFill>
                  <w14:solidFill>
                    <w14:schemeClr w14:val="tx1"/>
                  </w14:solidFill>
                </w14:textFill>
              </w:rPr>
              <w:t>区）。根据污染特征将各控制区进一步划分为若干控制单元，选择水体功能要求高的作为水源保护核心区，污染敏感度高的区域作为重点污染治理区。</w:t>
            </w: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涉及牛栏江德泽水库以上水环境重点保护区（调水水源区）。</w:t>
            </w:r>
            <w:r>
              <w:rPr>
                <w:color w:val="000000" w:themeColor="text1"/>
                <w:sz w:val="24"/>
                <w14:textFill>
                  <w14:solidFill>
                    <w14:schemeClr w14:val="tx1"/>
                  </w14:solidFill>
                </w14:textFill>
              </w:rPr>
              <w:t>I</w:t>
            </w:r>
            <w:r>
              <w:rPr>
                <w:rFonts w:hint="eastAsia"/>
                <w:color w:val="000000" w:themeColor="text1"/>
                <w:sz w:val="24"/>
                <w14:textFill>
                  <w14:solidFill>
                    <w14:schemeClr w14:val="tx1"/>
                  </w14:solidFill>
                </w14:textFill>
              </w:rPr>
              <w:t>区：牛栏江上游（德泽水库坝址以上）重点保护区：为牛栏江流域上游（德泽水库以上）的调水水源区，牛栏江干流德泽取水枢纽坝址及上游河段（德泽水文站以上）河长</w:t>
            </w:r>
            <w:r>
              <w:rPr>
                <w:color w:val="000000" w:themeColor="text1"/>
                <w:sz w:val="24"/>
                <w14:textFill>
                  <w14:solidFill>
                    <w14:schemeClr w14:val="tx1"/>
                  </w14:solidFill>
                </w14:textFill>
              </w:rPr>
              <w:t>172km</w:t>
            </w:r>
            <w:r>
              <w:rPr>
                <w:rFonts w:hint="eastAsia"/>
                <w:color w:val="000000" w:themeColor="text1"/>
                <w:sz w:val="24"/>
                <w14:textFill>
                  <w14:solidFill>
                    <w14:schemeClr w14:val="tx1"/>
                  </w14:solidFill>
                </w14:textFill>
              </w:rPr>
              <w:t>及区间主要支流的范围，坝址控制径流面积</w:t>
            </w:r>
            <w:r>
              <w:rPr>
                <w:color w:val="000000" w:themeColor="text1"/>
                <w:sz w:val="24"/>
                <w14:textFill>
                  <w14:solidFill>
                    <w14:schemeClr w14:val="tx1"/>
                  </w14:solidFill>
                </w14:textFill>
              </w:rPr>
              <w:t>4551km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。又进一步划分</w:t>
            </w:r>
            <w:r>
              <w:rPr>
                <w:color w:val="000000" w:themeColor="text1"/>
                <w:sz w:val="24"/>
                <w14:textFill>
                  <w14:solidFill>
                    <w14:schemeClr w14:val="tx1"/>
                  </w14:solidFill>
                </w14:textFill>
              </w:rPr>
              <w:t>I1</w:t>
            </w:r>
            <w:r>
              <w:rPr>
                <w:rFonts w:hint="eastAsia"/>
                <w:color w:val="000000" w:themeColor="text1"/>
                <w:sz w:val="24"/>
                <w14:textFill>
                  <w14:solidFill>
                    <w14:schemeClr w14:val="tx1"/>
                  </w14:solidFill>
                </w14:textFill>
              </w:rPr>
              <w:t>水源保护核心区，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重点污染控制区，</w:t>
            </w:r>
            <w:r>
              <w:rPr>
                <w:color w:val="000000" w:themeColor="text1"/>
                <w:sz w:val="24"/>
                <w14:textFill>
                  <w14:solidFill>
                    <w14:schemeClr w14:val="tx1"/>
                  </w14:solidFill>
                </w14:textFill>
              </w:rPr>
              <w:t>I3</w:t>
            </w:r>
            <w:r>
              <w:rPr>
                <w:rFonts w:hint="eastAsia"/>
                <w:color w:val="000000" w:themeColor="text1"/>
                <w:sz w:val="24"/>
                <w14:textFill>
                  <w14:solidFill>
                    <w14:schemeClr w14:val="tx1"/>
                  </w14:solidFill>
                </w14:textFill>
              </w:rPr>
              <w:t>水源涵养区。</w:t>
            </w:r>
          </w:p>
          <w:p w14:paraId="3F4343E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I1</w:t>
            </w:r>
            <w:r>
              <w:rPr>
                <w:rFonts w:hint="eastAsia"/>
                <w:color w:val="000000" w:themeColor="text1"/>
                <w:sz w:val="24"/>
                <w14:textFill>
                  <w14:solidFill>
                    <w14:schemeClr w14:val="tx1"/>
                  </w14:solidFill>
                </w14:textFill>
              </w:rPr>
              <w:t>水源保护核心区：牛栏江干流以内的水面，河岸带外围汇水区陆域</w:t>
            </w:r>
            <w:r>
              <w:rPr>
                <w:color w:val="000000" w:themeColor="text1"/>
                <w:sz w:val="24"/>
                <w14:textFill>
                  <w14:solidFill>
                    <w14:schemeClr w14:val="tx1"/>
                  </w14:solidFill>
                </w14:textFill>
              </w:rPr>
              <w:t>1000m</w:t>
            </w:r>
            <w:r>
              <w:rPr>
                <w:rFonts w:hint="eastAsia"/>
                <w:color w:val="000000" w:themeColor="text1"/>
                <w:sz w:val="24"/>
                <w14:textFill>
                  <w14:solidFill>
                    <w14:schemeClr w14:val="tx1"/>
                  </w14:solidFill>
                </w14:textFill>
              </w:rPr>
              <w:t>范围，德泽水库水面，库区外围汇水区陆域</w:t>
            </w:r>
            <w:r>
              <w:rPr>
                <w:color w:val="000000" w:themeColor="text1"/>
                <w:sz w:val="24"/>
                <w14:textFill>
                  <w14:solidFill>
                    <w14:schemeClr w14:val="tx1"/>
                  </w14:solidFill>
                </w14:textFill>
              </w:rPr>
              <w:t>2000m</w:t>
            </w:r>
            <w:r>
              <w:rPr>
                <w:rFonts w:hint="eastAsia"/>
                <w:color w:val="000000" w:themeColor="text1"/>
                <w:sz w:val="24"/>
                <w14:textFill>
                  <w14:solidFill>
                    <w14:schemeClr w14:val="tx1"/>
                  </w14:solidFill>
                </w14:textFill>
              </w:rPr>
              <w:t>的范围，涉及乡镇主要有官渡区的大板桥镇小哨乡；嵩明县的嵩阳镇（部分）、杨桥乡（部分）、杨林镇（部分）、牛栏江镇（部分）、小街镇（部分）；寻甸县的羊街镇（部分）、塘子镇（大部分）、仁德镇（部分）、七星乡、河口乡，沾益县的德泽乡；会泽县田坝乡合计</w:t>
            </w:r>
            <w:r>
              <w:rPr>
                <w:color w:val="000000" w:themeColor="text1"/>
                <w:sz w:val="24"/>
                <w14:textFill>
                  <w14:solidFill>
                    <w14:schemeClr w14:val="tx1"/>
                  </w14:solidFill>
                </w14:textFill>
              </w:rPr>
              <w:t>13</w:t>
            </w:r>
            <w:r>
              <w:rPr>
                <w:rFonts w:hint="eastAsia"/>
                <w:color w:val="000000" w:themeColor="text1"/>
                <w:sz w:val="24"/>
                <w14:textFill>
                  <w14:solidFill>
                    <w14:schemeClr w14:val="tx1"/>
                  </w14:solidFill>
                </w14:textFill>
              </w:rPr>
              <w:t>个乡镇。牛栏江镇、塘子镇、河口乡、七星乡、德泽乡属于水源保护核心区的重点区域，面积为</w:t>
            </w:r>
            <w:r>
              <w:rPr>
                <w:color w:val="000000" w:themeColor="text1"/>
                <w:sz w:val="24"/>
                <w14:textFill>
                  <w14:solidFill>
                    <w14:schemeClr w14:val="tx1"/>
                  </w14:solidFill>
                </w14:textFill>
              </w:rPr>
              <w:t>665km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该区域优先实施全方位的工程与监督管理措施。工程措施包括五个乡镇生活源治理工程，干流及主要支流沿河农村及农业面源治理工程，德泽水库源头水源涵养林、牛栏江干流及主要支流两岸水土保持林等生态工程。监督管理措施包括清除牛栏江干流排污口，工业源实现零排放，禁止新排放废水的工业企业，建立水质水量自动监测站、 实施河道保洁工程，按区域划分实行河长负责制等措施。</w:t>
            </w:r>
          </w:p>
          <w:p w14:paraId="5604055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重点污染控制区：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甸县羊街镇（部分）、金所乡、仁德镇，塘子镇（小部分）。马龙县的通泉镇、王家庄镇、月望乡、马过河镇、旧县镇；沾益县的大坡乡、菱角乡等</w:t>
            </w:r>
            <w:r>
              <w:rPr>
                <w:color w:val="000000" w:themeColor="text1"/>
                <w:sz w:val="24"/>
                <w14:textFill>
                  <w14:solidFill>
                    <w14:schemeClr w14:val="tx1"/>
                  </w14:solidFill>
                </w14:textFill>
              </w:rPr>
              <w:t>16</w:t>
            </w:r>
            <w:r>
              <w:rPr>
                <w:rFonts w:hint="eastAsia"/>
                <w:color w:val="000000" w:themeColor="text1"/>
                <w:sz w:val="24"/>
                <w14:textFill>
                  <w14:solidFill>
                    <w14:schemeClr w14:val="tx1"/>
                  </w14:solidFill>
                </w14:textFill>
              </w:rPr>
              <w:t>个乡镇。重点污染控制区内的嵩阳镇，小街镇，杨桥乡，牛栏江镇，德泽乡属于本规划的污染重点治理区。面积约为</w:t>
            </w:r>
            <w:r>
              <w:rPr>
                <w:color w:val="000000" w:themeColor="text1"/>
                <w:sz w:val="24"/>
                <w14:textFill>
                  <w14:solidFill>
                    <w14:schemeClr w14:val="tx1"/>
                  </w14:solidFill>
                </w14:textFill>
              </w:rPr>
              <w:t>2011km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 xml:space="preserve">。 工程措施包括乡镇生活源治理工程，农村及农业面源治理工程，水土流失控制工程等。监督管理措施包括加强对现有工业企业的监管，严格产业准入政策，严格控制排放废水工业的发展，调整农业产业结构等措施。 </w:t>
            </w:r>
          </w:p>
          <w:p w14:paraId="23B64AF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I3</w:t>
            </w:r>
            <w:r>
              <w:rPr>
                <w:rFonts w:hint="eastAsia"/>
                <w:color w:val="000000" w:themeColor="text1"/>
                <w:sz w:val="24"/>
                <w14:textFill>
                  <w14:solidFill>
                    <w14:schemeClr w14:val="tx1"/>
                  </w14:solidFill>
                </w14:textFill>
              </w:rPr>
              <w:t>水源涵养区：除水源保护核心区、重点污染控制区以外官渡区、嵩明县、寻甸县、马龙县、沾益县、会泽县面山第一道山脊分水岭的区域。面积约</w:t>
            </w:r>
            <w:r>
              <w:rPr>
                <w:color w:val="000000" w:themeColor="text1"/>
                <w:sz w:val="24"/>
                <w14:textFill>
                  <w14:solidFill>
                    <w14:schemeClr w14:val="tx1"/>
                  </w14:solidFill>
                </w14:textFill>
              </w:rPr>
              <w:t>1875km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。重点实施退耕还林、水土保持、营造水源涵养林等工程，引导农业生态化发展，加强区域生态保护。</w:t>
            </w:r>
          </w:p>
          <w:p w14:paraId="30ABA3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根据牛栏江流域调水水源区水环境保护分区情况，</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位于牛栏江</w:t>
            </w:r>
            <w:r>
              <w:rPr>
                <w:rFonts w:hint="eastAsia"/>
                <w:color w:val="000000" w:themeColor="text1"/>
                <w:sz w:val="24"/>
                <w:lang w:val="en-US" w:eastAsia="zh-CN"/>
                <w14:textFill>
                  <w14:solidFill>
                    <w14:schemeClr w14:val="tx1"/>
                  </w14:solidFill>
                </w14:textFill>
              </w:rPr>
              <w:t>西</w:t>
            </w:r>
            <w:r>
              <w:rPr>
                <w:rFonts w:hint="eastAsia"/>
                <w:color w:val="000000" w:themeColor="text1"/>
                <w:sz w:val="24"/>
                <w14:textFill>
                  <w14:solidFill>
                    <w14:schemeClr w14:val="tx1"/>
                  </w14:solidFill>
                </w14:textFill>
              </w:rPr>
              <w:t>面约2k</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属于仁德街道，位于重点污染控制区（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区），详见附图4。</w:t>
            </w:r>
            <w:r>
              <w:rPr>
                <w:rFonts w:hint="eastAsia"/>
                <w:color w:val="000000" w:themeColor="text1"/>
                <w:sz w:val="24"/>
                <w:lang w:val="en-US" w:eastAsia="zh-CN"/>
                <w14:textFill>
                  <w14:solidFill>
                    <w14:schemeClr w14:val="tx1"/>
                  </w14:solidFill>
                </w14:textFill>
              </w:rPr>
              <w:t>扩建</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《牛栏江流域（云南部分）水环境保护规划（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的符合性分析见表1-</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14:paraId="13FEC49E">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1-4</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与《牛栏江流域（云南部分）水环境保护规划（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w:t>
            </w:r>
          </w:p>
          <w:p w14:paraId="6034D489">
            <w:pPr>
              <w:ind w:firstLine="103" w:firstLineChars="4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符合性分析情况表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46"/>
              <w:gridCol w:w="107"/>
              <w:gridCol w:w="4010"/>
              <w:gridCol w:w="807"/>
            </w:tblGrid>
            <w:tr w14:paraId="44B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5CB844F9">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相关</w:t>
                  </w:r>
                  <w:r>
                    <w:rPr>
                      <w:b/>
                      <w:color w:val="000000" w:themeColor="text1"/>
                      <w:szCs w:val="21"/>
                      <w:lang w:eastAsia="en-US"/>
                      <w14:textFill>
                        <w14:solidFill>
                          <w14:schemeClr w14:val="tx1"/>
                        </w14:solidFill>
                      </w14:textFill>
                    </w:rPr>
                    <w:t>要求</w:t>
                  </w:r>
                </w:p>
              </w:tc>
              <w:tc>
                <w:tcPr>
                  <w:tcW w:w="2649" w:type="pct"/>
                  <w:gridSpan w:val="2"/>
                  <w:vAlign w:val="center"/>
                </w:tcPr>
                <w:p w14:paraId="49E4402A">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519" w:type="pct"/>
                  <w:vAlign w:val="center"/>
                </w:tcPr>
                <w:p w14:paraId="4B2E32CB">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59E8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0989D894">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 </w:t>
                  </w:r>
                </w:p>
              </w:tc>
              <w:tc>
                <w:tcPr>
                  <w:tcW w:w="2649" w:type="pct"/>
                  <w:gridSpan w:val="2"/>
                  <w:vAlign w:val="center"/>
                </w:tcPr>
                <w:p w14:paraId="7C2A8CB1">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本项目位于牛栏江调水水源区。生活污水经化粪池处理，生产废水经生产废水处理系统处理后，排入寻甸县污水处理厂。</w:t>
                  </w:r>
                  <w:r>
                    <w:rPr>
                      <w:color w:val="000000" w:themeColor="text1"/>
                      <w14:textFill>
                        <w14:solidFill>
                          <w14:schemeClr w14:val="tx1"/>
                        </w14:solidFill>
                      </w14:textFill>
                    </w:rPr>
                    <w:t>因此，项目不向外环境直接排放废水。</w:t>
                  </w:r>
                </w:p>
                <w:p w14:paraId="401BBCC7">
                  <w:pPr>
                    <w:ind w:firstLine="420" w:firstLineChars="200"/>
                    <w:rPr>
                      <w:color w:val="000000" w:themeColor="text1"/>
                      <w:szCs w:val="21"/>
                      <w14:textFill>
                        <w14:solidFill>
                          <w14:schemeClr w14:val="tx1"/>
                        </w14:solidFill>
                      </w14:textFill>
                    </w:rPr>
                  </w:pPr>
                </w:p>
              </w:tc>
              <w:tc>
                <w:tcPr>
                  <w:tcW w:w="519" w:type="pct"/>
                  <w:vAlign w:val="center"/>
                </w:tcPr>
                <w:p w14:paraId="794341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1D0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1C7C02AD">
                  <w:pPr>
                    <w:widowControl/>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严格工业企业环境管理，严格环境准</w:t>
                  </w:r>
                  <w:r>
                    <w:rPr>
                      <w:rFonts w:hint="eastAsia"/>
                      <w:color w:val="000000" w:themeColor="text1"/>
                      <w:kern w:val="0"/>
                      <w:szCs w:val="21"/>
                      <w:lang w:bidi="ar"/>
                      <w14:textFill>
                        <w14:solidFill>
                          <w14:schemeClr w14:val="tx1"/>
                        </w14:solidFill>
                      </w14:textFill>
                    </w:rPr>
                    <w:t>入政</w:t>
                  </w:r>
                  <w:r>
                    <w:rPr>
                      <w:color w:val="000000" w:themeColor="text1"/>
                      <w:kern w:val="0"/>
                      <w:szCs w:val="21"/>
                      <w:lang w:bidi="ar"/>
                      <w14:textFill>
                        <w14:solidFill>
                          <w14:schemeClr w14:val="tx1"/>
                        </w14:solidFill>
                      </w14:textFill>
                    </w:rPr>
                    <w:cr/>
                  </w:r>
                  <w:r>
                    <w:rPr>
                      <w:color w:val="000000" w:themeColor="text1"/>
                      <w:kern w:val="0"/>
                      <w:szCs w:val="21"/>
                      <w:lang w:bidi="ar"/>
                      <w14:textFill>
                        <w14:solidFill>
                          <w14:schemeClr w14:val="tx1"/>
                        </w14:solidFill>
                      </w14:textFill>
                    </w:rPr>
                    <w:t>策，避免新污染物输入。</w:t>
                  </w:r>
                </w:p>
              </w:tc>
              <w:tc>
                <w:tcPr>
                  <w:tcW w:w="2649" w:type="pct"/>
                  <w:gridSpan w:val="2"/>
                  <w:vAlign w:val="center"/>
                </w:tcPr>
                <w:p w14:paraId="43D2662B">
                  <w:pPr>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项目为</w:t>
                  </w:r>
                  <w:r>
                    <w:rPr>
                      <w:rFonts w:hint="eastAsia"/>
                      <w:color w:val="000000" w:themeColor="text1"/>
                      <w14:textFill>
                        <w14:solidFill>
                          <w14:schemeClr w14:val="tx1"/>
                        </w14:solidFill>
                      </w14:textFill>
                    </w:rPr>
                    <w:t>肥料制造</w:t>
                  </w:r>
                  <w:r>
                    <w:rPr>
                      <w:color w:val="000000" w:themeColor="text1"/>
                      <w14:textFill>
                        <w14:solidFill>
                          <w14:schemeClr w14:val="tx1"/>
                        </w14:solidFill>
                      </w14:textFill>
                    </w:rPr>
                    <w:t>项目，根据国家发</w:t>
                  </w:r>
                  <w:r>
                    <w:rPr>
                      <w:rFonts w:hint="eastAsia"/>
                      <w:color w:val="000000" w:themeColor="text1"/>
                      <w:lang w:eastAsia="zh-CN"/>
                      <w14:textFill>
                        <w14:solidFill>
                          <w14:schemeClr w14:val="tx1"/>
                        </w14:solidFill>
                      </w14:textFill>
                    </w:rPr>
                    <w:t>展改革</w:t>
                  </w:r>
                  <w:r>
                    <w:rPr>
                      <w:color w:val="000000" w:themeColor="text1"/>
                      <w14:textFill>
                        <w14:solidFill>
                          <w14:schemeClr w14:val="tx1"/>
                        </w14:solidFill>
                      </w14:textFill>
                    </w:rPr>
                    <w:t>委《产业结构调整指导目录（20</w:t>
                  </w:r>
                  <w:r>
                    <w:rPr>
                      <w:rFonts w:hint="eastAsia"/>
                      <w:color w:val="000000" w:themeColor="text1"/>
                      <w14:textFill>
                        <w14:solidFill>
                          <w14:schemeClr w14:val="tx1"/>
                        </w14:solidFill>
                      </w14:textFill>
                    </w:rPr>
                    <w:t>24</w:t>
                  </w:r>
                  <w:r>
                    <w:rPr>
                      <w:color w:val="000000" w:themeColor="text1"/>
                      <w14:textFill>
                        <w14:solidFill>
                          <w14:schemeClr w14:val="tx1"/>
                        </w14:solidFill>
                      </w14:textFill>
                    </w:rPr>
                    <w:t>年本）》中的相关内容，项目</w:t>
                  </w:r>
                  <w:r>
                    <w:rPr>
                      <w:rFonts w:hint="eastAsia"/>
                      <w:color w:val="000000" w:themeColor="text1"/>
                      <w14:textFill>
                        <w14:solidFill>
                          <w14:schemeClr w14:val="tx1"/>
                        </w14:solidFill>
                      </w14:textFill>
                    </w:rPr>
                    <w:t>属于鼓励类项目。项目所选设备、工艺均未列入《淘汰落后生产力、工艺和产品目录》中</w:t>
                  </w:r>
                  <w:r>
                    <w:rPr>
                      <w:color w:val="000000" w:themeColor="text1"/>
                      <w14:textFill>
                        <w14:solidFill>
                          <w14:schemeClr w14:val="tx1"/>
                        </w14:solidFill>
                      </w14:textFill>
                    </w:rPr>
                    <w:t>，项目的建设符合国家现行产业政策。</w:t>
                  </w:r>
                  <w:r>
                    <w:rPr>
                      <w:rFonts w:hint="eastAsia"/>
                      <w:color w:val="000000" w:themeColor="text1"/>
                      <w:szCs w:val="21"/>
                      <w14:textFill>
                        <w14:solidFill>
                          <w14:schemeClr w14:val="tx1"/>
                        </w14:solidFill>
                      </w14:textFill>
                    </w:rPr>
                    <w:t>生活污水依托现有化粪池处理，生产废水依托现有生产废水处理系统处理后，排入寻甸县污水处理厂。项目废水主要污染物为</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cr、</w:t>
                  </w: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、氨氮等，无《重点管控新污染物清单（2023年版）》中规定的新污染物。</w:t>
                  </w:r>
                  <w:r>
                    <w:rPr>
                      <w:rFonts w:hint="eastAsia"/>
                      <w:color w:val="000000" w:themeColor="text1"/>
                      <w14:textFill>
                        <w14:solidFill>
                          <w14:schemeClr w14:val="tx1"/>
                        </w14:solidFill>
                      </w14:textFill>
                    </w:rPr>
                    <w:t>因此，项目不向外环境直接排放新污染物。</w:t>
                  </w:r>
                </w:p>
              </w:tc>
              <w:tc>
                <w:tcPr>
                  <w:tcW w:w="519" w:type="pct"/>
                  <w:vAlign w:val="center"/>
                </w:tcPr>
                <w:p w14:paraId="6228B1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29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65AA80F0">
                  <w:pPr>
                    <w:widowControl/>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调水水源区不得建设不符合国家产业政策的工业项目及高污染工业项目，包括污染严重的钢铁、有色冶金、基础化工、农药、电镀、造纸制浆、制革、印染、石棉制品、土硫磺、土磷肥和染料等企业和项目</w:t>
                  </w:r>
                  <w:r>
                    <w:rPr>
                      <w:rFonts w:hint="eastAsia"/>
                      <w:color w:val="000000" w:themeColor="text1"/>
                      <w:kern w:val="0"/>
                      <w:szCs w:val="21"/>
                      <w:lang w:bidi="ar"/>
                      <w14:textFill>
                        <w14:solidFill>
                          <w14:schemeClr w14:val="tx1"/>
                        </w14:solidFill>
                      </w14:textFill>
                    </w:rPr>
                    <w:t>。</w:t>
                  </w:r>
                </w:p>
              </w:tc>
              <w:tc>
                <w:tcPr>
                  <w:tcW w:w="2649" w:type="pct"/>
                  <w:gridSpan w:val="2"/>
                  <w:vAlign w:val="center"/>
                </w:tcPr>
                <w:p w14:paraId="7E1F3EE1">
                  <w:pPr>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本项目位于牛栏江调水水源区，牛栏江位于拟建项目东侧2km。（见附图4 项目与牛栏江调水水源区保护分区位置关系图）。</w:t>
                  </w:r>
                  <w:r>
                    <w:rPr>
                      <w:color w:val="000000" w:themeColor="text1"/>
                      <w14:textFill>
                        <w14:solidFill>
                          <w14:schemeClr w14:val="tx1"/>
                        </w14:solidFill>
                      </w14:textFill>
                    </w:rPr>
                    <w:t>项目的建设符合国家现行产业政策。</w:t>
                  </w:r>
                  <w:r>
                    <w:rPr>
                      <w:rFonts w:hint="eastAsia"/>
                      <w:color w:val="000000" w:themeColor="text1"/>
                      <w14:textFill>
                        <w14:solidFill>
                          <w14:schemeClr w14:val="tx1"/>
                        </w14:solidFill>
                      </w14:textFill>
                    </w:rPr>
                    <w:t>项目不属于规划中提及的高污染工业项目。</w:t>
                  </w:r>
                </w:p>
                <w:p w14:paraId="0B8A16BD">
                  <w:pPr>
                    <w:ind w:firstLine="420" w:firstLineChars="200"/>
                    <w:rPr>
                      <w:color w:val="000000" w:themeColor="text1"/>
                      <w14:textFill>
                        <w14:solidFill>
                          <w14:schemeClr w14:val="tx1"/>
                        </w14:solidFill>
                      </w14:textFill>
                    </w:rPr>
                  </w:pPr>
                </w:p>
              </w:tc>
              <w:tc>
                <w:tcPr>
                  <w:tcW w:w="519" w:type="pct"/>
                  <w:vAlign w:val="center"/>
                </w:tcPr>
                <w:p w14:paraId="1BE5E7E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4E9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1900" w:type="pct"/>
                  <w:gridSpan w:val="2"/>
                  <w:vAlign w:val="center"/>
                </w:tcPr>
                <w:p w14:paraId="521C8039">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新建工业项目必须进入工业园区或废水实现零排放，改扩建项目不得新增COD、TN、TP排放量；新建、改建、扩建工业项目应采用先进的生产工艺和污染防治技术，其清洁生产水平应达到国家清洁生产标准中的国内先进水平。 </w:t>
                  </w:r>
                </w:p>
              </w:tc>
              <w:tc>
                <w:tcPr>
                  <w:tcW w:w="2580" w:type="pct"/>
                  <w:vAlign w:val="center"/>
                </w:tcPr>
                <w:p w14:paraId="00FB619C">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本项目不在工业园区内。生活污水依托现有化粪池处理，生产废水经现有生产废水处理系统处理后，排入寻甸县污水处理厂，属于间接排放，最后排至县城污水处理厂再次处理。项目排放的COD、TN、TP、BOD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-N等污染物排放量纳入寻甸县污水处理厂的总量指标内。</w:t>
                  </w:r>
                  <w:r>
                    <w:rPr>
                      <w:rFonts w:hint="eastAsia"/>
                      <w:color w:val="000000" w:themeColor="text1"/>
                      <w:szCs w:val="21"/>
                      <w:lang w:val="en-US" w:eastAsia="zh-CN"/>
                      <w14:textFill>
                        <w14:solidFill>
                          <w14:schemeClr w14:val="tx1"/>
                        </w14:solidFill>
                      </w14:textFill>
                    </w:rPr>
                    <w:t>改扩建后，污水总量变少，</w:t>
                  </w:r>
                  <w:r>
                    <w:rPr>
                      <w:rFonts w:hint="eastAsia"/>
                      <w:color w:val="000000" w:themeColor="text1"/>
                      <w:szCs w:val="21"/>
                      <w14:textFill>
                        <w14:solidFill>
                          <w14:schemeClr w14:val="tx1"/>
                        </w14:solidFill>
                      </w14:textFill>
                    </w:rPr>
                    <w:t>COD、TN、TP排放量</w:t>
                  </w:r>
                  <w:r>
                    <w:rPr>
                      <w:rFonts w:hint="eastAsia"/>
                      <w:color w:val="000000" w:themeColor="text1"/>
                      <w:szCs w:val="21"/>
                      <w:lang w:val="en-US" w:eastAsia="zh-CN"/>
                      <w14:textFill>
                        <w14:solidFill>
                          <w14:schemeClr w14:val="tx1"/>
                        </w14:solidFill>
                      </w14:textFill>
                    </w:rPr>
                    <w:t>也相应变少；</w:t>
                  </w:r>
                </w:p>
                <w:p w14:paraId="38B5574E">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肥料制造，工艺类型主要为发酵、搅拌，采用节能设备，自动控制系统。项目使用废水处理系统产生的沼气，减少了生物质能源消耗。水耗、能耗较低。项目产生的大气污染物采用组合处理方式进行处理，污水处理设施经过单独设计，原料及产品不含有毒有害物质。项目清洁生产达到国内先进。</w:t>
                  </w:r>
                </w:p>
              </w:tc>
              <w:tc>
                <w:tcPr>
                  <w:tcW w:w="519" w:type="pct"/>
                  <w:vAlign w:val="center"/>
                </w:tcPr>
                <w:p w14:paraId="1F35041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28E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64562D51">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严格工业固体废弃物管理，实现固体废弃物安全处置。调水水源区内所有排放固体废弃物的企业，按国家有关固体废弃物安全处置的要求，对现有固体废弃物堆场进行安全处置。 </w:t>
                  </w:r>
                </w:p>
              </w:tc>
              <w:tc>
                <w:tcPr>
                  <w:tcW w:w="2649" w:type="pct"/>
                  <w:gridSpan w:val="2"/>
                  <w:vAlign w:val="center"/>
                </w:tcPr>
                <w:p w14:paraId="42229D76">
                  <w:pPr>
                    <w:tabs>
                      <w:tab w:val="left" w:pos="336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项目产生的固废100%处置，不外排</w:t>
                  </w:r>
                  <w:r>
                    <w:rPr>
                      <w:rFonts w:hint="eastAsia"/>
                      <w:color w:val="000000" w:themeColor="text1"/>
                      <w:szCs w:val="21"/>
                      <w14:textFill>
                        <w14:solidFill>
                          <w14:schemeClr w14:val="tx1"/>
                        </w14:solidFill>
                      </w14:textFill>
                    </w:rPr>
                    <w:t>，</w:t>
                  </w:r>
                  <w:r>
                    <w:rPr>
                      <w:color w:val="000000" w:themeColor="text1"/>
                      <w:kern w:val="0"/>
                      <w:szCs w:val="21"/>
                      <w:lang w:bidi="ar"/>
                      <w14:textFill>
                        <w14:solidFill>
                          <w14:schemeClr w14:val="tx1"/>
                        </w14:solidFill>
                      </w14:textFill>
                    </w:rPr>
                    <w:t>实现固体废弃物安全处置。</w:t>
                  </w:r>
                </w:p>
              </w:tc>
              <w:tc>
                <w:tcPr>
                  <w:tcW w:w="519" w:type="pct"/>
                  <w:vAlign w:val="center"/>
                </w:tcPr>
                <w:p w14:paraId="1DD9AC89">
                  <w:pPr>
                    <w:tabs>
                      <w:tab w:val="left" w:pos="336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44C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796B3170">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企业实现“雨污分流”，污水处理厂出水水质达到园区污水处理厂的进水水质要求，园区污水处理厂的出水水质必须达到再生水处理系统的进水水质，再生水处理系统出水水质必须达到回用水水质。 </w:t>
                  </w:r>
                </w:p>
              </w:tc>
              <w:tc>
                <w:tcPr>
                  <w:tcW w:w="2649" w:type="pct"/>
                  <w:gridSpan w:val="2"/>
                  <w:vAlign w:val="center"/>
                </w:tcPr>
                <w:p w14:paraId="47FB848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采取</w:t>
                  </w:r>
                  <w:r>
                    <w:rPr>
                      <w:color w:val="000000" w:themeColor="text1"/>
                      <w:kern w:val="0"/>
                      <w:szCs w:val="21"/>
                      <w:lang w:bidi="ar"/>
                      <w14:textFill>
                        <w14:solidFill>
                          <w14:schemeClr w14:val="tx1"/>
                        </w14:solidFill>
                      </w14:textFill>
                    </w:rPr>
                    <w:t>“雨污分流”</w:t>
                  </w:r>
                  <w:r>
                    <w:rPr>
                      <w:rFonts w:hint="eastAsia"/>
                      <w:color w:val="000000" w:themeColor="text1"/>
                      <w:kern w:val="0"/>
                      <w:szCs w:val="21"/>
                      <w:lang w:bidi="ar"/>
                      <w14:textFill>
                        <w14:solidFill>
                          <w14:schemeClr w14:val="tx1"/>
                        </w14:solidFill>
                      </w14:textFill>
                    </w:rPr>
                    <w:t>制</w:t>
                  </w:r>
                  <w:r>
                    <w:rPr>
                      <w:color w:val="000000" w:themeColor="text1"/>
                      <w:kern w:val="0"/>
                      <w:szCs w:val="21"/>
                      <w:lang w:bidi="ar"/>
                      <w14:textFill>
                        <w14:solidFill>
                          <w14:schemeClr w14:val="tx1"/>
                        </w14:solidFill>
                      </w14:textFill>
                    </w:rPr>
                    <w:t>，</w:t>
                  </w:r>
                  <w:r>
                    <w:rPr>
                      <w:color w:val="000000" w:themeColor="text1"/>
                      <w:szCs w:val="21"/>
                      <w14:textFill>
                        <w14:solidFill>
                          <w14:schemeClr w14:val="tx1"/>
                        </w14:solidFill>
                      </w14:textFill>
                    </w:rPr>
                    <w:t>生活污水</w:t>
                  </w:r>
                  <w:r>
                    <w:rPr>
                      <w:rFonts w:hint="eastAsia"/>
                      <w:color w:val="000000" w:themeColor="text1"/>
                      <w:szCs w:val="21"/>
                      <w14:textFill>
                        <w14:solidFill>
                          <w14:schemeClr w14:val="tx1"/>
                        </w14:solidFill>
                      </w14:textFill>
                    </w:rPr>
                    <w:t>依托</w:t>
                  </w:r>
                  <w:r>
                    <w:rPr>
                      <w:color w:val="000000" w:themeColor="text1"/>
                      <w:szCs w:val="21"/>
                      <w14:textFill>
                        <w14:solidFill>
                          <w14:schemeClr w14:val="tx1"/>
                        </w14:solidFill>
                      </w14:textFill>
                    </w:rPr>
                    <w:t>化粪池处理，</w:t>
                  </w:r>
                  <w:r>
                    <w:rPr>
                      <w:rFonts w:hint="eastAsia"/>
                      <w:color w:val="000000" w:themeColor="text1"/>
                      <w:szCs w:val="21"/>
                      <w14:textFill>
                        <w14:solidFill>
                          <w14:schemeClr w14:val="tx1"/>
                        </w14:solidFill>
                      </w14:textFill>
                    </w:rPr>
                    <w:t>生产废水依托生产废水处理系统处理后，达到</w:t>
                  </w:r>
                  <w:r>
                    <w:rPr>
                      <w:color w:val="000000" w:themeColor="text1"/>
                      <w:szCs w:val="21"/>
                      <w14:textFill>
                        <w14:solidFill>
                          <w14:schemeClr w14:val="tx1"/>
                        </w14:solidFill>
                      </w14:textFill>
                    </w:rPr>
                    <w:t>《污水排入城镇下水道水质标准》（GB/T31962-2015）表1中A等级标准</w:t>
                  </w:r>
                  <w:r>
                    <w:rPr>
                      <w:rFonts w:hint="eastAsia"/>
                      <w:color w:val="000000" w:themeColor="text1"/>
                      <w:szCs w:val="21"/>
                      <w14:textFill>
                        <w14:solidFill>
                          <w14:schemeClr w14:val="tx1"/>
                        </w14:solidFill>
                      </w14:textFill>
                    </w:rPr>
                    <w:t>，满足</w:t>
                  </w:r>
                  <w:r>
                    <w:rPr>
                      <w:color w:val="000000" w:themeColor="text1"/>
                      <w:szCs w:val="21"/>
                      <w14:textFill>
                        <w14:solidFill>
                          <w14:schemeClr w14:val="tx1"/>
                        </w14:solidFill>
                      </w14:textFill>
                    </w:rPr>
                    <w:t>寻甸县污水处理厂</w:t>
                  </w:r>
                  <w:r>
                    <w:rPr>
                      <w:rFonts w:hint="eastAsia"/>
                      <w:color w:val="000000" w:themeColor="text1"/>
                      <w:szCs w:val="21"/>
                      <w14:textFill>
                        <w14:solidFill>
                          <w14:schemeClr w14:val="tx1"/>
                        </w14:solidFill>
                      </w14:textFill>
                    </w:rPr>
                    <w:t>进水水质要求后，</w:t>
                  </w:r>
                  <w:r>
                    <w:rPr>
                      <w:color w:val="000000" w:themeColor="text1"/>
                      <w:szCs w:val="21"/>
                      <w14:textFill>
                        <w14:solidFill>
                          <w14:schemeClr w14:val="tx1"/>
                        </w14:solidFill>
                      </w14:textFill>
                    </w:rPr>
                    <w:t>排入寻甸县污水处理厂</w:t>
                  </w:r>
                  <w:r>
                    <w:rPr>
                      <w:rFonts w:hint="eastAsia"/>
                      <w:color w:val="000000" w:themeColor="text1"/>
                      <w:szCs w:val="21"/>
                      <w14:textFill>
                        <w14:solidFill>
                          <w14:schemeClr w14:val="tx1"/>
                        </w14:solidFill>
                      </w14:textFill>
                    </w:rPr>
                    <w:t>处理</w:t>
                  </w:r>
                  <w:r>
                    <w:rPr>
                      <w:color w:val="000000" w:themeColor="text1"/>
                      <w:szCs w:val="21"/>
                      <w14:textFill>
                        <w14:solidFill>
                          <w14:schemeClr w14:val="tx1"/>
                        </w14:solidFill>
                      </w14:textFill>
                    </w:rPr>
                    <w:t>。</w:t>
                  </w:r>
                </w:p>
              </w:tc>
              <w:tc>
                <w:tcPr>
                  <w:tcW w:w="519" w:type="pct"/>
                  <w:vAlign w:val="center"/>
                </w:tcPr>
                <w:p w14:paraId="11597EC9">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1EB9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831" w:type="pct"/>
                  <w:vAlign w:val="center"/>
                </w:tcPr>
                <w:p w14:paraId="4D1A1102">
                  <w:pPr>
                    <w:widowControl/>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2649" w:type="pct"/>
                  <w:gridSpan w:val="2"/>
                  <w:vAlign w:val="center"/>
                </w:tcPr>
                <w:p w14:paraId="444FF986">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本次评价已制定自行监测方案，确保水质达标，确保大气污染物达标排放。 </w:t>
                  </w:r>
                </w:p>
                <w:p w14:paraId="67088CFA">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本项目所产生的固体废弃物均得到妥善处置，无排放。</w:t>
                  </w:r>
                </w:p>
              </w:tc>
              <w:tc>
                <w:tcPr>
                  <w:tcW w:w="519" w:type="pct"/>
                  <w:vAlign w:val="center"/>
                </w:tcPr>
                <w:p w14:paraId="47FE24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0400756D">
            <w:pPr>
              <w:spacing w:line="360" w:lineRule="auto"/>
              <w:ind w:firstLine="480" w:firstLineChars="200"/>
              <w:rPr>
                <w:b/>
                <w:bCs/>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，项目符合《牛栏江流域（云南部分）水环境保护规划（2009-2030 年）》相关要求。 </w:t>
            </w:r>
          </w:p>
          <w:p w14:paraId="564CCE14">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8、与《牛栏江流域（云南部分）水环境保护规划（2009-2030年）》实施情况中期评估报告相符性分析</w:t>
            </w:r>
          </w:p>
          <w:p w14:paraId="707111C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2020 </w:t>
            </w:r>
            <w:r>
              <w:rPr>
                <w:rFonts w:hint="eastAsia"/>
                <w:color w:val="000000" w:themeColor="text1"/>
                <w:sz w:val="24"/>
                <w14:textFill>
                  <w14:solidFill>
                    <w14:schemeClr w14:val="tx1"/>
                  </w14:solidFill>
                </w14:textFill>
              </w:rPr>
              <w:t xml:space="preserve">年 </w:t>
            </w:r>
            <w:r>
              <w:rPr>
                <w:color w:val="000000" w:themeColor="text1"/>
                <w:sz w:val="24"/>
                <w14:textFill>
                  <w14:solidFill>
                    <w14:schemeClr w14:val="tx1"/>
                  </w14:solidFill>
                </w14:textFill>
              </w:rPr>
              <w:t xml:space="preserve">2 </w:t>
            </w:r>
            <w:r>
              <w:rPr>
                <w:rFonts w:hint="eastAsia"/>
                <w:color w:val="000000" w:themeColor="text1"/>
                <w:sz w:val="24"/>
                <w14:textFill>
                  <w14:solidFill>
                    <w14:schemeClr w14:val="tx1"/>
                  </w14:solidFill>
                </w14:textFill>
              </w:rPr>
              <w:t xml:space="preserve">月 </w:t>
            </w:r>
            <w:r>
              <w:rPr>
                <w:color w:val="000000" w:themeColor="text1"/>
                <w:sz w:val="24"/>
                <w14:textFill>
                  <w14:solidFill>
                    <w14:schemeClr w14:val="tx1"/>
                  </w14:solidFill>
                </w14:textFill>
              </w:rPr>
              <w:t xml:space="preserve">17 </w:t>
            </w:r>
            <w:r>
              <w:rPr>
                <w:rFonts w:hint="eastAsia"/>
                <w:color w:val="000000" w:themeColor="text1"/>
                <w:sz w:val="24"/>
                <w14:textFill>
                  <w14:solidFill>
                    <w14:schemeClr w14:val="tx1"/>
                  </w14:solidFill>
                </w14:textFill>
              </w:rPr>
              <w:t>日，云南省生态环境厅和云南省水利厅联合下发了关于牛栏江流域（云南部分）水环境保护规划（</w:t>
            </w:r>
            <w:r>
              <w:rPr>
                <w:color w:val="000000" w:themeColor="text1"/>
                <w:sz w:val="24"/>
                <w14:textFill>
                  <w14:solidFill>
                    <w14:schemeClr w14:val="tx1"/>
                  </w14:solidFill>
                </w14:textFill>
              </w:rPr>
              <w:t xml:space="preserve">2009-2030 </w:t>
            </w:r>
            <w:r>
              <w:rPr>
                <w:rFonts w:hint="eastAsia"/>
                <w:color w:val="000000" w:themeColor="text1"/>
                <w:sz w:val="24"/>
                <w14:textFill>
                  <w14:solidFill>
                    <w14:schemeClr w14:val="tx1"/>
                  </w14:solidFill>
                </w14:textFill>
              </w:rPr>
              <w:t>年）》实施情况中期评估报告的函（云环函【</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75 </w:t>
            </w:r>
            <w:r>
              <w:rPr>
                <w:rFonts w:hint="eastAsia"/>
                <w:color w:val="000000" w:themeColor="text1"/>
                <w:sz w:val="24"/>
                <w14:textFill>
                  <w14:solidFill>
                    <w14:schemeClr w14:val="tx1"/>
                  </w14:solidFill>
                </w14:textFill>
              </w:rPr>
              <w:t>号）。</w:t>
            </w: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属于牛栏江德泽水库以上水环境重点保护区（调水水源区），根据牛栏江流域调水水源区水环境保护分区情况，项目位于牛栏江西面约2km处，位于重点污染控制区（</w:t>
            </w:r>
            <w:r>
              <w:rPr>
                <w:color w:val="000000" w:themeColor="text1"/>
                <w:sz w:val="24"/>
                <w14:textFill>
                  <w14:solidFill>
                    <w14:schemeClr w14:val="tx1"/>
                  </w14:solidFill>
                </w14:textFill>
              </w:rPr>
              <w:t>I2</w:t>
            </w:r>
            <w:r>
              <w:rPr>
                <w:rFonts w:hint="eastAsia"/>
                <w:color w:val="000000" w:themeColor="text1"/>
                <w:sz w:val="24"/>
                <w14:textFill>
                  <w14:solidFill>
                    <w14:schemeClr w14:val="tx1"/>
                  </w14:solidFill>
                </w14:textFill>
              </w:rPr>
              <w:t>区）。</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《牛栏江流域（云南部分）水环境保护规划（2009-2030年）》实施情况中期评估报告</w:t>
            </w:r>
            <w:r>
              <w:rPr>
                <w:color w:val="000000" w:themeColor="text1"/>
                <w:sz w:val="24"/>
                <w14:textFill>
                  <w14:solidFill>
                    <w14:schemeClr w14:val="tx1"/>
                  </w14:solidFill>
                </w14:textFill>
              </w:rPr>
              <w:t>的符合性分析见表1-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14:paraId="50F3D29E">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1-5</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项目与《牛栏江流域（云南部分）水环境保护规划（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w:t>
            </w:r>
          </w:p>
          <w:p w14:paraId="2F53575C">
            <w:pPr>
              <w:ind w:firstLine="103" w:firstLineChars="4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实施情况中期评估报告符合性分析情况表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8"/>
              <w:gridCol w:w="2678"/>
              <w:gridCol w:w="914"/>
            </w:tblGrid>
            <w:tr w14:paraId="289C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61C01DBF">
                  <w:pPr>
                    <w:widowControl/>
                    <w:jc w:val="center"/>
                    <w:rPr>
                      <w:b/>
                      <w:bCs/>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相关要求</w:t>
                  </w:r>
                </w:p>
              </w:tc>
              <w:tc>
                <w:tcPr>
                  <w:tcW w:w="1723" w:type="pct"/>
                  <w:vAlign w:val="center"/>
                </w:tcPr>
                <w:p w14:paraId="605E61E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588" w:type="pct"/>
                  <w:vAlign w:val="center"/>
                </w:tcPr>
                <w:p w14:paraId="0286188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1B1F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2688" w:type="pct"/>
                  <w:vAlign w:val="center"/>
                </w:tcPr>
                <w:p w14:paraId="5B509C29">
                  <w:pPr>
                    <w:widowControl/>
                    <w:jc w:val="center"/>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进一步加强农业和生活污染源治理。</w:t>
                  </w:r>
                </w:p>
              </w:tc>
              <w:tc>
                <w:tcPr>
                  <w:tcW w:w="1723" w:type="pct"/>
                  <w:vAlign w:val="center"/>
                </w:tcPr>
                <w:p w14:paraId="54AD1F8D">
                  <w:pPr>
                    <w:ind w:firstLine="420" w:firstLineChars="20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生活污水依托现有化粪池处理，生产废水经现有生产废水处理系统处理后，排入寻甸县污水处理厂。</w:t>
                  </w:r>
                </w:p>
              </w:tc>
              <w:tc>
                <w:tcPr>
                  <w:tcW w:w="588" w:type="pct"/>
                  <w:vAlign w:val="center"/>
                </w:tcPr>
                <w:p w14:paraId="3C33E9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AE8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9" w:hRule="atLeast"/>
              </w:trPr>
              <w:tc>
                <w:tcPr>
                  <w:tcW w:w="2688" w:type="pct"/>
                  <w:vAlign w:val="center"/>
                </w:tcPr>
                <w:p w14:paraId="60BFC722">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进一步强化工业污染源管理。一是流域内建设项目严格按照《中华人民共和国水污染防治法》《中华人民共和国环境影响评价法》、《建设项目环境保护管理条例》《云南省牛栏江保护条例》及《水污染防治行动计划》的相关规定，按照高水平保护、高质量发展的要求，进一步提高环保治理水平，大幅度削减污染物排放。依据《水污染防治行动计划》，严格控制缺水地区、水污染严重地区和敏感区域高耗水、高污染行业发展新建、改建、扩建重点行业建设项目实行主要污染物排放减量置换。二是严格已建工业污染源管理。全面落实《水污染防治行动计划》和《云南省牛栏江保护条例》，加强造纸、焦化、氮肥、有色金属、印染、农副食品加工、原料药制造、制革、农药、电镀等重点行业专项整治，积极推动流域内符合国家产业政策的现有钢铁等企业转型升级，全面提升工艺装备水平，按照生态环境部、国家发展和改革委员会等五部委《关于推进实施钢铁行业超低排放的意见》(环大气[2019]35 号)的要求严格实施超低排放改造，牛栏江流域上游保护区内的工业园区应当建设污水集中和分散处理设施，工业污水处理达标后，在园区内综合回用，实现工业污水“零排放”。</w:t>
                  </w:r>
                </w:p>
              </w:tc>
              <w:tc>
                <w:tcPr>
                  <w:tcW w:w="1723" w:type="pct"/>
                  <w:vAlign w:val="center"/>
                </w:tcPr>
                <w:p w14:paraId="38AA8E37">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生活污水依托现有化粪池处理，生产废水经现有生产废水处理系统处理后，排入寻甸县污水处理厂。</w:t>
                  </w:r>
                </w:p>
                <w:p w14:paraId="29D4C195">
                  <w:pPr>
                    <w:ind w:firstLine="420" w:firstLineChars="200"/>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w:t>
                  </w:r>
                  <w:r>
                    <w:rPr>
                      <w:rFonts w:hint="eastAsia"/>
                      <w:color w:val="000000" w:themeColor="text1"/>
                      <w14:textFill>
                        <w14:solidFill>
                          <w14:schemeClr w14:val="tx1"/>
                        </w14:solidFill>
                      </w14:textFill>
                    </w:rPr>
                    <w:t>肥料制造项目</w:t>
                  </w:r>
                  <w:r>
                    <w:rPr>
                      <w:rFonts w:hint="eastAsia"/>
                      <w:color w:val="000000" w:themeColor="text1"/>
                      <w:szCs w:val="21"/>
                      <w14:textFill>
                        <w14:solidFill>
                          <w14:schemeClr w14:val="tx1"/>
                        </w14:solidFill>
                      </w14:textFill>
                    </w:rPr>
                    <w:t>，属于化学原料和化学制品制造业，但不属于化肥，实现废弃物资源利用化，不属于重点工业污染源。</w:t>
                  </w:r>
                  <w:r>
                    <w:rPr>
                      <w:rFonts w:hint="eastAsia"/>
                      <w:color w:val="000000" w:themeColor="text1"/>
                      <w14:textFill>
                        <w14:solidFill>
                          <w14:schemeClr w14:val="tx1"/>
                        </w14:solidFill>
                      </w14:textFill>
                    </w:rPr>
                    <w:t>不属于高耗水、高污染行业。不属于规划中的重点行业。</w:t>
                  </w:r>
                </w:p>
              </w:tc>
              <w:tc>
                <w:tcPr>
                  <w:tcW w:w="588" w:type="pct"/>
                  <w:vAlign w:val="center"/>
                </w:tcPr>
                <w:p w14:paraId="20DC734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E8D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209D0F53">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加速推进规划项目实施</w:t>
                  </w:r>
                </w:p>
              </w:tc>
              <w:tc>
                <w:tcPr>
                  <w:tcW w:w="1723" w:type="pct"/>
                  <w:vAlign w:val="center"/>
                </w:tcPr>
                <w:p w14:paraId="50845A4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588" w:type="pct"/>
                  <w:vAlign w:val="center"/>
                </w:tcPr>
                <w:p w14:paraId="5F91E0E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r>
            <w:tr w14:paraId="25D7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688" w:type="pct"/>
                  <w:vAlign w:val="center"/>
                </w:tcPr>
                <w:p w14:paraId="0534731A">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适时进行规划修编</w:t>
                  </w:r>
                </w:p>
              </w:tc>
              <w:tc>
                <w:tcPr>
                  <w:tcW w:w="1723" w:type="pct"/>
                  <w:vAlign w:val="center"/>
                </w:tcPr>
                <w:p w14:paraId="5E251715">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588" w:type="pct"/>
                  <w:vAlign w:val="center"/>
                </w:tcPr>
                <w:p w14:paraId="11E5E61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r>
            <w:tr w14:paraId="25F3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688" w:type="pct"/>
                  <w:vAlign w:val="center"/>
                </w:tcPr>
                <w:p w14:paraId="4E4DE586">
                  <w:pPr>
                    <w:widowControl/>
                    <w:ind w:firstLine="420" w:firstLineChars="200"/>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落实责任</w:t>
                  </w:r>
                </w:p>
              </w:tc>
              <w:tc>
                <w:tcPr>
                  <w:tcW w:w="1723" w:type="pct"/>
                  <w:vAlign w:val="center"/>
                </w:tcPr>
                <w:p w14:paraId="1BFE0148">
                  <w:pPr>
                    <w:widowControl/>
                    <w:jc w:val="center"/>
                    <w:rPr>
                      <w:b/>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项目设置安环人员，负责厂内环保工作</w:t>
                  </w:r>
                </w:p>
              </w:tc>
              <w:tc>
                <w:tcPr>
                  <w:tcW w:w="588" w:type="pct"/>
                  <w:vAlign w:val="center"/>
                </w:tcPr>
                <w:p w14:paraId="74470BCA">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50949638">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，项目符合《牛栏江流域（云南部分）水环境保护规划（</w:t>
            </w:r>
            <w:r>
              <w:rPr>
                <w:color w:val="000000" w:themeColor="text1"/>
                <w:sz w:val="24"/>
                <w14:textFill>
                  <w14:solidFill>
                    <w14:schemeClr w14:val="tx1"/>
                  </w14:solidFill>
                </w14:textFill>
              </w:rPr>
              <w:t xml:space="preserve">2009- 2030 </w:t>
            </w:r>
            <w:r>
              <w:rPr>
                <w:rFonts w:hint="eastAsia"/>
                <w:color w:val="000000" w:themeColor="text1"/>
                <w:sz w:val="24"/>
                <w14:textFill>
                  <w14:solidFill>
                    <w14:schemeClr w14:val="tx1"/>
                  </w14:solidFill>
                </w14:textFill>
              </w:rPr>
              <w:t xml:space="preserve">年）》实施情况中期评估报告中的措施建议的相关要求。 </w:t>
            </w:r>
          </w:p>
          <w:p w14:paraId="7EDC2AB2">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9、项目与《牛栏江流域（寻甸段）水环境保护规划（2009-2030）》符合性分析</w:t>
            </w:r>
          </w:p>
          <w:p w14:paraId="1E3698C7">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牛栏江流域（寻甸段）水环境分区范围涉及规划区干流及主要支流（前进河、羊街河、马龙河、尹武河等）河流径流区。 规划区分为3个保护区：水源保护核心区、重点污染控制区、重点水源涵养区，各分区范围节点如下：</w:t>
            </w:r>
          </w:p>
          <w:p w14:paraId="313BF598">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1FC186CC">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（2）重点污染控制区</w:t>
            </w:r>
          </w:p>
          <w:p w14:paraId="1B1892A0">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重点污染控制区范围指水体保护核心区外，主要入江支流水域外延3000m的区域和流域范围内的坝区，若区域范围超过一级山脊，按一级山脊线划定。</w:t>
            </w:r>
          </w:p>
          <w:p w14:paraId="2182CF73">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（3）水源涵养区</w:t>
            </w:r>
          </w:p>
          <w:p w14:paraId="3C85A2DD">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重点水源涵养区范围指流域范围内除水源保护核心区、重点污染控制区以外的区域。</w:t>
            </w:r>
          </w:p>
          <w:p w14:paraId="7AF44E5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项目选址位于</w:t>
            </w:r>
            <w:r>
              <w:rPr>
                <w:rFonts w:hint="eastAsia"/>
                <w:color w:val="000000" w:themeColor="text1"/>
                <w:kern w:val="18"/>
                <w:sz w:val="24"/>
                <w14:textFill>
                  <w14:solidFill>
                    <w14:schemeClr w14:val="tx1"/>
                  </w14:solidFill>
                </w14:textFill>
              </w:rPr>
              <w:t>仁德街道道院社区大法古村</w:t>
            </w:r>
            <w:r>
              <w:rPr>
                <w:rFonts w:hint="eastAsia"/>
                <w:color w:val="000000" w:themeColor="text1"/>
                <w:sz w:val="24"/>
                <w14:textFill>
                  <w14:solidFill>
                    <w14:schemeClr w14:val="tx1"/>
                  </w14:solidFill>
                </w14:textFill>
              </w:rPr>
              <w:t>，根据牛栏江流域调水水源区水环境保护分区情况，项目位于牛栏江西面约2km处，位于重点污染控制区。重新报批后</w:t>
            </w:r>
            <w:r>
              <w:rPr>
                <w:color w:val="000000" w:themeColor="text1"/>
                <w:sz w:val="24"/>
                <w14:textFill>
                  <w14:solidFill>
                    <w14:schemeClr w14:val="tx1"/>
                  </w14:solidFill>
                </w14:textFill>
              </w:rPr>
              <w:t>项目与</w:t>
            </w:r>
            <w:r>
              <w:rPr>
                <w:rFonts w:hint="eastAsia"/>
                <w:color w:val="000000" w:themeColor="text1"/>
                <w:sz w:val="24"/>
                <w14:textFill>
                  <w14:solidFill>
                    <w14:schemeClr w14:val="tx1"/>
                  </w14:solidFill>
                </w14:textFill>
              </w:rPr>
              <w:t>《牛栏江流域（寻甸段）水环境保护规划（</w:t>
            </w:r>
            <w:r>
              <w:rPr>
                <w:color w:val="000000" w:themeColor="text1"/>
                <w:sz w:val="24"/>
                <w14:textFill>
                  <w14:solidFill>
                    <w14:schemeClr w14:val="tx1"/>
                  </w14:solidFill>
                </w14:textFill>
              </w:rPr>
              <w:t>2009-2030</w:t>
            </w:r>
            <w:r>
              <w:rPr>
                <w:rFonts w:hint="eastAsia"/>
                <w:color w:val="000000" w:themeColor="text1"/>
                <w:sz w:val="24"/>
                <w14:textFill>
                  <w14:solidFill>
                    <w14:schemeClr w14:val="tx1"/>
                  </w14:solidFill>
                </w14:textFill>
              </w:rPr>
              <w:t>年）》规定的牛栏江流域重点污染控制区保护要求</w:t>
            </w:r>
            <w:r>
              <w:rPr>
                <w:color w:val="000000" w:themeColor="text1"/>
                <w:sz w:val="24"/>
                <w14:textFill>
                  <w14:solidFill>
                    <w14:schemeClr w14:val="tx1"/>
                  </w14:solidFill>
                </w14:textFill>
              </w:rPr>
              <w:t>的符合性分析见表1-</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p>
          <w:p w14:paraId="254E3209">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1-6</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与《牛栏江流域（寻甸段）水环境保护规划（</w:t>
            </w:r>
            <w:r>
              <w:rPr>
                <w:b/>
                <w:color w:val="000000" w:themeColor="text1"/>
                <w14:textFill>
                  <w14:solidFill>
                    <w14:schemeClr w14:val="tx1"/>
                  </w14:solidFill>
                </w14:textFill>
              </w:rPr>
              <w:t xml:space="preserve">2009-2030 </w:t>
            </w:r>
            <w:r>
              <w:rPr>
                <w:rFonts w:hint="eastAsia"/>
                <w:b/>
                <w:color w:val="000000" w:themeColor="text1"/>
                <w14:textFill>
                  <w14:solidFill>
                    <w14:schemeClr w14:val="tx1"/>
                  </w14:solidFill>
                </w14:textFill>
              </w:rPr>
              <w:t>年）》重点污染控制区保护要求符合性分析情况表</w:t>
            </w:r>
          </w:p>
          <w:tbl>
            <w:tblPr>
              <w:tblStyle w:val="23"/>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30"/>
              <w:gridCol w:w="3974"/>
              <w:gridCol w:w="801"/>
            </w:tblGrid>
            <w:tr w14:paraId="3EE2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09C471F7">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保护</w:t>
                  </w:r>
                  <w:r>
                    <w:rPr>
                      <w:b/>
                      <w:color w:val="000000" w:themeColor="text1"/>
                      <w:szCs w:val="21"/>
                      <w:lang w:eastAsia="en-US"/>
                      <w14:textFill>
                        <w14:solidFill>
                          <w14:schemeClr w14:val="tx1"/>
                        </w14:solidFill>
                      </w14:textFill>
                    </w:rPr>
                    <w:t>要求</w:t>
                  </w:r>
                </w:p>
              </w:tc>
              <w:tc>
                <w:tcPr>
                  <w:tcW w:w="3860" w:type="dxa"/>
                  <w:vAlign w:val="center"/>
                </w:tcPr>
                <w:p w14:paraId="1CDA59B5">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778" w:type="dxa"/>
                  <w:vAlign w:val="center"/>
                </w:tcPr>
                <w:p w14:paraId="07A6F4AD">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50CC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4AA7F6B8">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1）重点工业污染源的监督与管理</w:t>
                  </w:r>
                </w:p>
                <w:p w14:paraId="7035163F">
                  <w:pPr>
                    <w:widowControl/>
                    <w:ind w:firstLine="420" w:firstLineChars="200"/>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加强对重点工业污染源的监督，确保牛栏江流域（寻甸段）内重点企业污水稳定达标排放并实现“零排放”，固体废物最大程度重复利用和安全处置，消</w:t>
                  </w:r>
                  <w:r>
                    <w:rPr>
                      <w:rFonts w:hint="eastAsia"/>
                      <w:color w:val="000000" w:themeColor="text1"/>
                      <w:kern w:val="0"/>
                      <w:szCs w:val="21"/>
                      <w:lang w:eastAsia="zh-CN" w:bidi="ar"/>
                      <w14:textFill>
                        <w14:solidFill>
                          <w14:schemeClr w14:val="tx1"/>
                        </w14:solidFill>
                      </w14:textFill>
                    </w:rPr>
                    <w:t>除</w:t>
                  </w:r>
                  <w:r>
                    <w:rPr>
                      <w:rFonts w:hint="eastAsia"/>
                      <w:color w:val="000000" w:themeColor="text1"/>
                      <w:kern w:val="0"/>
                      <w:szCs w:val="21"/>
                      <w:lang w:bidi="ar"/>
                      <w14:textFill>
                        <w14:solidFill>
                          <w14:schemeClr w14:val="tx1"/>
                        </w14:solidFill>
                      </w14:textFill>
                    </w:rPr>
                    <w:t>工业企业的环境安全隐患，确保环保设施的正常运行，杜绝工业企业偷排、漏排污染物的现象。</w:t>
                  </w:r>
                </w:p>
              </w:tc>
              <w:tc>
                <w:tcPr>
                  <w:tcW w:w="3860" w:type="dxa"/>
                  <w:vAlign w:val="center"/>
                </w:tcPr>
                <w:p w14:paraId="39A583F9">
                  <w:pPr>
                    <w:ind w:firstLine="420" w:firstLineChars="200"/>
                    <w:rPr>
                      <w:color w:val="000000" w:themeColor="text1"/>
                      <w:szCs w:val="21"/>
                      <w14:textFill>
                        <w14:solidFill>
                          <w14:schemeClr w14:val="tx1"/>
                        </w14:solidFill>
                      </w14:textFill>
                    </w:rPr>
                  </w:pPr>
                </w:p>
                <w:p w14:paraId="35A0B4FA">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本项目为有机</w:t>
                  </w:r>
                  <w:r>
                    <w:rPr>
                      <w:rFonts w:hint="eastAsia"/>
                      <w:color w:val="000000" w:themeColor="text1"/>
                      <w14:textFill>
                        <w14:solidFill>
                          <w14:schemeClr w14:val="tx1"/>
                        </w14:solidFill>
                      </w14:textFill>
                    </w:rPr>
                    <w:t>肥料制造项目</w:t>
                  </w:r>
                  <w:r>
                    <w:rPr>
                      <w:rFonts w:hint="eastAsia"/>
                      <w:color w:val="000000" w:themeColor="text1"/>
                      <w:szCs w:val="21"/>
                      <w14:textFill>
                        <w14:solidFill>
                          <w14:schemeClr w14:val="tx1"/>
                        </w14:solidFill>
                      </w14:textFill>
                    </w:rPr>
                    <w:t>，属于化学原料和化学制品制造业，但不属于化肥，实现废弃物资源利用化，不属于重点工业污染源。本项目生活污水依托现有化粪池处理，生产废水依托现有生产废水处理系统处理后，排入寻甸县污水处理厂。</w:t>
                  </w:r>
                </w:p>
                <w:p w14:paraId="7D78DADC">
                  <w:pPr>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本项目所有固体废物在执行本环评要求措施之后均能得到妥善处置</w:t>
                  </w:r>
                  <w:r>
                    <w:rPr>
                      <w:rFonts w:hint="eastAsia"/>
                      <w:i/>
                      <w:iCs/>
                      <w:color w:val="000000" w:themeColor="text1"/>
                      <w14:textFill>
                        <w14:solidFill>
                          <w14:schemeClr w14:val="tx1"/>
                        </w14:solidFill>
                      </w14:textFill>
                    </w:rPr>
                    <w:t>。</w:t>
                  </w:r>
                </w:p>
              </w:tc>
              <w:tc>
                <w:tcPr>
                  <w:tcW w:w="778" w:type="dxa"/>
                  <w:vAlign w:val="center"/>
                </w:tcPr>
                <w:p w14:paraId="091676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B2C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6158E5CF">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2）加强工业园区的监督与环境准入政策</w:t>
                  </w:r>
                </w:p>
                <w:p w14:paraId="66DD15E2">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建设再生水回用系统、废水事故处理系统、固体废弃物处置设施、园区生态改造等工程体系，实现工业园区废水的循环利用，固体废物重复利用和安全处置。</w:t>
                  </w:r>
                </w:p>
                <w:p w14:paraId="1636D6F7">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严格环境准入政策，污染控制区内不得建设不符合国家产业政策的工业项目及高污染工业项目；新建工业项目废水不得排放有毒有害物质，改扩建项目不得新增COD、TN、TP排放量；新建、改建、扩建工业项目应采用先进的生产工艺和污染防治技术，其清洁生产水平达到国家清洁生产标准中的国内先进水平。</w:t>
                  </w:r>
                </w:p>
              </w:tc>
              <w:tc>
                <w:tcPr>
                  <w:tcW w:w="3860" w:type="dxa"/>
                  <w:vAlign w:val="center"/>
                </w:tcPr>
                <w:p w14:paraId="1B6D497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仁德街道道院社区大法古村，不属于工业园区范围内。本项目的废水、废气固废在执行本环评要求措施之后均能得到妥善处置，满足环境标准。本项目不属于不符合国家产业政策以及高污染的工业项目。</w:t>
                  </w:r>
                </w:p>
                <w:p w14:paraId="58C9D6F3">
                  <w:pPr>
                    <w:rPr>
                      <w:rFonts w:hint="default" w:eastAsia="宋体"/>
                      <w:color w:val="000000" w:themeColor="text1"/>
                      <w:szCs w:val="21"/>
                      <w:lang w:val="en-US" w:eastAsia="zh-CN"/>
                      <w14:textFill>
                        <w14:solidFill>
                          <w14:schemeClr w14:val="tx1"/>
                        </w14:solidFill>
                      </w14:textFill>
                    </w:rPr>
                  </w:pPr>
                  <w:r>
                    <w:rPr>
                      <w:rFonts w:ascii="Times New Roman" w:hAnsi="Times New Roman" w:eastAsia="宋体"/>
                      <w:b w:val="0"/>
                      <w:color w:val="000000" w:themeColor="text1"/>
                      <w:sz w:val="21"/>
                      <w:szCs w:val="21"/>
                      <w14:textFill>
                        <w14:solidFill>
                          <w14:schemeClr w14:val="tx1"/>
                        </w14:solidFill>
                      </w14:textFill>
                    </w:rPr>
                    <w:t>本项目为</w:t>
                  </w:r>
                  <w:r>
                    <w:rPr>
                      <w:rFonts w:hint="eastAsia" w:ascii="Times New Roman" w:hAnsi="Times New Roman" w:eastAsia="宋体"/>
                      <w:b w:val="0"/>
                      <w:color w:val="000000" w:themeColor="text1"/>
                      <w:sz w:val="21"/>
                      <w:szCs w:val="21"/>
                      <w14:textFill>
                        <w14:solidFill>
                          <w14:schemeClr w14:val="tx1"/>
                        </w14:solidFill>
                      </w14:textFill>
                    </w:rPr>
                    <w:t>有机肥料制造</w:t>
                  </w:r>
                  <w:r>
                    <w:rPr>
                      <w:rFonts w:ascii="Times New Roman" w:hAnsi="Times New Roman" w:eastAsia="宋体"/>
                      <w:b w:val="0"/>
                      <w:color w:val="000000" w:themeColor="text1"/>
                      <w:sz w:val="21"/>
                      <w:szCs w:val="21"/>
                      <w14:textFill>
                        <w14:solidFill>
                          <w14:schemeClr w14:val="tx1"/>
                        </w14:solidFill>
                      </w14:textFill>
                    </w:rPr>
                    <w:t>，工艺类型为</w:t>
                  </w:r>
                  <w:r>
                    <w:rPr>
                      <w:rFonts w:hint="eastAsia" w:ascii="Times New Roman" w:hAnsi="Times New Roman" w:eastAsia="宋体"/>
                      <w:b w:val="0"/>
                      <w:color w:val="000000" w:themeColor="text1"/>
                      <w:sz w:val="21"/>
                      <w:szCs w:val="21"/>
                      <w14:textFill>
                        <w14:solidFill>
                          <w14:schemeClr w14:val="tx1"/>
                        </w14:solidFill>
                      </w14:textFill>
                    </w:rPr>
                    <w:t>发酵，搅拌。</w:t>
                  </w:r>
                  <w:r>
                    <w:rPr>
                      <w:rFonts w:ascii="Times New Roman" w:hAnsi="Times New Roman" w:eastAsia="宋体"/>
                      <w:b w:val="0"/>
                      <w:color w:val="000000" w:themeColor="text1"/>
                      <w:sz w:val="21"/>
                      <w:szCs w:val="21"/>
                      <w14:textFill>
                        <w14:solidFill>
                          <w14:schemeClr w14:val="tx1"/>
                        </w14:solidFill>
                      </w14:textFill>
                    </w:rPr>
                    <w:t>采用节能设备，自动控制系统。项目使用废水处理系统产生的沼气，减少了生物质能源消耗。水耗、能耗较低。项目产生的大气污染物采用组合处理方式进行处理，污水处理设施经过单独设计，原料及产品不含有毒有害物质。项目清洁生产达到国内先进。</w:t>
                  </w:r>
                  <w:r>
                    <w:rPr>
                      <w:rFonts w:hint="eastAsia"/>
                      <w:color w:val="000000" w:themeColor="text1"/>
                      <w:szCs w:val="21"/>
                      <w:lang w:val="en-US" w:eastAsia="zh-CN"/>
                      <w14:textFill>
                        <w14:solidFill>
                          <w14:schemeClr w14:val="tx1"/>
                        </w14:solidFill>
                      </w14:textFill>
                    </w:rPr>
                    <w:t>改扩建后，污水总量变少，</w:t>
                  </w:r>
                  <w:r>
                    <w:rPr>
                      <w:rFonts w:hint="eastAsia"/>
                      <w:color w:val="000000" w:themeColor="text1"/>
                      <w:szCs w:val="21"/>
                      <w14:textFill>
                        <w14:solidFill>
                          <w14:schemeClr w14:val="tx1"/>
                        </w14:solidFill>
                      </w14:textFill>
                    </w:rPr>
                    <w:t>COD、TN、TP排放量</w:t>
                  </w:r>
                  <w:r>
                    <w:rPr>
                      <w:rFonts w:hint="eastAsia"/>
                      <w:color w:val="000000" w:themeColor="text1"/>
                      <w:szCs w:val="21"/>
                      <w:lang w:val="en-US" w:eastAsia="zh-CN"/>
                      <w14:textFill>
                        <w14:solidFill>
                          <w14:schemeClr w14:val="tx1"/>
                        </w14:solidFill>
                      </w14:textFill>
                    </w:rPr>
                    <w:t>也相应变少；</w:t>
                  </w:r>
                </w:p>
                <w:p w14:paraId="207B173C">
                  <w:pPr>
                    <w:pStyle w:val="7"/>
                    <w:spacing w:line="240" w:lineRule="auto"/>
                    <w:ind w:firstLine="643" w:firstLineChars="200"/>
                    <w:rPr>
                      <w:color w:val="000000" w:themeColor="text1"/>
                      <w14:textFill>
                        <w14:solidFill>
                          <w14:schemeClr w14:val="tx1"/>
                        </w14:solidFill>
                      </w14:textFill>
                    </w:rPr>
                  </w:pPr>
                </w:p>
              </w:tc>
              <w:tc>
                <w:tcPr>
                  <w:tcW w:w="778" w:type="dxa"/>
                  <w:vAlign w:val="center"/>
                </w:tcPr>
                <w:p w14:paraId="5FE491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DA0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556937CE">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3）加强城镇污染控制</w:t>
                  </w:r>
                </w:p>
                <w:p w14:paraId="101CAC70">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城市污水处理厂（站）的处理后的出水水质必须达到《城镇污水处理厂污染物排放标准》（GB18918-2001）一级A标准。</w:t>
                  </w:r>
                </w:p>
                <w:p w14:paraId="680A6BDC">
                  <w:pPr>
                    <w:widowControl/>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完善“组保洁、村收集、乡（镇）转运、县区处置”的城乡生活垃圾无害化收运处置四级管理体制。</w:t>
                  </w:r>
                </w:p>
              </w:tc>
              <w:tc>
                <w:tcPr>
                  <w:tcW w:w="3860" w:type="dxa"/>
                  <w:vAlign w:val="center"/>
                </w:tcPr>
                <w:p w14:paraId="20DA9E46">
                  <w:pPr>
                    <w:ind w:firstLine="420" w:firstLineChars="200"/>
                    <w:rPr>
                      <w:color w:val="000000" w:themeColor="text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有机肥料制造项目</w:t>
                  </w:r>
                  <w:r>
                    <w:rPr>
                      <w:rFonts w:hint="eastAsia"/>
                      <w:color w:val="000000" w:themeColor="text1"/>
                      <w14:textFill>
                        <w14:solidFill>
                          <w14:schemeClr w14:val="tx1"/>
                        </w14:solidFill>
                      </w14:textFill>
                    </w:rPr>
                    <w:t>，不属于城市污水处理厂项目。</w:t>
                  </w:r>
                </w:p>
              </w:tc>
              <w:tc>
                <w:tcPr>
                  <w:tcW w:w="778" w:type="dxa"/>
                  <w:vAlign w:val="center"/>
                </w:tcPr>
                <w:p w14:paraId="78B3D88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A6F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6" w:type="dxa"/>
                  <w:vAlign w:val="center"/>
                </w:tcPr>
                <w:p w14:paraId="5407EC89">
                  <w:pPr>
                    <w:widowControl/>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4）全面控制农村农业面污染</w:t>
                  </w:r>
                </w:p>
                <w:p w14:paraId="13EC9590">
                  <w:pPr>
                    <w:widowControl/>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控制区域全面调整种植结构，实行测土配方施肥，推广有机生物肥和化肥施用量少的作物种植，从根本上减少化肥施用量。全面实施重点污染村落生活污水、生活垃圾、畜禽养殖污染、农田固废污染，开展核心区范围外的农村环境综合整治。</w:t>
                  </w:r>
                </w:p>
              </w:tc>
              <w:tc>
                <w:tcPr>
                  <w:tcW w:w="3860" w:type="dxa"/>
                  <w:vAlign w:val="center"/>
                </w:tcPr>
                <w:p w14:paraId="2DF51257">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有机肥料制造项目。有机生物肥的制造与销售，对于从根本上减少化肥施用量具有显著推动作用。</w:t>
                  </w:r>
                </w:p>
                <w:p w14:paraId="0EC99D5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本项目所有固体废物在</w:t>
                  </w:r>
                  <w:r>
                    <w:rPr>
                      <w:rFonts w:hint="eastAsia"/>
                      <w:color w:val="000000" w:themeColor="text1"/>
                      <w:szCs w:val="21"/>
                      <w:lang w:eastAsia="zh-CN"/>
                      <w14:textFill>
                        <w14:solidFill>
                          <w14:schemeClr w14:val="tx1"/>
                        </w14:solidFill>
                      </w14:textFill>
                    </w:rPr>
                    <w:t>执</w:t>
                  </w:r>
                  <w:r>
                    <w:rPr>
                      <w:rFonts w:hint="eastAsia"/>
                      <w:color w:val="000000" w:themeColor="text1"/>
                      <w:szCs w:val="21"/>
                      <w14:textFill>
                        <w14:solidFill>
                          <w14:schemeClr w14:val="tx1"/>
                        </w14:solidFill>
                      </w14:textFill>
                    </w:rPr>
                    <w:t>行本环评要求措施之后均能得到妥善处置。</w:t>
                  </w:r>
                </w:p>
              </w:tc>
              <w:tc>
                <w:tcPr>
                  <w:tcW w:w="778" w:type="dxa"/>
                  <w:vAlign w:val="center"/>
                </w:tcPr>
                <w:p w14:paraId="21EA67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6AF633BB">
            <w:pPr>
              <w:spacing w:line="360" w:lineRule="auto"/>
              <w:ind w:firstLine="480" w:firstLineChars="200"/>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，项目符合《牛栏江流域（寻甸段）水环境保护规划（2009-2030 年）》相关要求。 </w:t>
            </w:r>
          </w:p>
          <w:p w14:paraId="09F85E32">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10、项目</w:t>
            </w:r>
            <w:r>
              <w:rPr>
                <w:b/>
                <w:color w:val="000000" w:themeColor="text1"/>
                <w:sz w:val="24"/>
                <w14:textFill>
                  <w14:solidFill>
                    <w14:schemeClr w14:val="tx1"/>
                  </w14:solidFill>
                </w14:textFill>
              </w:rPr>
              <w:t>与《</w:t>
            </w:r>
            <w:r>
              <w:rPr>
                <w:rFonts w:hint="eastAsia"/>
                <w:b/>
                <w:color w:val="000000" w:themeColor="text1"/>
                <w:sz w:val="24"/>
                <w14:textFill>
                  <w14:solidFill>
                    <w14:schemeClr w14:val="tx1"/>
                  </w14:solidFill>
                </w14:textFill>
              </w:rPr>
              <w:t>云南省牛栏江保护条例</w:t>
            </w:r>
            <w:r>
              <w:rPr>
                <w:b/>
                <w:color w:val="000000" w:themeColor="text1"/>
                <w:sz w:val="24"/>
                <w14:textFill>
                  <w14:solidFill>
                    <w14:schemeClr w14:val="tx1"/>
                  </w14:solidFill>
                </w14:textFill>
              </w:rPr>
              <w:t>》的符合性分析</w:t>
            </w:r>
          </w:p>
          <w:p w14:paraId="633A79E7">
            <w:pPr>
              <w:spacing w:line="360" w:lineRule="auto"/>
              <w:ind w:firstLine="480" w:firstLineChars="200"/>
              <w:rPr>
                <w:b/>
                <w:color w:val="000000" w:themeColor="text1"/>
                <w14:textFill>
                  <w14:solidFill>
                    <w14:schemeClr w14:val="tx1"/>
                  </w14:solidFill>
                </w14:textFill>
              </w:rPr>
            </w:pPr>
            <w:r>
              <w:rPr>
                <w:color w:val="000000" w:themeColor="text1"/>
                <w:sz w:val="24"/>
                <w14:textFill>
                  <w14:solidFill>
                    <w14:schemeClr w14:val="tx1"/>
                  </w14:solidFill>
                </w14:textFill>
              </w:rPr>
              <w:t>项目所在</w:t>
            </w:r>
            <w:r>
              <w:rPr>
                <w:rFonts w:hint="eastAsia"/>
                <w:color w:val="000000" w:themeColor="text1"/>
                <w:sz w:val="24"/>
                <w14:textFill>
                  <w14:solidFill>
                    <w14:schemeClr w14:val="tx1"/>
                  </w14:solidFill>
                </w14:textFill>
              </w:rPr>
              <w:t>地</w:t>
            </w:r>
            <w:r>
              <w:rPr>
                <w:color w:val="000000" w:themeColor="text1"/>
                <w:sz w:val="24"/>
                <w14:textFill>
                  <w14:solidFill>
                    <w14:schemeClr w14:val="tx1"/>
                  </w14:solidFill>
                </w14:textFill>
              </w:rPr>
              <w:t>的最近地表水体为</w:t>
            </w:r>
            <w:r>
              <w:rPr>
                <w:rFonts w:hint="eastAsia"/>
                <w:color w:val="000000" w:themeColor="text1"/>
                <w:sz w:val="24"/>
                <w14:textFill>
                  <w14:solidFill>
                    <w14:schemeClr w14:val="tx1"/>
                  </w14:solidFill>
                </w14:textFill>
              </w:rPr>
              <w:t>项目东侧约2k</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处的牛栏江。根据《云南省牛栏江保护条例》（2012年09月28日发布），自2012年12月01日起施行。条例</w:t>
            </w:r>
            <w:r>
              <w:rPr>
                <w:color w:val="000000" w:themeColor="text1"/>
                <w:sz w:val="24"/>
                <w14:textFill>
                  <w14:solidFill>
                    <w14:schemeClr w14:val="tx1"/>
                  </w14:solidFill>
                </w14:textFill>
              </w:rPr>
              <w:t>共</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条，其中与项目密切相关的</w:t>
            </w:r>
            <w:r>
              <w:rPr>
                <w:rFonts w:hint="eastAsia"/>
                <w:color w:val="000000" w:themeColor="text1"/>
                <w:sz w:val="24"/>
                <w14:textFill>
                  <w14:solidFill>
                    <w14:schemeClr w14:val="tx1"/>
                  </w14:solidFill>
                </w14:textFill>
              </w:rPr>
              <w:t>条例</w:t>
            </w:r>
            <w:r>
              <w:rPr>
                <w:color w:val="000000" w:themeColor="text1"/>
                <w:sz w:val="24"/>
                <w14:textFill>
                  <w14:solidFill>
                    <w14:schemeClr w14:val="tx1"/>
                  </w14:solidFill>
                </w14:textFill>
              </w:rPr>
              <w:t>为第</w:t>
            </w:r>
            <w:r>
              <w:rPr>
                <w:rFonts w:hint="eastAsia"/>
                <w:color w:val="000000" w:themeColor="text1"/>
                <w:sz w:val="24"/>
                <w14:textFill>
                  <w14:solidFill>
                    <w14:schemeClr w14:val="tx1"/>
                  </w14:solidFill>
                </w14:textFill>
              </w:rPr>
              <w:t>四</w:t>
            </w:r>
            <w:r>
              <w:rPr>
                <w:color w:val="000000" w:themeColor="text1"/>
                <w:sz w:val="24"/>
                <w14:textFill>
                  <w14:solidFill>
                    <w14:schemeClr w14:val="tx1"/>
                  </w14:solidFill>
                </w14:textFill>
              </w:rPr>
              <w:t>、五、</w:t>
            </w:r>
            <w:r>
              <w:rPr>
                <w:rFonts w:hint="eastAsia"/>
                <w:color w:val="000000" w:themeColor="text1"/>
                <w:sz w:val="24"/>
                <w14:textFill>
                  <w14:solidFill>
                    <w14:schemeClr w14:val="tx1"/>
                  </w14:solidFill>
                </w14:textFill>
              </w:rPr>
              <w:t>八、二十二、三十、三十二、三十三、三十六</w:t>
            </w:r>
            <w:r>
              <w:rPr>
                <w:color w:val="000000" w:themeColor="text1"/>
                <w:sz w:val="24"/>
                <w14:textFill>
                  <w14:solidFill>
                    <w14:schemeClr w14:val="tx1"/>
                  </w14:solidFill>
                </w14:textFill>
              </w:rPr>
              <w:t>条。项目与《</w:t>
            </w:r>
            <w:r>
              <w:rPr>
                <w:rFonts w:hint="eastAsia"/>
                <w:color w:val="000000" w:themeColor="text1"/>
                <w:sz w:val="24"/>
                <w14:textFill>
                  <w14:solidFill>
                    <w14:schemeClr w14:val="tx1"/>
                  </w14:solidFill>
                </w14:textFill>
              </w:rPr>
              <w:t>云南省牛栏江保护条例</w:t>
            </w:r>
            <w:r>
              <w:rPr>
                <w:color w:val="000000" w:themeColor="text1"/>
                <w:sz w:val="24"/>
                <w14:textFill>
                  <w14:solidFill>
                    <w14:schemeClr w14:val="tx1"/>
                  </w14:solidFill>
                </w14:textFill>
              </w:rPr>
              <w:t>》的符合性分析见表1-</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30113648">
            <w:pPr>
              <w:ind w:firstLine="103" w:firstLineChars="49"/>
              <w:jc w:val="center"/>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14:textFill>
                  <w14:solidFill>
                    <w14:schemeClr w14:val="tx1"/>
                  </w14:solidFill>
                </w14:textFill>
              </w:rPr>
              <w:t>7</w:t>
            </w:r>
            <w:r>
              <w:rPr>
                <w:b/>
                <w:color w:val="000000" w:themeColor="text1"/>
                <w14:textFill>
                  <w14:solidFill>
                    <w14:schemeClr w14:val="tx1"/>
                  </w14:solidFill>
                </w14:textFill>
              </w:rPr>
              <w:t xml:space="preserve">  项目与《</w:t>
            </w:r>
            <w:r>
              <w:rPr>
                <w:rFonts w:hint="eastAsia"/>
                <w:b/>
                <w:color w:val="000000" w:themeColor="text1"/>
                <w14:textFill>
                  <w14:solidFill>
                    <w14:schemeClr w14:val="tx1"/>
                  </w14:solidFill>
                </w14:textFill>
              </w:rPr>
              <w:t>云南省牛栏江保护条例</w:t>
            </w:r>
            <w:r>
              <w:rPr>
                <w:b/>
                <w:color w:val="000000" w:themeColor="text1"/>
                <w14:textFill>
                  <w14:solidFill>
                    <w14:schemeClr w14:val="tx1"/>
                  </w14:solidFill>
                </w14:textFill>
              </w:rPr>
              <w:t>》的符合性分析</w:t>
            </w:r>
            <w:r>
              <w:rPr>
                <w:rFonts w:hint="eastAsia"/>
                <w:b/>
                <w:color w:val="000000" w:themeColor="text1"/>
                <w14:textFill>
                  <w14:solidFill>
                    <w14:schemeClr w14:val="tx1"/>
                  </w14:solidFill>
                </w14:textFill>
              </w:rPr>
              <w:t>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7"/>
              <w:gridCol w:w="3670"/>
              <w:gridCol w:w="2831"/>
              <w:gridCol w:w="632"/>
            </w:tblGrid>
            <w:tr w14:paraId="49E3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15C8F2E7">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规定</w:t>
                  </w:r>
                </w:p>
              </w:tc>
              <w:tc>
                <w:tcPr>
                  <w:tcW w:w="2361" w:type="pct"/>
                  <w:vAlign w:val="center"/>
                </w:tcPr>
                <w:p w14:paraId="55C5BE1A">
                  <w:pPr>
                    <w:jc w:val="center"/>
                    <w:rPr>
                      <w:b/>
                      <w:color w:val="000000" w:themeColor="text1"/>
                      <w:szCs w:val="21"/>
                      <w:lang w:eastAsia="en-US"/>
                      <w14:textFill>
                        <w14:solidFill>
                          <w14:schemeClr w14:val="tx1"/>
                        </w14:solidFill>
                      </w14:textFill>
                    </w:rPr>
                  </w:pPr>
                  <w:r>
                    <w:rPr>
                      <w:rFonts w:hint="eastAsia"/>
                      <w:b/>
                      <w:color w:val="000000" w:themeColor="text1"/>
                      <w:szCs w:val="21"/>
                      <w14:textFill>
                        <w14:solidFill>
                          <w14:schemeClr w14:val="tx1"/>
                        </w14:solidFill>
                      </w14:textFill>
                    </w:rPr>
                    <w:t>相关</w:t>
                  </w:r>
                  <w:r>
                    <w:rPr>
                      <w:b/>
                      <w:color w:val="000000" w:themeColor="text1"/>
                      <w:szCs w:val="21"/>
                      <w:lang w:eastAsia="en-US"/>
                      <w14:textFill>
                        <w14:solidFill>
                          <w14:schemeClr w14:val="tx1"/>
                        </w14:solidFill>
                      </w14:textFill>
                    </w:rPr>
                    <w:t>要求</w:t>
                  </w:r>
                </w:p>
              </w:tc>
              <w:tc>
                <w:tcPr>
                  <w:tcW w:w="1821" w:type="pct"/>
                  <w:vAlign w:val="center"/>
                </w:tcPr>
                <w:p w14:paraId="236A1E9A">
                  <w:pPr>
                    <w:jc w:val="center"/>
                    <w:rPr>
                      <w:b/>
                      <w:color w:val="000000" w:themeColor="text1"/>
                      <w:szCs w:val="21"/>
                      <w:lang w:eastAsia="en-US"/>
                      <w14:textFill>
                        <w14:solidFill>
                          <w14:schemeClr w14:val="tx1"/>
                        </w14:solidFill>
                      </w14:textFill>
                    </w:rPr>
                  </w:pPr>
                  <w:r>
                    <w:rPr>
                      <w:b/>
                      <w:color w:val="000000" w:themeColor="text1"/>
                      <w:szCs w:val="21"/>
                      <w:lang w:eastAsia="en-US"/>
                      <w14:textFill>
                        <w14:solidFill>
                          <w14:schemeClr w14:val="tx1"/>
                        </w14:solidFill>
                      </w14:textFill>
                    </w:rPr>
                    <w:t>项目情况</w:t>
                  </w:r>
                </w:p>
              </w:tc>
              <w:tc>
                <w:tcPr>
                  <w:tcW w:w="406" w:type="pct"/>
                  <w:vAlign w:val="center"/>
                </w:tcPr>
                <w:p w14:paraId="71E5AD80">
                  <w:pPr>
                    <w:jc w:val="center"/>
                    <w:rPr>
                      <w:b/>
                      <w:color w:val="000000" w:themeColor="text1"/>
                      <w:szCs w:val="21"/>
                      <w14:textFill>
                        <w14:solidFill>
                          <w14:schemeClr w14:val="tx1"/>
                        </w14:solidFill>
                      </w14:textFill>
                    </w:rPr>
                  </w:pPr>
                  <w:r>
                    <w:rPr>
                      <w:b/>
                      <w:color w:val="000000" w:themeColor="text1"/>
                      <w:szCs w:val="21"/>
                      <w:lang w:eastAsia="en-US"/>
                      <w14:textFill>
                        <w14:solidFill>
                          <w14:schemeClr w14:val="tx1"/>
                        </w14:solidFill>
                      </w14:textFill>
                    </w:rPr>
                    <w:t>符合</w:t>
                  </w:r>
                  <w:r>
                    <w:rPr>
                      <w:rFonts w:hint="eastAsia"/>
                      <w:b/>
                      <w:color w:val="000000" w:themeColor="text1"/>
                      <w:szCs w:val="21"/>
                      <w14:textFill>
                        <w14:solidFill>
                          <w14:schemeClr w14:val="tx1"/>
                        </w14:solidFill>
                      </w14:textFill>
                    </w:rPr>
                    <w:t>性</w:t>
                  </w:r>
                </w:p>
              </w:tc>
            </w:tr>
            <w:tr w14:paraId="43CC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67BB002">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四</w:t>
                  </w:r>
                  <w:r>
                    <w:rPr>
                      <w:color w:val="000000" w:themeColor="text1"/>
                      <w:szCs w:val="21"/>
                      <w:lang w:eastAsia="en-US"/>
                      <w14:textFill>
                        <w14:solidFill>
                          <w14:schemeClr w14:val="tx1"/>
                        </w14:solidFill>
                      </w14:textFill>
                    </w:rPr>
                    <w:t>条</w:t>
                  </w:r>
                </w:p>
              </w:tc>
              <w:tc>
                <w:tcPr>
                  <w:tcW w:w="2361" w:type="pct"/>
                  <w:vAlign w:val="center"/>
                </w:tcPr>
                <w:p w14:paraId="1B86B228">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牛栏江流域实行分区保护。牛栏江德泽水库坝址以上集水区域为牛栏江流域上游保护区，牛栏江德泽水库坝址以下集水区域为牛栏江流域下游保护区。</w:t>
                  </w:r>
                </w:p>
              </w:tc>
              <w:tc>
                <w:tcPr>
                  <w:tcW w:w="1821" w:type="pct"/>
                  <w:vAlign w:val="center"/>
                </w:tcPr>
                <w:p w14:paraId="54711A6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项目选址位于</w:t>
                  </w:r>
                  <w:r>
                    <w:rPr>
                      <w:rFonts w:hint="eastAsia"/>
                      <w:color w:val="000000" w:themeColor="text1"/>
                      <w:szCs w:val="21"/>
                      <w14:textFill>
                        <w14:solidFill>
                          <w14:schemeClr w14:val="tx1"/>
                        </w14:solidFill>
                      </w14:textFill>
                    </w:rPr>
                    <w:t>仁德街道道院社区大法古村</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属于</w:t>
                  </w:r>
                  <w:r>
                    <w:rPr>
                      <w:color w:val="000000" w:themeColor="text1"/>
                      <w:szCs w:val="21"/>
                      <w14:textFill>
                        <w14:solidFill>
                          <w14:schemeClr w14:val="tx1"/>
                        </w14:solidFill>
                      </w14:textFill>
                    </w:rPr>
                    <w:t>牛栏江德泽水库坝址以上集水区域为牛栏江流域上游保护区。</w:t>
                  </w:r>
                </w:p>
              </w:tc>
              <w:tc>
                <w:tcPr>
                  <w:tcW w:w="406" w:type="pct"/>
                  <w:vAlign w:val="center"/>
                </w:tcPr>
                <w:p w14:paraId="252C8F7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072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D069317">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五</w:t>
                  </w:r>
                  <w:r>
                    <w:rPr>
                      <w:color w:val="000000" w:themeColor="text1"/>
                      <w:szCs w:val="21"/>
                      <w:lang w:eastAsia="en-US"/>
                      <w14:textFill>
                        <w14:solidFill>
                          <w14:schemeClr w14:val="tx1"/>
                        </w14:solidFill>
                      </w14:textFill>
                    </w:rPr>
                    <w:t>条</w:t>
                  </w:r>
                </w:p>
              </w:tc>
              <w:tc>
                <w:tcPr>
                  <w:tcW w:w="2361" w:type="pct"/>
                  <w:vAlign w:val="center"/>
                </w:tcPr>
                <w:p w14:paraId="76AE79F3">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牛栏江流域上游保护区划分为水源保护核心区、重点污染控制区和重点水源涵养区</w:t>
                  </w:r>
                </w:p>
                <w:p w14:paraId="4CB11D72">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(一)水源保护核心区包括德泽水库库区和德泽水库以上牛栏江干流区。德泽水库库区为德泽水库正常蓄水位1790米水面及沿岸外延2000米的范围，区域范围超过一级山脊线的，按照一级山脊线划定</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德泽水库以上牛栏江干流区指德泽水库以上干流(包括干流源头矣纳岔口至嘉丽泽对龙河河段)水域及两岸外延1000米的范围，区域范围超过一级山脊线的，按照一级山脊线划定。</w:t>
                  </w:r>
                </w:p>
                <w:p w14:paraId="20704B81">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05F7740F">
                  <w:pPr>
                    <w:tabs>
                      <w:tab w:val="left" w:pos="3360"/>
                    </w:tabs>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(三)重点水源涵养区为流域范围内除水源保护核心区、重点</w:t>
                  </w:r>
                  <w:r>
                    <w:rPr>
                      <w:rFonts w:hint="eastAsia"/>
                      <w:color w:val="000000" w:themeColor="text1"/>
                      <w:szCs w:val="21"/>
                      <w:lang w:eastAsia="zh-CN"/>
                      <w14:textFill>
                        <w14:solidFill>
                          <w14:schemeClr w14:val="tx1"/>
                        </w14:solidFill>
                      </w14:textFill>
                    </w:rPr>
                    <w:t>污</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染控制区以外的集水区域。</w:t>
                  </w:r>
                </w:p>
              </w:tc>
              <w:tc>
                <w:tcPr>
                  <w:tcW w:w="1821" w:type="pct"/>
                  <w:vAlign w:val="center"/>
                </w:tcPr>
                <w:p w14:paraId="4D56A48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位于牛栏江西面约2k</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位于</w:t>
                  </w:r>
                  <w:r>
                    <w:rPr>
                      <w:color w:val="000000" w:themeColor="text1"/>
                      <w:szCs w:val="21"/>
                      <w14:textFill>
                        <w14:solidFill>
                          <w14:schemeClr w14:val="tx1"/>
                        </w14:solidFill>
                      </w14:textFill>
                    </w:rPr>
                    <w:t>重点污染控制区。</w:t>
                  </w:r>
                  <w:r>
                    <w:rPr>
                      <w:rFonts w:hint="eastAsia"/>
                      <w:color w:val="000000" w:themeColor="text1"/>
                      <w:szCs w:val="21"/>
                      <w14:textFill>
                        <w14:solidFill>
                          <w14:schemeClr w14:val="tx1"/>
                        </w14:solidFill>
                      </w14:textFill>
                    </w:rPr>
                    <w:t>项目与牛栏江保护范围关系详见附图4。</w:t>
                  </w:r>
                </w:p>
              </w:tc>
              <w:tc>
                <w:tcPr>
                  <w:tcW w:w="406" w:type="pct"/>
                  <w:vAlign w:val="center"/>
                </w:tcPr>
                <w:p w14:paraId="48CBC9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2B7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1A6271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第八条</w:t>
                  </w:r>
                </w:p>
              </w:tc>
              <w:tc>
                <w:tcPr>
                  <w:tcW w:w="2361" w:type="pct"/>
                  <w:vAlign w:val="center"/>
                </w:tcPr>
                <w:p w14:paraId="7E1A99C1">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牛栏江流域水体水质按照《地表水环境质量标准》Ⅲ类水质标准进行保护。</w:t>
                  </w:r>
                </w:p>
              </w:tc>
              <w:tc>
                <w:tcPr>
                  <w:tcW w:w="1821" w:type="pct"/>
                  <w:vAlign w:val="center"/>
                </w:tcPr>
                <w:p w14:paraId="3B94928B">
                  <w:pPr>
                    <w:tabs>
                      <w:tab w:val="left" w:pos="3360"/>
                    </w:tabs>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查阅昆明市生态环境局2025年6月6日发布的《2024年度昆明市生态环境状况公报》，牛栏江七星水文站断面（位于项目区上游，与项目距离约3km）水质能达到《地表水环境质量标准》（GB3838-2002）中Ⅲ类水质标准。且项目生活污水经化粪池处理，生产废水经生产废水处理系统处理后，排入寻甸县污水处理厂，不直接排入牛栏江。</w:t>
                  </w:r>
                </w:p>
              </w:tc>
              <w:tc>
                <w:tcPr>
                  <w:tcW w:w="406" w:type="pct"/>
                  <w:vAlign w:val="center"/>
                </w:tcPr>
                <w:p w14:paraId="7A6D56DB">
                  <w:pPr>
                    <w:tabs>
                      <w:tab w:val="left" w:pos="336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A3A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460D8FC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第二十二条</w:t>
                  </w:r>
                </w:p>
              </w:tc>
              <w:tc>
                <w:tcPr>
                  <w:tcW w:w="2361" w:type="pct"/>
                  <w:vAlign w:val="center"/>
                </w:tcPr>
                <w:p w14:paraId="04AD9888">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县级以上人民政府应当合理规划工业布局，淘汰严重污染水环境的落后工艺和设备，禁止新建、改建、扩建不符合国家产业政策或者严重污染水环境的建设项目。</w:t>
                  </w:r>
                </w:p>
              </w:tc>
              <w:tc>
                <w:tcPr>
                  <w:tcW w:w="1821" w:type="pct"/>
                  <w:vAlign w:val="center"/>
                </w:tcPr>
                <w:p w14:paraId="323A61CB">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根据上文分析可知，项目符合国家现行产业政策，且项目生活污水经化粪池处理，生产废水经生产废水处理系统处理后，排入寻甸县污水处理厂，不会对水体产生严重污染。</w:t>
                  </w:r>
                </w:p>
              </w:tc>
              <w:tc>
                <w:tcPr>
                  <w:tcW w:w="406" w:type="pct"/>
                  <w:vAlign w:val="center"/>
                </w:tcPr>
                <w:p w14:paraId="2F9CC536">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00D7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511DEA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第三十条</w:t>
                  </w:r>
                </w:p>
              </w:tc>
              <w:tc>
                <w:tcPr>
                  <w:tcW w:w="2361" w:type="pct"/>
                  <w:vAlign w:val="center"/>
                </w:tcPr>
                <w:p w14:paraId="7CD6F163">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牛栏江流域上游保护区内的工业园区应当建设污水集中和分散处理设施，工业污水处理达标后，在园区内综合回用，实现工业污水零排放。排污单位在向污水集中处理设施排放污水时，应当符合相应的水污染物排放标准和重点水污染物排放总量控制指标。工业园区的管理机构统一负责园区内污水集中处理设施的监督管理，并确保其正常运行。</w:t>
                  </w:r>
                </w:p>
                <w:p w14:paraId="235E0BD3">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工业园区外的工业企业应当进行技术改造，采取综合防治措施，提高水的重复利用率，逐年减少废水和污染物排放量。</w:t>
                  </w:r>
                </w:p>
              </w:tc>
              <w:tc>
                <w:tcPr>
                  <w:tcW w:w="1821" w:type="pct"/>
                  <w:vAlign w:val="center"/>
                </w:tcPr>
                <w:p w14:paraId="3782EEDB">
                  <w:pPr>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本项目不在工业园区内，且生活污水经现有化粪池处理，生产废水经生产废水处理系统处理后，排入寻甸县污水处理厂。</w:t>
                  </w:r>
                </w:p>
                <w:p w14:paraId="276068E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目前本项目扩建后，利用尾菜废水制作有机肥，降低了废水排放量，且能回用的部分均循环使用，提高中水利用率。</w:t>
                  </w:r>
                </w:p>
              </w:tc>
              <w:tc>
                <w:tcPr>
                  <w:tcW w:w="406" w:type="pct"/>
                  <w:vAlign w:val="center"/>
                </w:tcPr>
                <w:p w14:paraId="324991E7">
                  <w:pPr>
                    <w:jc w:val="center"/>
                    <w:rPr>
                      <w:color w:val="000000" w:themeColor="text1"/>
                      <w:szCs w:val="21"/>
                      <w:lang w:eastAsia="en-US"/>
                      <w14:textFill>
                        <w14:solidFill>
                          <w14:schemeClr w14:val="tx1"/>
                        </w14:solidFill>
                      </w14:textFill>
                    </w:rPr>
                  </w:pPr>
                  <w:r>
                    <w:rPr>
                      <w:rFonts w:hint="eastAsia"/>
                      <w:color w:val="000000" w:themeColor="text1"/>
                      <w:szCs w:val="21"/>
                      <w14:textFill>
                        <w14:solidFill>
                          <w14:schemeClr w14:val="tx1"/>
                        </w14:solidFill>
                      </w14:textFill>
                    </w:rPr>
                    <w:t>符合</w:t>
                  </w:r>
                </w:p>
              </w:tc>
            </w:tr>
            <w:tr w14:paraId="5B9D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5F0D9F1D">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第</w:t>
                  </w:r>
                  <w:r>
                    <w:rPr>
                      <w:rFonts w:hint="eastAsia"/>
                      <w:color w:val="000000" w:themeColor="text1"/>
                      <w:szCs w:val="21"/>
                      <w14:textFill>
                        <w14:solidFill>
                          <w14:schemeClr w14:val="tx1"/>
                        </w14:solidFill>
                      </w14:textFill>
                    </w:rPr>
                    <w:t>三十二</w:t>
                  </w:r>
                  <w:r>
                    <w:rPr>
                      <w:color w:val="000000" w:themeColor="text1"/>
                      <w:szCs w:val="21"/>
                      <w:lang w:eastAsia="en-US"/>
                      <w14:textFill>
                        <w14:solidFill>
                          <w14:schemeClr w14:val="tx1"/>
                        </w14:solidFill>
                      </w14:textFill>
                    </w:rPr>
                    <w:t>条</w:t>
                  </w:r>
                </w:p>
              </w:tc>
              <w:tc>
                <w:tcPr>
                  <w:tcW w:w="2361" w:type="pct"/>
                  <w:vAlign w:val="center"/>
                </w:tcPr>
                <w:p w14:paraId="51908532">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重点水源涵养区内禁止下列行为</w:t>
                  </w:r>
                  <w:r>
                    <w:rPr>
                      <w:rFonts w:hint="eastAsia"/>
                      <w:color w:val="000000" w:themeColor="text1"/>
                      <w:szCs w:val="21"/>
                      <w14:textFill>
                        <w14:solidFill>
                          <w14:schemeClr w14:val="tx1"/>
                        </w14:solidFill>
                      </w14:textFill>
                    </w:rPr>
                    <w:t>：</w:t>
                  </w:r>
                </w:p>
                <w:p w14:paraId="29229554">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(一)盗伐、滥伐林木和破坏草地</w:t>
                  </w:r>
                  <w:r>
                    <w:rPr>
                      <w:rFonts w:hint="eastAsia"/>
                      <w:color w:val="000000" w:themeColor="text1"/>
                      <w:szCs w:val="21"/>
                      <w14:textFill>
                        <w14:solidFill>
                          <w14:schemeClr w14:val="tx1"/>
                        </w14:solidFill>
                      </w14:textFill>
                    </w:rPr>
                    <w:t>；</w:t>
                  </w:r>
                </w:p>
                <w:p w14:paraId="3A8310D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(二)使用高毒、高残留农药</w:t>
                  </w:r>
                  <w:r>
                    <w:rPr>
                      <w:rFonts w:hint="eastAsia"/>
                      <w:color w:val="000000" w:themeColor="text1"/>
                      <w:szCs w:val="21"/>
                      <w14:textFill>
                        <w14:solidFill>
                          <w14:schemeClr w14:val="tx1"/>
                        </w14:solidFill>
                      </w14:textFill>
                    </w:rPr>
                    <w:t>；</w:t>
                  </w:r>
                </w:p>
                <w:p w14:paraId="1F8F2DD0">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(三)利用溶洞、渗井、渗坑、裂隙排放、倾倒含有毒有害物质的废水、废渣</w:t>
                  </w:r>
                  <w:r>
                    <w:rPr>
                      <w:rFonts w:hint="eastAsia"/>
                      <w:color w:val="000000" w:themeColor="text1"/>
                      <w:szCs w:val="21"/>
                      <w14:textFill>
                        <w14:solidFill>
                          <w14:schemeClr w14:val="tx1"/>
                        </w14:solidFill>
                      </w14:textFill>
                    </w:rPr>
                    <w:t>；</w:t>
                  </w:r>
                </w:p>
                <w:p w14:paraId="76154AC3">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(四)向水体排放废水、倾倒工业废渣、城镇垃圾或者其他废弃物</w:t>
                  </w:r>
                  <w:r>
                    <w:rPr>
                      <w:rFonts w:hint="eastAsia"/>
                      <w:color w:val="000000" w:themeColor="text1"/>
                      <w:szCs w:val="21"/>
                      <w14:textFill>
                        <w14:solidFill>
                          <w14:schemeClr w14:val="tx1"/>
                        </w14:solidFill>
                      </w14:textFill>
                    </w:rPr>
                    <w:t>；</w:t>
                  </w:r>
                </w:p>
                <w:p w14:paraId="47FBC502">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(五)在江河、渠道、水库最高水位线以下的滩地、岸坡堆放、存贮固体废弃物或者其他污染物</w:t>
                  </w:r>
                  <w:r>
                    <w:rPr>
                      <w:rFonts w:hint="eastAsia"/>
                      <w:color w:val="000000" w:themeColor="text1"/>
                      <w:szCs w:val="21"/>
                      <w14:textFill>
                        <w14:solidFill>
                          <w14:schemeClr w14:val="tx1"/>
                        </w14:solidFill>
                      </w14:textFill>
                    </w:rPr>
                    <w:t>；</w:t>
                  </w:r>
                </w:p>
                <w:p w14:paraId="3C041FEA">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(六)利用无防渗漏措施的沟渠、坑塘等输送或者存贮含有毒污染物的废水、含病原体的污水或者其他废弃物。</w:t>
                  </w:r>
                </w:p>
              </w:tc>
              <w:tc>
                <w:tcPr>
                  <w:tcW w:w="1821" w:type="pct"/>
                  <w:vAlign w:val="center"/>
                </w:tcPr>
                <w:p w14:paraId="77508D1D">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本项目不涉及第三十二条所列禁止行为。</w:t>
                  </w:r>
                </w:p>
              </w:tc>
              <w:tc>
                <w:tcPr>
                  <w:tcW w:w="406" w:type="pct"/>
                  <w:vAlign w:val="center"/>
                </w:tcPr>
                <w:p w14:paraId="19C70FAF">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707D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71D6759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第三十三条</w:t>
                  </w:r>
                </w:p>
              </w:tc>
              <w:tc>
                <w:tcPr>
                  <w:tcW w:w="2361" w:type="pct"/>
                  <w:vAlign w:val="center"/>
                </w:tcPr>
                <w:p w14:paraId="6E6D1566">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重点污染控制区内除重点水源涵养区禁止的行为外，还禁止下列行为</w:t>
                  </w:r>
                  <w:r>
                    <w:rPr>
                      <w:rFonts w:hint="eastAsia"/>
                      <w:color w:val="000000" w:themeColor="text1"/>
                      <w:szCs w:val="21"/>
                      <w14:textFill>
                        <w14:solidFill>
                          <w14:schemeClr w14:val="tx1"/>
                        </w14:solidFill>
                      </w14:textFill>
                    </w:rPr>
                    <w:t>：</w:t>
                  </w:r>
                </w:p>
                <w:p w14:paraId="1E244D84">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(一)新建、扩建工业园区</w:t>
                  </w:r>
                  <w:r>
                    <w:rPr>
                      <w:rFonts w:hint="eastAsia"/>
                      <w:color w:val="000000" w:themeColor="text1"/>
                      <w:szCs w:val="21"/>
                      <w14:textFill>
                        <w14:solidFill>
                          <w14:schemeClr w14:val="tx1"/>
                        </w14:solidFill>
                      </w14:textFill>
                    </w:rPr>
                    <w:t>；</w:t>
                  </w:r>
                </w:p>
                <w:p w14:paraId="5ED9ABA8">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(二)新建、扩建重点水污染物排放的工业项目</w:t>
                  </w:r>
                  <w:r>
                    <w:rPr>
                      <w:rFonts w:hint="eastAsia"/>
                      <w:color w:val="000000" w:themeColor="text1"/>
                      <w:szCs w:val="21"/>
                      <w14:textFill>
                        <w14:solidFill>
                          <w14:schemeClr w14:val="tx1"/>
                        </w14:solidFill>
                      </w14:textFill>
                    </w:rPr>
                    <w:t>；</w:t>
                  </w:r>
                </w:p>
                <w:p w14:paraId="090A7C2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(三)新建、改建、扩建经营性陵园、公墓。</w:t>
                  </w:r>
                </w:p>
              </w:tc>
              <w:tc>
                <w:tcPr>
                  <w:tcW w:w="1821" w:type="pct"/>
                  <w:vAlign w:val="center"/>
                </w:tcPr>
                <w:p w14:paraId="24CEFF3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本项目位于重点污染控制区，项目不涉及第三十三条所列禁止行为，本项目不属于重点水污染排放工业项目，项目生活污水经化粪池处理，生产废水经生产废水处理系统处理后，排入寻甸县污水处理厂。</w:t>
                  </w:r>
                </w:p>
              </w:tc>
              <w:tc>
                <w:tcPr>
                  <w:tcW w:w="406" w:type="pct"/>
                  <w:vAlign w:val="center"/>
                </w:tcPr>
                <w:p w14:paraId="35E2E9F4">
                  <w:pPr>
                    <w:jc w:val="center"/>
                    <w:rPr>
                      <w:color w:val="000000" w:themeColor="text1"/>
                      <w:szCs w:val="21"/>
                      <w:lang w:eastAsia="en-US"/>
                      <w14:textFill>
                        <w14:solidFill>
                          <w14:schemeClr w14:val="tx1"/>
                        </w14:solidFill>
                      </w14:textFill>
                    </w:rPr>
                  </w:pPr>
                  <w:r>
                    <w:rPr>
                      <w:color w:val="000000" w:themeColor="text1"/>
                      <w:szCs w:val="21"/>
                      <w:lang w:eastAsia="en-US"/>
                      <w14:textFill>
                        <w14:solidFill>
                          <w14:schemeClr w14:val="tx1"/>
                        </w14:solidFill>
                      </w14:textFill>
                    </w:rPr>
                    <w:t>符合</w:t>
                  </w:r>
                </w:p>
              </w:tc>
            </w:tr>
            <w:tr w14:paraId="3135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10" w:type="pct"/>
                  <w:vAlign w:val="center"/>
                </w:tcPr>
                <w:p w14:paraId="2509A4B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第三十六条</w:t>
                  </w:r>
                </w:p>
              </w:tc>
              <w:tc>
                <w:tcPr>
                  <w:tcW w:w="2361" w:type="pct"/>
                  <w:vAlign w:val="center"/>
                </w:tcPr>
                <w:p w14:paraId="50958B19">
                  <w:pPr>
                    <w:tabs>
                      <w:tab w:val="left" w:pos="3360"/>
                    </w:tabs>
                    <w:adjustRightInd w:val="0"/>
                    <w:snapToGrid w:val="0"/>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污染控制区内禁止新建、改建、扩建对水体污染严重的建设项目。</w:t>
                  </w:r>
                </w:p>
              </w:tc>
              <w:tc>
                <w:tcPr>
                  <w:tcW w:w="1821" w:type="pct"/>
                  <w:vAlign w:val="center"/>
                </w:tcPr>
                <w:p w14:paraId="4BD0E28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项目位于重点污染控制区，生活污水经化粪池处理，生产废水经生产废水处理系统处理后，排入寻甸县污水处理厂，不属于</w:t>
                  </w:r>
                  <w:r>
                    <w:rPr>
                      <w:color w:val="000000" w:themeColor="text1"/>
                      <w:szCs w:val="21"/>
                      <w14:textFill>
                        <w14:solidFill>
                          <w14:schemeClr w14:val="tx1"/>
                        </w14:solidFill>
                      </w14:textFill>
                    </w:rPr>
                    <w:t>对水体污染严重的建设项目。</w:t>
                  </w:r>
                </w:p>
              </w:tc>
              <w:tc>
                <w:tcPr>
                  <w:tcW w:w="406" w:type="pct"/>
                  <w:vAlign w:val="center"/>
                </w:tcPr>
                <w:p w14:paraId="21A7CAA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285D6BDA">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综上所述</w:t>
            </w:r>
            <w:r>
              <w:rPr>
                <w:rFonts w:hint="eastAsia"/>
                <w:color w:val="000000" w:themeColor="text1"/>
                <w:sz w:val="24"/>
                <w14:textFill>
                  <w14:solidFill>
                    <w14:schemeClr w14:val="tx1"/>
                  </w14:solidFill>
                </w14:textFill>
              </w:rPr>
              <w:t xml:space="preserve">，项目符合《云南省牛栏江保护条例》相关要求。 </w:t>
            </w:r>
          </w:p>
          <w:p w14:paraId="7BEB7C9E">
            <w:pPr>
              <w:pStyle w:val="80"/>
              <w:adjustRightInd/>
              <w:snapToGrid/>
              <w:spacing w:line="360" w:lineRule="auto"/>
              <w:ind w:firstLine="48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11、与《中华人民共和国长江保护法》的相符性分析</w:t>
            </w:r>
          </w:p>
          <w:p w14:paraId="2B57C126">
            <w:pPr>
              <w:pStyle w:val="80"/>
              <w:adjustRightInd/>
              <w:snapToGrid/>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根据《中华人民共和国长江保护法》中：“第二十六条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14:paraId="255B6F1D">
            <w:pPr>
              <w:pStyle w:val="80"/>
              <w:adjustRightInd/>
              <w:snapToGrid/>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3AEBB45D">
            <w:pPr>
              <w:spacing w:line="360" w:lineRule="auto"/>
              <w:ind w:firstLine="480"/>
              <w:rPr>
                <w:color w:val="000000" w:themeColor="text1"/>
                <w:kern w:val="0"/>
                <w:sz w:val="24"/>
                <w:szCs w:val="32"/>
                <w14:textFill>
                  <w14:solidFill>
                    <w14:schemeClr w14:val="tx1"/>
                  </w14:solidFill>
                </w14:textFill>
              </w:rPr>
            </w:pPr>
            <w:r>
              <w:rPr>
                <w:rFonts w:hint="eastAsia"/>
                <w:color w:val="000000" w:themeColor="text1"/>
                <w:kern w:val="0"/>
                <w:sz w:val="24"/>
                <w:szCs w:val="32"/>
                <w14:textFill>
                  <w14:solidFill>
                    <w14:schemeClr w14:val="tx1"/>
                  </w14:solidFill>
                </w14:textFill>
              </w:rPr>
              <w:t>本项目为有机肥料制造项目，不属于新建、改建、扩建尾矿库，不在长江干支流岸线1公里范围内，与《中华人民共和国长江保护法》相符。</w:t>
            </w:r>
          </w:p>
          <w:p w14:paraId="0A2BFF2F">
            <w:pPr>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12</w:t>
            </w:r>
            <w:r>
              <w:rPr>
                <w:b/>
                <w:bCs/>
                <w:color w:val="000000" w:themeColor="text1"/>
                <w:kern w:val="0"/>
                <w:sz w:val="24"/>
                <w14:textFill>
                  <w14:solidFill>
                    <w14:schemeClr w14:val="tx1"/>
                  </w14:solidFill>
                </w14:textFill>
              </w:rPr>
              <w:t>、项目平面布置合理性分析</w:t>
            </w:r>
          </w:p>
          <w:p w14:paraId="229C2861">
            <w:pPr>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街道办事处。</w:t>
            </w:r>
          </w:p>
          <w:p w14:paraId="79E1E7E9">
            <w:pPr>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粉状有机肥生产车间项目区内由北至南分别为原料区、生产线、产品区，分区简单合理，满足生产需要。水溶肥生产区域由北至南分别为操作平台（包含罐装区、储存罐、搅拌罐、发酵罐）、原料区及成品区，分区简单合理，满足生产需要。宿舍楼依托位于粉状有机肥生产车间东北侧，项目废气排放对厂内员工影响不大，项目下风向500m内无大气环境敏感目标，项目废气经大气扩散后对周边环境影响较小。综上</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总平面布置合理。</w:t>
            </w:r>
            <w:r>
              <w:rPr>
                <w:rFonts w:hint="eastAsia"/>
                <w:color w:val="000000" w:themeColor="text1"/>
                <w:sz w:val="24"/>
                <w14:textFill>
                  <w14:solidFill>
                    <w14:schemeClr w14:val="tx1"/>
                  </w14:solidFill>
                </w14:textFill>
              </w:rPr>
              <w:t>项目区平面布置图详见附图5、附图6。</w:t>
            </w:r>
          </w:p>
          <w:p w14:paraId="6164C645">
            <w:pPr>
              <w:pStyle w:val="62"/>
              <w:spacing w:before="120" w:beforeLines="50"/>
              <w:ind w:firstLine="480"/>
              <w:rPr>
                <w:color w:val="000000" w:themeColor="text1"/>
                <w:kern w:val="0"/>
                <w14:textFill>
                  <w14:solidFill>
                    <w14:schemeClr w14:val="tx1"/>
                  </w14:solidFill>
                </w14:textFill>
              </w:rPr>
            </w:pPr>
          </w:p>
          <w:p w14:paraId="45B9BDE6">
            <w:pPr>
              <w:rPr>
                <w:color w:val="000000" w:themeColor="text1"/>
                <w:kern w:val="0"/>
                <w:sz w:val="24"/>
                <w14:textFill>
                  <w14:solidFill>
                    <w14:schemeClr w14:val="tx1"/>
                  </w14:solidFill>
                </w14:textFill>
              </w:rPr>
            </w:pPr>
          </w:p>
          <w:p w14:paraId="647ED2B4">
            <w:pPr>
              <w:rPr>
                <w:color w:val="000000" w:themeColor="text1"/>
                <w:kern w:val="0"/>
                <w:sz w:val="24"/>
                <w14:textFill>
                  <w14:solidFill>
                    <w14:schemeClr w14:val="tx1"/>
                  </w14:solidFill>
                </w14:textFill>
              </w:rPr>
            </w:pPr>
          </w:p>
          <w:p w14:paraId="679A8633">
            <w:pPr>
              <w:rPr>
                <w:color w:val="000000" w:themeColor="text1"/>
                <w:kern w:val="0"/>
                <w:sz w:val="24"/>
                <w14:textFill>
                  <w14:solidFill>
                    <w14:schemeClr w14:val="tx1"/>
                  </w14:solidFill>
                </w14:textFill>
              </w:rPr>
            </w:pPr>
          </w:p>
        </w:tc>
      </w:tr>
    </w:tbl>
    <w:p w14:paraId="058C6BAF">
      <w:pPr>
        <w:rPr>
          <w:rFonts w:hint="eastAsia" w:ascii="黑体" w:hAnsi="黑体" w:eastAsia="黑体"/>
          <w:color w:val="000000" w:themeColor="text1"/>
          <w:kern w:val="0"/>
          <w:sz w:val="30"/>
          <w:szCs w:val="30"/>
          <w14:textFill>
            <w14:solidFill>
              <w14:schemeClr w14:val="tx1"/>
            </w14:solidFill>
          </w14:textFill>
        </w:rPr>
      </w:pPr>
      <w:bookmarkStart w:id="21" w:name="_Toc2635"/>
      <w:bookmarkStart w:id="22" w:name="_Toc22797"/>
      <w:r>
        <w:rPr>
          <w:rFonts w:hint="eastAsia" w:ascii="黑体" w:hAnsi="黑体" w:eastAsia="黑体"/>
          <w:color w:val="000000" w:themeColor="text1"/>
          <w:kern w:val="0"/>
          <w:sz w:val="30"/>
          <w:szCs w:val="30"/>
          <w14:textFill>
            <w14:solidFill>
              <w14:schemeClr w14:val="tx1"/>
            </w14:solidFill>
          </w14:textFill>
        </w:rPr>
        <w:br w:type="page"/>
      </w:r>
    </w:p>
    <w:p w14:paraId="7DD5257F">
      <w:pPr>
        <w:pStyle w:val="39"/>
        <w:widowControl w:val="0"/>
        <w:jc w:val="center"/>
        <w:outlineLvl w:val="0"/>
        <w:rPr>
          <w:rFonts w:hint="eastAsia" w:ascii="黑体" w:hAnsi="黑体" w:eastAsia="黑体"/>
          <w:color w:val="000000" w:themeColor="text1"/>
          <w:kern w:val="0"/>
          <w:sz w:val="30"/>
          <w:szCs w:val="30"/>
          <w14:textFill>
            <w14:solidFill>
              <w14:schemeClr w14:val="tx1"/>
            </w14:solidFill>
          </w14:textFill>
        </w:rPr>
      </w:pPr>
      <w:bookmarkStart w:id="23" w:name="_Toc30114"/>
      <w:bookmarkStart w:id="24" w:name="_Toc416"/>
      <w:r>
        <w:rPr>
          <w:rFonts w:hint="eastAsia" w:ascii="黑体" w:hAnsi="黑体" w:eastAsia="黑体"/>
          <w:color w:val="000000" w:themeColor="text1"/>
          <w:kern w:val="0"/>
          <w:sz w:val="30"/>
          <w:szCs w:val="30"/>
          <w14:textFill>
            <w14:solidFill>
              <w14:schemeClr w14:val="tx1"/>
            </w14:solidFill>
          </w14:textFill>
        </w:rPr>
        <w:t>二、建设项目工程分析</w:t>
      </w:r>
      <w:bookmarkEnd w:id="21"/>
      <w:bookmarkEnd w:id="22"/>
      <w:bookmarkEnd w:id="23"/>
      <w:bookmarkEnd w:id="2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2"/>
        <w:gridCol w:w="8876"/>
      </w:tblGrid>
      <w:tr w14:paraId="244CA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56F1F010">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14:textFill>
                  <w14:solidFill>
                    <w14:schemeClr w14:val="tx1"/>
                  </w14:solidFill>
                </w14:textFill>
              </w:rPr>
              <w:t>建设内容</w:t>
            </w:r>
          </w:p>
        </w:tc>
        <w:tc>
          <w:tcPr>
            <w:tcW w:w="8547" w:type="dxa"/>
          </w:tcPr>
          <w:p w14:paraId="09925AE2">
            <w:p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w:t>
            </w:r>
            <w:r>
              <w:rPr>
                <w:rFonts w:hint="eastAsia"/>
                <w:b/>
                <w:color w:val="000000" w:themeColor="text1"/>
                <w:kern w:val="0"/>
                <w:sz w:val="24"/>
                <w14:textFill>
                  <w14:solidFill>
                    <w14:schemeClr w14:val="tx1"/>
                  </w14:solidFill>
                </w14:textFill>
              </w:rPr>
              <w:t>、项目基本情况</w:t>
            </w:r>
          </w:p>
          <w:p w14:paraId="0028DD1B">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14:textFill>
                  <w14:solidFill>
                    <w14:schemeClr w14:val="tx1"/>
                  </w14:solidFill>
                </w14:textFill>
              </w:rPr>
              <w:t>2025年8月，因公司考虑运营成本问题及市场问题，计划在原</w:t>
            </w:r>
            <w:r>
              <w:rPr>
                <w:rFonts w:hint="eastAsia" w:ascii="宋体" w:hAnsi="宋体" w:cs="宋体"/>
                <w:color w:val="000000" w:themeColor="text1"/>
                <w:kern w:val="0"/>
                <w:sz w:val="24"/>
                <w:lang w:bidi="ar"/>
                <w14:textFill>
                  <w14:solidFill>
                    <w14:schemeClr w14:val="tx1"/>
                  </w14:solidFill>
                </w14:textFill>
              </w:rPr>
              <w:t>果蔬废弃物处理生产线基础上，增设2条生产线</w:t>
            </w:r>
            <w:r>
              <w:rPr>
                <w:rFonts w:hint="eastAsia"/>
                <w:color w:val="000000" w:themeColor="text1"/>
                <w:kern w:val="0"/>
                <w:sz w:val="24"/>
                <w14:textFill>
                  <w14:solidFill>
                    <w14:schemeClr w14:val="tx1"/>
                  </w14:solidFill>
                </w14:textFill>
              </w:rPr>
              <w:t>进行有机肥制造，</w:t>
            </w:r>
            <w:r>
              <w:rPr>
                <w:rFonts w:hint="eastAsia"/>
                <w:color w:val="000000" w:themeColor="text1"/>
                <w:kern w:val="0"/>
                <w:sz w:val="24"/>
                <w:lang w:val="en-US" w:eastAsia="zh-CN"/>
                <w14:textFill>
                  <w14:solidFill>
                    <w14:schemeClr w14:val="tx1"/>
                  </w14:solidFill>
                </w14:textFill>
              </w:rPr>
              <w:t>果蔬废弃物原料未增加，</w:t>
            </w:r>
            <w:r>
              <w:rPr>
                <w:rFonts w:hint="eastAsia"/>
                <w:color w:val="000000" w:themeColor="text1"/>
                <w:kern w:val="0"/>
                <w:sz w:val="24"/>
                <w14:textFill>
                  <w14:solidFill>
                    <w14:schemeClr w14:val="tx1"/>
                  </w14:solidFill>
                </w14:textFill>
              </w:rPr>
              <w:t>主要计划生产液态水溶肥及固态粉状有机肥两种产品。拟建项目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街道办事处。</w:t>
            </w:r>
          </w:p>
          <w:p w14:paraId="4312E35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保护法》、《中华人民共和国环境影响评价法》和《建设项目环境保护管理条例》（国务院令第682号）的规定，本项目应进行环境影响评价；根据《建设项目环境影响评价分类管理名录（2021年版）》，应编制环境影响报告表。环评类别见表2-1。</w:t>
            </w:r>
          </w:p>
          <w:p w14:paraId="2F3FF24A">
            <w:pPr>
              <w:tabs>
                <w:tab w:val="left" w:pos="2395"/>
              </w:tabs>
              <w:ind w:firstLine="482"/>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表2-1  环评类别一览表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590"/>
              <w:gridCol w:w="1894"/>
              <w:gridCol w:w="1574"/>
              <w:gridCol w:w="936"/>
              <w:gridCol w:w="1908"/>
            </w:tblGrid>
            <w:tr w14:paraId="799A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50"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4153D1D1">
                  <w:pPr>
                    <w:tabs>
                      <w:tab w:val="left" w:pos="2395"/>
                    </w:tabs>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环评类别</w:t>
                  </w:r>
                </w:p>
                <w:p w14:paraId="5093F547">
                  <w:pPr>
                    <w:tabs>
                      <w:tab w:val="left" w:pos="2395"/>
                    </w:tabs>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项目类别</w:t>
                  </w:r>
                </w:p>
              </w:tc>
              <w:tc>
                <w:tcPr>
                  <w:tcW w:w="1095" w:type="pct"/>
                  <w:tcBorders>
                    <w:top w:val="single" w:color="auto" w:sz="4" w:space="0"/>
                    <w:left w:val="single" w:color="auto" w:sz="4" w:space="0"/>
                    <w:bottom w:val="single" w:color="auto" w:sz="4" w:space="0"/>
                    <w:right w:val="single" w:color="auto" w:sz="4" w:space="0"/>
                  </w:tcBorders>
                  <w:vAlign w:val="center"/>
                </w:tcPr>
                <w:p w14:paraId="12E106DA">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报告书</w:t>
                  </w:r>
                </w:p>
              </w:tc>
              <w:tc>
                <w:tcPr>
                  <w:tcW w:w="910" w:type="pct"/>
                  <w:tcBorders>
                    <w:top w:val="single" w:color="auto" w:sz="4" w:space="0"/>
                    <w:left w:val="single" w:color="auto" w:sz="4" w:space="0"/>
                    <w:bottom w:val="single" w:color="auto" w:sz="4" w:space="0"/>
                    <w:right w:val="single" w:color="auto" w:sz="4" w:space="0"/>
                  </w:tcBorders>
                  <w:vAlign w:val="center"/>
                </w:tcPr>
                <w:p w14:paraId="1F2A7350">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报告表</w:t>
                  </w:r>
                </w:p>
              </w:tc>
              <w:tc>
                <w:tcPr>
                  <w:tcW w:w="540" w:type="pct"/>
                  <w:tcBorders>
                    <w:top w:val="single" w:color="auto" w:sz="4" w:space="0"/>
                    <w:left w:val="single" w:color="auto" w:sz="4" w:space="0"/>
                    <w:bottom w:val="single" w:color="auto" w:sz="4" w:space="0"/>
                    <w:right w:val="single" w:color="auto" w:sz="4" w:space="0"/>
                  </w:tcBorders>
                  <w:vAlign w:val="center"/>
                </w:tcPr>
                <w:p w14:paraId="6F6A6876">
                  <w:pPr>
                    <w:tabs>
                      <w:tab w:val="left" w:pos="2395"/>
                    </w:tabs>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登记表</w:t>
                  </w:r>
                </w:p>
              </w:tc>
              <w:tc>
                <w:tcPr>
                  <w:tcW w:w="1103" w:type="pct"/>
                  <w:tcBorders>
                    <w:top w:val="single" w:color="auto" w:sz="4" w:space="0"/>
                    <w:left w:val="single" w:color="auto" w:sz="4" w:space="0"/>
                    <w:bottom w:val="single" w:color="auto" w:sz="4" w:space="0"/>
                    <w:right w:val="single" w:color="auto" w:sz="4" w:space="0"/>
                  </w:tcBorders>
                  <w:vAlign w:val="center"/>
                </w:tcPr>
                <w:p w14:paraId="09D2180E">
                  <w:pPr>
                    <w:tabs>
                      <w:tab w:val="left" w:pos="2395"/>
                    </w:tabs>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w:t>
                  </w:r>
                </w:p>
              </w:tc>
            </w:tr>
            <w:tr w14:paraId="7F24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96" w:type="pct"/>
                  <w:gridSpan w:val="5"/>
                  <w:tcBorders>
                    <w:top w:val="single" w:color="auto" w:sz="4" w:space="0"/>
                    <w:left w:val="single" w:color="auto" w:sz="4" w:space="0"/>
                    <w:bottom w:val="single" w:color="auto" w:sz="4" w:space="0"/>
                    <w:right w:val="single" w:color="auto" w:sz="4" w:space="0"/>
                  </w:tcBorders>
                  <w:vAlign w:val="center"/>
                </w:tcPr>
                <w:p w14:paraId="4A99EE7D">
                  <w:pPr>
                    <w:tabs>
                      <w:tab w:val="left" w:pos="2395"/>
                    </w:tabs>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二十三、化学原料和化学制品制造业 26</w:t>
                  </w:r>
                </w:p>
              </w:tc>
              <w:tc>
                <w:tcPr>
                  <w:tcW w:w="1103" w:type="pct"/>
                  <w:tcBorders>
                    <w:top w:val="single" w:color="auto" w:sz="4" w:space="0"/>
                    <w:left w:val="single" w:color="auto" w:sz="4" w:space="0"/>
                    <w:bottom w:val="single" w:color="auto" w:sz="4" w:space="0"/>
                    <w:right w:val="single" w:color="auto" w:sz="4" w:space="0"/>
                  </w:tcBorders>
                  <w:vAlign w:val="center"/>
                </w:tcPr>
                <w:p w14:paraId="3E0C53FF">
                  <w:pPr>
                    <w:tabs>
                      <w:tab w:val="left" w:pos="2395"/>
                    </w:tabs>
                    <w:jc w:val="center"/>
                    <w:rPr>
                      <w:color w:val="000000" w:themeColor="text1"/>
                      <w:szCs w:val="21"/>
                      <w14:textFill>
                        <w14:solidFill>
                          <w14:schemeClr w14:val="tx1"/>
                        </w14:solidFill>
                      </w14:textFill>
                    </w:rPr>
                  </w:pPr>
                </w:p>
              </w:tc>
            </w:tr>
            <w:tr w14:paraId="68B9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0671B0CA">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w:t>
                  </w:r>
                </w:p>
              </w:tc>
              <w:tc>
                <w:tcPr>
                  <w:tcW w:w="919" w:type="pct"/>
                  <w:tcBorders>
                    <w:top w:val="single" w:color="auto" w:sz="4" w:space="0"/>
                    <w:left w:val="single" w:color="auto" w:sz="4" w:space="0"/>
                    <w:bottom w:val="single" w:color="auto" w:sz="4" w:space="0"/>
                    <w:right w:val="single" w:color="auto" w:sz="4" w:space="0"/>
                  </w:tcBorders>
                  <w:vAlign w:val="center"/>
                </w:tcPr>
                <w:p w14:paraId="7F51CD1E">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肥料制造 262</w:t>
                  </w:r>
                </w:p>
              </w:tc>
              <w:tc>
                <w:tcPr>
                  <w:tcW w:w="1095" w:type="pct"/>
                  <w:tcBorders>
                    <w:top w:val="single" w:color="auto" w:sz="4" w:space="0"/>
                    <w:left w:val="single" w:color="auto" w:sz="4" w:space="0"/>
                    <w:bottom w:val="single" w:color="auto" w:sz="4" w:space="0"/>
                    <w:right w:val="single" w:color="auto" w:sz="4" w:space="0"/>
                  </w:tcBorders>
                  <w:vAlign w:val="center"/>
                </w:tcPr>
                <w:p w14:paraId="0DA15E48">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化学方法生产氮肥、磷肥、复混肥的</w:t>
                  </w:r>
                </w:p>
              </w:tc>
              <w:tc>
                <w:tcPr>
                  <w:tcW w:w="910" w:type="pct"/>
                  <w:tcBorders>
                    <w:top w:val="single" w:color="auto" w:sz="4" w:space="0"/>
                    <w:left w:val="single" w:color="auto" w:sz="4" w:space="0"/>
                    <w:bottom w:val="single" w:color="auto" w:sz="4" w:space="0"/>
                    <w:right w:val="single" w:color="auto" w:sz="4" w:space="0"/>
                  </w:tcBorders>
                  <w:vAlign w:val="center"/>
                </w:tcPr>
                <w:p w14:paraId="4B641580">
                  <w:pPr>
                    <w:tabs>
                      <w:tab w:val="left" w:pos="2395"/>
                    </w:tabs>
                    <w:jc w:val="center"/>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其他</w:t>
                  </w:r>
                </w:p>
              </w:tc>
              <w:tc>
                <w:tcPr>
                  <w:tcW w:w="540" w:type="pct"/>
                  <w:tcBorders>
                    <w:top w:val="single" w:color="auto" w:sz="4" w:space="0"/>
                    <w:left w:val="single" w:color="auto" w:sz="4" w:space="0"/>
                    <w:bottom w:val="single" w:color="auto" w:sz="4" w:space="0"/>
                    <w:right w:val="single" w:color="auto" w:sz="4" w:space="0"/>
                  </w:tcBorders>
                  <w:vAlign w:val="center"/>
                </w:tcPr>
                <w:p w14:paraId="7C85CF8E">
                  <w:pPr>
                    <w:tabs>
                      <w:tab w:val="left" w:pos="2395"/>
                    </w:tabs>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103" w:type="pct"/>
                  <w:tcBorders>
                    <w:top w:val="single" w:color="auto" w:sz="4" w:space="0"/>
                    <w:left w:val="single" w:color="auto" w:sz="4" w:space="0"/>
                    <w:bottom w:val="single" w:color="auto" w:sz="4" w:space="0"/>
                    <w:right w:val="single" w:color="auto" w:sz="4" w:space="0"/>
                  </w:tcBorders>
                  <w:vAlign w:val="center"/>
                </w:tcPr>
                <w:p w14:paraId="13A272E1">
                  <w:pPr>
                    <w:tabs>
                      <w:tab w:val="left" w:pos="2395"/>
                    </w:tabs>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技改后新增年产</w:t>
                  </w:r>
                  <w:r>
                    <w:rPr>
                      <w:rFonts w:hint="eastAsia"/>
                      <w:bCs/>
                      <w:color w:val="000000" w:themeColor="text1"/>
                      <w:szCs w:val="21"/>
                      <w:lang w:val="en-US" w:eastAsia="zh-CN"/>
                      <w14:textFill>
                        <w14:solidFill>
                          <w14:schemeClr w14:val="tx1"/>
                        </w14:solidFill>
                      </w14:textFill>
                    </w:rPr>
                    <w:t>8000</w:t>
                  </w:r>
                  <w:r>
                    <w:rPr>
                      <w:rFonts w:hint="eastAsia"/>
                      <w:bCs/>
                      <w:color w:val="000000" w:themeColor="text1"/>
                      <w:szCs w:val="21"/>
                      <w14:textFill>
                        <w14:solidFill>
                          <w14:schemeClr w14:val="tx1"/>
                        </w14:solidFill>
                      </w14:textFill>
                    </w:rPr>
                    <w:t>吨液态肥；新增年产</w:t>
                  </w:r>
                  <w:r>
                    <w:rPr>
                      <w:rFonts w:hint="eastAsia"/>
                      <w:bCs/>
                      <w:color w:val="000000" w:themeColor="text1"/>
                      <w:szCs w:val="21"/>
                      <w:lang w:val="en-US" w:eastAsia="zh-CN"/>
                      <w14:textFill>
                        <w14:solidFill>
                          <w14:schemeClr w14:val="tx1"/>
                        </w14:solidFill>
                      </w14:textFill>
                    </w:rPr>
                    <w:t>80000</w:t>
                  </w:r>
                  <w:r>
                    <w:rPr>
                      <w:rFonts w:hint="eastAsia"/>
                      <w:bCs/>
                      <w:color w:val="000000" w:themeColor="text1"/>
                      <w:szCs w:val="21"/>
                      <w14:textFill>
                        <w14:solidFill>
                          <w14:schemeClr w14:val="tx1"/>
                        </w14:solidFill>
                      </w14:textFill>
                    </w:rPr>
                    <w:t>吨固态肥；不涉及化学方法</w:t>
                  </w:r>
                </w:p>
              </w:tc>
            </w:tr>
          </w:tbl>
          <w:p w14:paraId="5A10255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为此，建设单位委托云南凯风安全环保技术工程有限公司对项目开展环境影响评价工作。接受委托后，环评单位组织技术人员开展了现场踏勘，在资料收集的基础上，按照国家对建设项目环境影响评价的有关规定和有关环保政策、技术规范，并编制了《</w:t>
            </w:r>
            <w:r>
              <w:rPr>
                <w:rFonts w:hint="eastAsia"/>
                <w:color w:val="000000" w:themeColor="text1"/>
                <w:sz w:val="24"/>
                <w:szCs w:val="22"/>
                <w14:textFill>
                  <w14:solidFill>
                    <w14:schemeClr w14:val="tx1"/>
                  </w14:solidFill>
                </w14:textFill>
              </w:rPr>
              <w:t>云南錦创环境科技有限公司改扩建</w:t>
            </w:r>
            <w:r>
              <w:rPr>
                <w:rFonts w:hint="eastAsia"/>
                <w:bCs/>
                <w:color w:val="000000" w:themeColor="text1"/>
                <w:kern w:val="0"/>
                <w:sz w:val="24"/>
                <w14:textFill>
                  <w14:solidFill>
                    <w14:schemeClr w14:val="tx1"/>
                  </w14:solidFill>
                </w14:textFill>
              </w:rPr>
              <w:t>环境影响报告表》供建设单位上报审查。</w:t>
            </w:r>
          </w:p>
          <w:p w14:paraId="12BF8667">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、建设项目内容及项目组成</w:t>
            </w:r>
          </w:p>
          <w:p w14:paraId="2AC1A2D2">
            <w:pPr>
              <w:adjustRightInd w:val="0"/>
              <w:snapToGrid w:val="0"/>
              <w:spacing w:line="360" w:lineRule="auto"/>
              <w:ind w:firstLine="482" w:firstLineChars="200"/>
              <w:rPr>
                <w:color w:val="000000" w:themeColor="text1"/>
                <w:sz w:val="24"/>
                <w:szCs w:val="22"/>
                <w14:textFill>
                  <w14:solidFill>
                    <w14:schemeClr w14:val="tx1"/>
                  </w14:solidFill>
                </w14:textFill>
              </w:rPr>
            </w:pPr>
            <w:r>
              <w:rPr>
                <w:b/>
                <w:color w:val="000000" w:themeColor="text1"/>
                <w:sz w:val="24"/>
                <w14:textFill>
                  <w14:solidFill>
                    <w14:schemeClr w14:val="tx1"/>
                  </w14:solidFill>
                </w14:textFill>
              </w:rPr>
              <w:t>项目名称：</w:t>
            </w:r>
            <w:r>
              <w:rPr>
                <w:rFonts w:hint="eastAsia"/>
                <w:color w:val="000000" w:themeColor="text1"/>
                <w:sz w:val="24"/>
                <w:szCs w:val="22"/>
                <w14:textFill>
                  <w14:solidFill>
                    <w14:schemeClr w14:val="tx1"/>
                  </w14:solidFill>
                </w14:textFill>
              </w:rPr>
              <w:t>云南錦创环境科技有限公司改扩建</w:t>
            </w:r>
          </w:p>
          <w:p w14:paraId="4B429BBD">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项目性质：</w:t>
            </w:r>
            <w:r>
              <w:rPr>
                <w:rFonts w:hint="eastAsia"/>
                <w:bCs/>
                <w:color w:val="000000" w:themeColor="text1"/>
                <w:sz w:val="24"/>
                <w14:textFill>
                  <w14:solidFill>
                    <w14:schemeClr w14:val="tx1"/>
                  </w14:solidFill>
                </w14:textFill>
              </w:rPr>
              <w:t>扩建</w:t>
            </w:r>
          </w:p>
          <w:p w14:paraId="40D8DE55">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建设单位：</w:t>
            </w:r>
            <w:r>
              <w:rPr>
                <w:rFonts w:hint="eastAsia"/>
                <w:color w:val="000000" w:themeColor="text1"/>
                <w:sz w:val="24"/>
                <w:szCs w:val="22"/>
                <w14:textFill>
                  <w14:solidFill>
                    <w14:schemeClr w14:val="tx1"/>
                  </w14:solidFill>
                </w14:textFill>
              </w:rPr>
              <w:t>云南錦创环境科技有限公司</w:t>
            </w:r>
          </w:p>
          <w:p w14:paraId="5D66914E">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建设地点：</w:t>
            </w:r>
            <w:r>
              <w:rPr>
                <w:bCs/>
                <w:color w:val="000000" w:themeColor="text1"/>
                <w:sz w:val="24"/>
                <w14:textFill>
                  <w14:solidFill>
                    <w14:schemeClr w14:val="tx1"/>
                  </w14:solidFill>
                </w14:textFill>
              </w:rPr>
              <w:t>仁德街道道院社区大法古村</w:t>
            </w:r>
          </w:p>
          <w:p w14:paraId="5B8DBCBE">
            <w:pPr>
              <w:adjustRightInd w:val="0"/>
              <w:snapToGrid w:val="0"/>
              <w:spacing w:line="360" w:lineRule="auto"/>
              <w:ind w:firstLine="482" w:firstLineChars="200"/>
              <w:rPr>
                <w:bCs/>
                <w:color w:val="000000" w:themeColor="text1"/>
                <w:sz w:val="24"/>
                <w14:textFill>
                  <w14:solidFill>
                    <w14:schemeClr w14:val="tx1"/>
                  </w14:solidFill>
                </w14:textFill>
              </w:rPr>
            </w:pPr>
            <w:r>
              <w:rPr>
                <w:b/>
                <w:color w:val="000000" w:themeColor="text1"/>
                <w:sz w:val="24"/>
                <w14:textFill>
                  <w14:solidFill>
                    <w14:schemeClr w14:val="tx1"/>
                  </w14:solidFill>
                </w14:textFill>
              </w:rPr>
              <w:t>项目投资：</w:t>
            </w:r>
            <w:r>
              <w:rPr>
                <w:rFonts w:hint="eastAsia"/>
                <w:bCs/>
                <w:color w:val="000000" w:themeColor="text1"/>
                <w:sz w:val="24"/>
                <w14:textFill>
                  <w14:solidFill>
                    <w14:schemeClr w14:val="tx1"/>
                  </w14:solidFill>
                </w14:textFill>
              </w:rPr>
              <w:t>520万元</w:t>
            </w:r>
            <w:r>
              <w:rPr>
                <w:bCs/>
                <w:color w:val="000000" w:themeColor="text1"/>
                <w:sz w:val="24"/>
                <w14:textFill>
                  <w14:solidFill>
                    <w14:schemeClr w14:val="tx1"/>
                  </w14:solidFill>
                </w14:textFill>
              </w:rPr>
              <w:t>，其中环保投资</w:t>
            </w:r>
            <w:r>
              <w:rPr>
                <w:rFonts w:hint="eastAsia"/>
                <w:color w:val="000000" w:themeColor="text1"/>
                <w:sz w:val="24"/>
                <w:szCs w:val="32"/>
                <w14:textFill>
                  <w14:solidFill>
                    <w14:schemeClr w14:val="tx1"/>
                  </w14:solidFill>
                </w14:textFill>
              </w:rPr>
              <w:t>77.5</w:t>
            </w:r>
            <w:r>
              <w:rPr>
                <w:bCs/>
                <w:color w:val="000000" w:themeColor="text1"/>
                <w:sz w:val="24"/>
                <w14:textFill>
                  <w14:solidFill>
                    <w14:schemeClr w14:val="tx1"/>
                  </w14:solidFill>
                </w14:textFill>
              </w:rPr>
              <w:t>万元</w:t>
            </w:r>
            <w:r>
              <w:rPr>
                <w:rFonts w:hint="eastAsia"/>
                <w:bCs/>
                <w:color w:val="000000" w:themeColor="text1"/>
                <w:sz w:val="24"/>
                <w14:textFill>
                  <w14:solidFill>
                    <w14:schemeClr w14:val="tx1"/>
                  </w14:solidFill>
                </w14:textFill>
              </w:rPr>
              <w:t>，占总投资14.9%</w:t>
            </w:r>
          </w:p>
          <w:p w14:paraId="581C400A">
            <w:pPr>
              <w:adjustRightInd w:val="0"/>
              <w:snapToGrid w:val="0"/>
              <w:spacing w:line="360" w:lineRule="auto"/>
              <w:ind w:firstLine="482" w:firstLineChars="200"/>
              <w:rPr>
                <w:bCs/>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建设内容及规模：</w:t>
            </w:r>
            <w:r>
              <w:rPr>
                <w:rFonts w:hint="eastAsia"/>
                <w:bCs/>
                <w:color w:val="000000" w:themeColor="text1"/>
                <w:kern w:val="0"/>
                <w:sz w:val="24"/>
                <w14:textFill>
                  <w14:solidFill>
                    <w14:schemeClr w14:val="tx1"/>
                  </w14:solidFill>
                </w14:textFill>
              </w:rPr>
              <w:t>本项目新增占地面积3.6亩。租用</w:t>
            </w:r>
            <w:r>
              <w:rPr>
                <w:rFonts w:hint="eastAsia"/>
                <w:color w:val="000000" w:themeColor="text1"/>
                <w:kern w:val="0"/>
                <w:sz w:val="24"/>
                <w14:textFill>
                  <w14:solidFill>
                    <w14:schemeClr w14:val="tx1"/>
                  </w14:solidFill>
                </w14:textFill>
              </w:rPr>
              <w:t>大法古村土地</w:t>
            </w:r>
            <w:r>
              <w:rPr>
                <w:rFonts w:hint="eastAsia"/>
                <w:bCs/>
                <w:color w:val="000000" w:themeColor="text1"/>
                <w:kern w:val="0"/>
                <w:sz w:val="24"/>
                <w14:textFill>
                  <w14:solidFill>
                    <w14:schemeClr w14:val="tx1"/>
                  </w14:solidFill>
                </w14:textFill>
              </w:rPr>
              <w:t>进行建设，主要建设1条粉状有机肥生产线及其他辅助设施、环保设施；1条液态水溶肥生产线及其他辅助设施、环保设施；项目建成后年产液态水溶肥</w:t>
            </w:r>
            <w:r>
              <w:rPr>
                <w:rFonts w:hint="eastAsia"/>
                <w:bCs/>
                <w:color w:val="000000" w:themeColor="text1"/>
                <w:kern w:val="0"/>
                <w:sz w:val="24"/>
                <w:lang w:val="en-US" w:eastAsia="zh-CN"/>
                <w14:textFill>
                  <w14:solidFill>
                    <w14:schemeClr w14:val="tx1"/>
                  </w14:solidFill>
                </w14:textFill>
              </w:rPr>
              <w:t>80</w:t>
            </w:r>
            <w:r>
              <w:rPr>
                <w:rFonts w:hint="eastAsia"/>
                <w:bCs/>
                <w:color w:val="000000" w:themeColor="text1"/>
                <w:kern w:val="0"/>
                <w:sz w:val="24"/>
                <w14:textFill>
                  <w14:solidFill>
                    <w14:schemeClr w14:val="tx1"/>
                  </w14:solidFill>
                </w14:textFill>
              </w:rPr>
              <w:t>00t/a、粉状有机肥</w:t>
            </w:r>
            <w:r>
              <w:rPr>
                <w:rFonts w:hint="eastAsia"/>
                <w:bCs/>
                <w:color w:val="000000" w:themeColor="text1"/>
                <w:kern w:val="0"/>
                <w:sz w:val="24"/>
                <w:lang w:val="en-US" w:eastAsia="zh-CN"/>
                <w14:textFill>
                  <w14:solidFill>
                    <w14:schemeClr w14:val="tx1"/>
                  </w14:solidFill>
                </w14:textFill>
              </w:rPr>
              <w:t>80000</w:t>
            </w:r>
            <w:r>
              <w:rPr>
                <w:rFonts w:hint="eastAsia"/>
                <w:bCs/>
                <w:color w:val="000000" w:themeColor="text1"/>
                <w:kern w:val="0"/>
                <w:sz w:val="24"/>
                <w14:textFill>
                  <w14:solidFill>
                    <w14:schemeClr w14:val="tx1"/>
                  </w14:solidFill>
                </w14:textFill>
              </w:rPr>
              <w:t>t/a。其中，项目给排水、供电、员工食宿等均依托</w:t>
            </w:r>
            <w:r>
              <w:rPr>
                <w:rFonts w:hint="eastAsia"/>
                <w:color w:val="000000" w:themeColor="text1"/>
                <w:sz w:val="24"/>
                <w:szCs w:val="22"/>
                <w14:textFill>
                  <w14:solidFill>
                    <w14:schemeClr w14:val="tx1"/>
                  </w14:solidFill>
                </w14:textFill>
              </w:rPr>
              <w:t>云南錦创环境科技有限公司</w:t>
            </w:r>
            <w:r>
              <w:rPr>
                <w:rFonts w:hint="eastAsia"/>
                <w:bCs/>
                <w:color w:val="000000" w:themeColor="text1"/>
                <w:kern w:val="0"/>
                <w:sz w:val="24"/>
                <w14:textFill>
                  <w14:solidFill>
                    <w14:schemeClr w14:val="tx1"/>
                  </w14:solidFill>
                </w14:textFill>
              </w:rPr>
              <w:t>现有工程。</w:t>
            </w:r>
          </w:p>
          <w:p w14:paraId="051B5C1B">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w:t>
            </w:r>
            <w:r>
              <w:rPr>
                <w:rFonts w:hint="eastAsia"/>
                <w:bCs/>
                <w:color w:val="000000" w:themeColor="text1"/>
                <w:kern w:val="0"/>
                <w:sz w:val="24"/>
                <w14:textFill>
                  <w14:solidFill>
                    <w14:schemeClr w14:val="tx1"/>
                  </w14:solidFill>
                </w14:textFill>
              </w:rPr>
              <w:t>组成</w:t>
            </w:r>
            <w:r>
              <w:rPr>
                <w:bCs/>
                <w:color w:val="000000" w:themeColor="text1"/>
                <w:kern w:val="0"/>
                <w:sz w:val="24"/>
                <w14:textFill>
                  <w14:solidFill>
                    <w14:schemeClr w14:val="tx1"/>
                  </w14:solidFill>
                </w14:textFill>
              </w:rPr>
              <w:t>见表2-1。</w:t>
            </w:r>
          </w:p>
          <w:p w14:paraId="36496481">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表2-1  建设项目主要工程内容</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438"/>
              <w:gridCol w:w="227"/>
              <w:gridCol w:w="609"/>
              <w:gridCol w:w="708"/>
              <w:gridCol w:w="5186"/>
              <w:gridCol w:w="808"/>
            </w:tblGrid>
            <w:tr w14:paraId="2104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Align w:val="center"/>
                </w:tcPr>
                <w:p w14:paraId="2A996EF7">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类别</w:t>
                  </w:r>
                </w:p>
              </w:tc>
              <w:tc>
                <w:tcPr>
                  <w:tcW w:w="736" w:type="pct"/>
                  <w:gridSpan w:val="3"/>
                  <w:vAlign w:val="center"/>
                </w:tcPr>
                <w:p w14:paraId="19932429">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工程名称</w:t>
                  </w:r>
                </w:p>
              </w:tc>
              <w:tc>
                <w:tcPr>
                  <w:tcW w:w="3406" w:type="pct"/>
                  <w:gridSpan w:val="2"/>
                  <w:vAlign w:val="center"/>
                </w:tcPr>
                <w:p w14:paraId="5628FBE2">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主要建设内容及规模</w:t>
                  </w:r>
                </w:p>
              </w:tc>
              <w:tc>
                <w:tcPr>
                  <w:tcW w:w="467" w:type="pct"/>
                  <w:vAlign w:val="center"/>
                </w:tcPr>
                <w:p w14:paraId="01DC2389">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备注</w:t>
                  </w:r>
                </w:p>
              </w:tc>
            </w:tr>
            <w:tr w14:paraId="7D5A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8" w:type="pct"/>
                  <w:vMerge w:val="restart"/>
                  <w:vAlign w:val="center"/>
                </w:tcPr>
                <w:p w14:paraId="449B7563">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主体工程</w:t>
                  </w:r>
                </w:p>
              </w:tc>
              <w:tc>
                <w:tcPr>
                  <w:tcW w:w="384" w:type="pct"/>
                  <w:gridSpan w:val="2"/>
                  <w:vMerge w:val="restart"/>
                  <w:vAlign w:val="center"/>
                </w:tcPr>
                <w:p w14:paraId="186CBC8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生产厂房</w:t>
                  </w:r>
                </w:p>
              </w:tc>
              <w:tc>
                <w:tcPr>
                  <w:tcW w:w="352" w:type="pct"/>
                  <w:vMerge w:val="restart"/>
                  <w:vAlign w:val="center"/>
                </w:tcPr>
                <w:p w14:paraId="0F56035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果蔬干饲料车间</w:t>
                  </w:r>
                </w:p>
              </w:tc>
              <w:tc>
                <w:tcPr>
                  <w:tcW w:w="409" w:type="pct"/>
                  <w:vAlign w:val="center"/>
                </w:tcPr>
                <w:p w14:paraId="57C69AC4">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破碎压榨脱水车间</w:t>
                  </w:r>
                </w:p>
              </w:tc>
              <w:tc>
                <w:tcPr>
                  <w:tcW w:w="2997" w:type="pct"/>
                  <w:vAlign w:val="center"/>
                </w:tcPr>
                <w:p w14:paraId="7DE1B7FF">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位于项目区东北面，轻钢结构，建筑面积461.69m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，一层，高约10m，布置有卸料仓、破碎分选机、压榨机、输送机等，对果蔬废弃物进行破碎压榨脱水。</w:t>
                  </w:r>
                </w:p>
              </w:tc>
              <w:tc>
                <w:tcPr>
                  <w:tcW w:w="467" w:type="pct"/>
                  <w:vMerge w:val="restart"/>
                  <w:vAlign w:val="center"/>
                </w:tcPr>
                <w:p w14:paraId="7DA82AB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现有</w:t>
                  </w:r>
                  <w:r>
                    <w:rPr>
                      <w:rFonts w:hint="eastAsia"/>
                      <w:color w:val="000000" w:themeColor="text1"/>
                      <w:kern w:val="0"/>
                      <w:lang w:val="en-US" w:eastAsia="zh-CN"/>
                      <w14:textFill>
                        <w14:solidFill>
                          <w14:schemeClr w14:val="tx1"/>
                        </w14:solidFill>
                      </w14:textFill>
                    </w:rPr>
                    <w:t>依托</w:t>
                  </w:r>
                </w:p>
              </w:tc>
            </w:tr>
            <w:tr w14:paraId="0434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8" w:type="pct"/>
                  <w:vMerge w:val="continue"/>
                  <w:vAlign w:val="center"/>
                </w:tcPr>
                <w:p w14:paraId="24BD78A9">
                  <w:pPr>
                    <w:rPr>
                      <w:color w:val="000000" w:themeColor="text1"/>
                      <w14:textFill>
                        <w14:solidFill>
                          <w14:schemeClr w14:val="tx1"/>
                        </w14:solidFill>
                      </w14:textFill>
                    </w:rPr>
                  </w:pPr>
                </w:p>
              </w:tc>
              <w:tc>
                <w:tcPr>
                  <w:tcW w:w="384" w:type="pct"/>
                  <w:gridSpan w:val="2"/>
                  <w:vMerge w:val="continue"/>
                  <w:vAlign w:val="center"/>
                </w:tcPr>
                <w:p w14:paraId="1437BD43">
                  <w:pPr>
                    <w:rPr>
                      <w:color w:val="000000" w:themeColor="text1"/>
                      <w14:textFill>
                        <w14:solidFill>
                          <w14:schemeClr w14:val="tx1"/>
                        </w14:solidFill>
                      </w14:textFill>
                    </w:rPr>
                  </w:pPr>
                </w:p>
              </w:tc>
              <w:tc>
                <w:tcPr>
                  <w:tcW w:w="352" w:type="pct"/>
                  <w:vMerge w:val="continue"/>
                  <w:vAlign w:val="center"/>
                </w:tcPr>
                <w:p w14:paraId="1D6CFE0B">
                  <w:pPr>
                    <w:rPr>
                      <w:color w:val="000000" w:themeColor="text1"/>
                      <w14:textFill>
                        <w14:solidFill>
                          <w14:schemeClr w14:val="tx1"/>
                        </w14:solidFill>
                      </w14:textFill>
                    </w:rPr>
                  </w:pPr>
                </w:p>
              </w:tc>
              <w:tc>
                <w:tcPr>
                  <w:tcW w:w="409" w:type="pct"/>
                  <w:vAlign w:val="center"/>
                </w:tcPr>
                <w:p w14:paraId="102DE32E">
                  <w:pPr>
                    <w:rPr>
                      <w:color w:val="000000" w:themeColor="text1"/>
                      <w14:textFill>
                        <w14:solidFill>
                          <w14:schemeClr w14:val="tx1"/>
                        </w14:solidFill>
                      </w14:textFill>
                    </w:rPr>
                  </w:pPr>
                  <w:r>
                    <w:rPr>
                      <w:rFonts w:hint="eastAsia" w:cs="宋体"/>
                      <w:color w:val="000000" w:themeColor="text1"/>
                      <w:kern w:val="0"/>
                      <w:szCs w:val="21"/>
                      <w14:textFill>
                        <w14:solidFill>
                          <w14:schemeClr w14:val="tx1"/>
                        </w14:solidFill>
                      </w14:textFill>
                    </w:rPr>
                    <w:t>一级烘干车间</w:t>
                  </w:r>
                </w:p>
              </w:tc>
              <w:tc>
                <w:tcPr>
                  <w:tcW w:w="2997" w:type="pct"/>
                  <w:vAlign w:val="center"/>
                </w:tcPr>
                <w:p w14:paraId="4B17A89D">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位于破碎压榨脱水车间西南面，轻钢结构，建筑面积994.62m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，一层，高约6m，布置有菜渣缓冲料仓、热风炉、降尘室、烘干机、风机、输送机等，对蔬菜进行一级烘干。</w:t>
                  </w:r>
                </w:p>
              </w:tc>
              <w:tc>
                <w:tcPr>
                  <w:tcW w:w="467" w:type="pct"/>
                  <w:vMerge w:val="continue"/>
                  <w:vAlign w:val="center"/>
                </w:tcPr>
                <w:p w14:paraId="7536C6B2">
                  <w:pPr>
                    <w:rPr>
                      <w:color w:val="000000" w:themeColor="text1"/>
                      <w14:textFill>
                        <w14:solidFill>
                          <w14:schemeClr w14:val="tx1"/>
                        </w14:solidFill>
                      </w14:textFill>
                    </w:rPr>
                  </w:pPr>
                </w:p>
              </w:tc>
            </w:tr>
            <w:tr w14:paraId="6743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88" w:type="pct"/>
                  <w:vMerge w:val="continue"/>
                  <w:vAlign w:val="center"/>
                </w:tcPr>
                <w:p w14:paraId="19635B41">
                  <w:pPr>
                    <w:rPr>
                      <w:color w:val="000000" w:themeColor="text1"/>
                      <w14:textFill>
                        <w14:solidFill>
                          <w14:schemeClr w14:val="tx1"/>
                        </w14:solidFill>
                      </w14:textFill>
                    </w:rPr>
                  </w:pPr>
                </w:p>
              </w:tc>
              <w:tc>
                <w:tcPr>
                  <w:tcW w:w="384" w:type="pct"/>
                  <w:gridSpan w:val="2"/>
                  <w:vMerge w:val="continue"/>
                  <w:vAlign w:val="center"/>
                </w:tcPr>
                <w:p w14:paraId="33F19647">
                  <w:pPr>
                    <w:rPr>
                      <w:color w:val="000000" w:themeColor="text1"/>
                      <w14:textFill>
                        <w14:solidFill>
                          <w14:schemeClr w14:val="tx1"/>
                        </w14:solidFill>
                      </w14:textFill>
                    </w:rPr>
                  </w:pPr>
                </w:p>
              </w:tc>
              <w:tc>
                <w:tcPr>
                  <w:tcW w:w="352" w:type="pct"/>
                  <w:vMerge w:val="continue"/>
                  <w:vAlign w:val="center"/>
                </w:tcPr>
                <w:p w14:paraId="0A9EDF23">
                  <w:pPr>
                    <w:rPr>
                      <w:color w:val="000000" w:themeColor="text1"/>
                      <w14:textFill>
                        <w14:solidFill>
                          <w14:schemeClr w14:val="tx1"/>
                        </w14:solidFill>
                      </w14:textFill>
                    </w:rPr>
                  </w:pPr>
                </w:p>
              </w:tc>
              <w:tc>
                <w:tcPr>
                  <w:tcW w:w="409" w:type="pct"/>
                  <w:vAlign w:val="center"/>
                </w:tcPr>
                <w:p w14:paraId="261195C7">
                  <w:pPr>
                    <w:rPr>
                      <w:color w:val="000000" w:themeColor="text1"/>
                      <w14:textFill>
                        <w14:solidFill>
                          <w14:schemeClr w14:val="tx1"/>
                        </w14:solidFill>
                      </w14:textFill>
                    </w:rPr>
                  </w:pPr>
                  <w:r>
                    <w:rPr>
                      <w:rFonts w:hint="eastAsia"/>
                      <w:color w:val="000000" w:themeColor="text1"/>
                      <w14:textFill>
                        <w14:solidFill>
                          <w14:schemeClr w14:val="tx1"/>
                        </w14:solidFill>
                      </w14:textFill>
                    </w:rPr>
                    <w:t>二级烘干粉碎车间</w:t>
                  </w:r>
                </w:p>
              </w:tc>
              <w:tc>
                <w:tcPr>
                  <w:tcW w:w="2997" w:type="pct"/>
                  <w:vAlign w:val="center"/>
                </w:tcPr>
                <w:p w14:paraId="6DAB0DB5">
                  <w:pPr>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位于一级烘干车间西南面，轻钢结构，建筑面积2040.98m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，一层，高约6m，布置有热风炉、降尘室、烘干箱、风机、输送机、冷却机、粉碎机、打包机等，对蔬菜进行二级烘干，并冷却、粉碎、打包。</w:t>
                  </w:r>
                </w:p>
              </w:tc>
              <w:tc>
                <w:tcPr>
                  <w:tcW w:w="467" w:type="pct"/>
                  <w:vMerge w:val="continue"/>
                  <w:vAlign w:val="center"/>
                </w:tcPr>
                <w:p w14:paraId="5D86B278">
                  <w:pPr>
                    <w:rPr>
                      <w:color w:val="000000" w:themeColor="text1"/>
                      <w14:textFill>
                        <w14:solidFill>
                          <w14:schemeClr w14:val="tx1"/>
                        </w14:solidFill>
                      </w14:textFill>
                    </w:rPr>
                  </w:pPr>
                </w:p>
              </w:tc>
            </w:tr>
            <w:tr w14:paraId="5093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88" w:type="pct"/>
                  <w:vMerge w:val="continue"/>
                  <w:vAlign w:val="center"/>
                </w:tcPr>
                <w:p w14:paraId="2C4D082E">
                  <w:pPr>
                    <w:jc w:val="center"/>
                    <w:rPr>
                      <w:color w:val="000000" w:themeColor="text1"/>
                      <w:kern w:val="0"/>
                      <w14:textFill>
                        <w14:solidFill>
                          <w14:schemeClr w14:val="tx1"/>
                        </w14:solidFill>
                      </w14:textFill>
                    </w:rPr>
                  </w:pPr>
                </w:p>
              </w:tc>
              <w:tc>
                <w:tcPr>
                  <w:tcW w:w="384" w:type="pct"/>
                  <w:gridSpan w:val="2"/>
                  <w:vMerge w:val="continue"/>
                  <w:vAlign w:val="center"/>
                </w:tcPr>
                <w:p w14:paraId="33E9A2D9">
                  <w:pPr>
                    <w:jc w:val="center"/>
                    <w:rPr>
                      <w:color w:val="000000" w:themeColor="text1"/>
                      <w:kern w:val="0"/>
                      <w14:textFill>
                        <w14:solidFill>
                          <w14:schemeClr w14:val="tx1"/>
                        </w14:solidFill>
                      </w14:textFill>
                    </w:rPr>
                  </w:pPr>
                </w:p>
              </w:tc>
              <w:tc>
                <w:tcPr>
                  <w:tcW w:w="352" w:type="pct"/>
                  <w:vMerge w:val="restart"/>
                  <w:vAlign w:val="center"/>
                </w:tcPr>
                <w:p w14:paraId="26E580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粉状水溶有机肥车间</w:t>
                  </w:r>
                </w:p>
              </w:tc>
              <w:tc>
                <w:tcPr>
                  <w:tcW w:w="3406" w:type="pct"/>
                  <w:gridSpan w:val="2"/>
                  <w:vAlign w:val="center"/>
                </w:tcPr>
                <w:p w14:paraId="2B94AB9B">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扩建生产厂房1900m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，位于整个厂区西南角，砖混结构+彩钢瓦顶棚，生产厂房内划分生产区、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库区等3个区域。主要布置1条粉状水溶肥生产线。</w:t>
                  </w:r>
                </w:p>
              </w:tc>
              <w:tc>
                <w:tcPr>
                  <w:tcW w:w="467" w:type="pct"/>
                  <w:vMerge w:val="restart"/>
                  <w:vAlign w:val="center"/>
                </w:tcPr>
                <w:p w14:paraId="3623E59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新增，原料库区2租用已建</w:t>
                  </w:r>
                </w:p>
              </w:tc>
            </w:tr>
            <w:tr w14:paraId="319C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8" w:type="pct"/>
                  <w:vMerge w:val="continue"/>
                  <w:vAlign w:val="center"/>
                </w:tcPr>
                <w:p w14:paraId="121EA6C0">
                  <w:pPr>
                    <w:rPr>
                      <w:color w:val="000000" w:themeColor="text1"/>
                      <w14:textFill>
                        <w14:solidFill>
                          <w14:schemeClr w14:val="tx1"/>
                        </w14:solidFill>
                      </w14:textFill>
                    </w:rPr>
                  </w:pPr>
                </w:p>
              </w:tc>
              <w:tc>
                <w:tcPr>
                  <w:tcW w:w="384" w:type="pct"/>
                  <w:gridSpan w:val="2"/>
                  <w:vMerge w:val="continue"/>
                  <w:vAlign w:val="center"/>
                </w:tcPr>
                <w:p w14:paraId="75AF0DD7">
                  <w:pPr>
                    <w:rPr>
                      <w:color w:val="000000" w:themeColor="text1"/>
                      <w14:textFill>
                        <w14:solidFill>
                          <w14:schemeClr w14:val="tx1"/>
                        </w14:solidFill>
                      </w14:textFill>
                    </w:rPr>
                  </w:pPr>
                </w:p>
              </w:tc>
              <w:tc>
                <w:tcPr>
                  <w:tcW w:w="352" w:type="pct"/>
                  <w:vMerge w:val="continue"/>
                  <w:vAlign w:val="center"/>
                </w:tcPr>
                <w:p w14:paraId="25C29C39">
                  <w:pPr>
                    <w:rPr>
                      <w:color w:val="000000" w:themeColor="text1"/>
                      <w14:textFill>
                        <w14:solidFill>
                          <w14:schemeClr w14:val="tx1"/>
                        </w14:solidFill>
                      </w14:textFill>
                    </w:rPr>
                  </w:pPr>
                </w:p>
              </w:tc>
              <w:tc>
                <w:tcPr>
                  <w:tcW w:w="409" w:type="pct"/>
                  <w:vMerge w:val="restart"/>
                  <w:vAlign w:val="center"/>
                </w:tcPr>
                <w:p w14:paraId="1C1EDB2C">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其中:</w:t>
                  </w:r>
                </w:p>
              </w:tc>
              <w:tc>
                <w:tcPr>
                  <w:tcW w:w="2997" w:type="pct"/>
                  <w:vAlign w:val="center"/>
                </w:tcPr>
                <w:p w14:paraId="52668969">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（1）生产区：位于厂区中部，</w:t>
                  </w:r>
                  <w:r>
                    <w:rPr>
                      <w:rFonts w:hint="eastAsia"/>
                      <w:bCs/>
                      <w:color w:val="000000" w:themeColor="text1"/>
                      <w:szCs w:val="21"/>
                      <w14:textFill>
                        <w14:solidFill>
                          <w14:schemeClr w14:val="tx1"/>
                        </w14:solidFill>
                      </w14:textFill>
                    </w:rPr>
                    <w:t>轻钢结构，</w:t>
                  </w:r>
                  <w:r>
                    <w:rPr>
                      <w:rFonts w:hint="eastAsia"/>
                      <w:color w:val="000000" w:themeColor="text1"/>
                      <w:kern w:val="0"/>
                      <w14:textFill>
                        <w14:solidFill>
                          <w14:schemeClr w14:val="tx1"/>
                        </w14:solidFill>
                      </w14:textFill>
                    </w:rPr>
                    <w:t>占地面积800m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，主要布置1条粉状有机肥生产线。布设包括投料机、搅拌机、粉碎机、筛分机、皮带输送机、翻堆转盘、自动包装机等设备。</w:t>
                  </w:r>
                </w:p>
              </w:tc>
              <w:tc>
                <w:tcPr>
                  <w:tcW w:w="467" w:type="pct"/>
                  <w:vMerge w:val="continue"/>
                  <w:vAlign w:val="center"/>
                </w:tcPr>
                <w:p w14:paraId="1EBB943D">
                  <w:pPr>
                    <w:rPr>
                      <w:color w:val="000000" w:themeColor="text1"/>
                      <w:kern w:val="0"/>
                      <w14:textFill>
                        <w14:solidFill>
                          <w14:schemeClr w14:val="tx1"/>
                        </w14:solidFill>
                      </w14:textFill>
                    </w:rPr>
                  </w:pPr>
                </w:p>
              </w:tc>
            </w:tr>
            <w:tr w14:paraId="41DC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8" w:type="pct"/>
                  <w:vMerge w:val="continue"/>
                  <w:vAlign w:val="center"/>
                </w:tcPr>
                <w:p w14:paraId="6BD07D14">
                  <w:pPr>
                    <w:rPr>
                      <w:color w:val="000000" w:themeColor="text1"/>
                      <w14:textFill>
                        <w14:solidFill>
                          <w14:schemeClr w14:val="tx1"/>
                        </w14:solidFill>
                      </w14:textFill>
                    </w:rPr>
                  </w:pPr>
                </w:p>
              </w:tc>
              <w:tc>
                <w:tcPr>
                  <w:tcW w:w="384" w:type="pct"/>
                  <w:gridSpan w:val="2"/>
                  <w:vMerge w:val="continue"/>
                  <w:vAlign w:val="center"/>
                </w:tcPr>
                <w:p w14:paraId="1BD0D4B0">
                  <w:pPr>
                    <w:rPr>
                      <w:color w:val="000000" w:themeColor="text1"/>
                      <w14:textFill>
                        <w14:solidFill>
                          <w14:schemeClr w14:val="tx1"/>
                        </w14:solidFill>
                      </w14:textFill>
                    </w:rPr>
                  </w:pPr>
                </w:p>
              </w:tc>
              <w:tc>
                <w:tcPr>
                  <w:tcW w:w="352" w:type="pct"/>
                  <w:vMerge w:val="continue"/>
                  <w:vAlign w:val="center"/>
                </w:tcPr>
                <w:p w14:paraId="3FFC83C0">
                  <w:pPr>
                    <w:rPr>
                      <w:color w:val="000000" w:themeColor="text1"/>
                      <w14:textFill>
                        <w14:solidFill>
                          <w14:schemeClr w14:val="tx1"/>
                        </w14:solidFill>
                      </w14:textFill>
                    </w:rPr>
                  </w:pPr>
                </w:p>
              </w:tc>
              <w:tc>
                <w:tcPr>
                  <w:tcW w:w="409" w:type="pct"/>
                  <w:vMerge w:val="continue"/>
                  <w:vAlign w:val="center"/>
                </w:tcPr>
                <w:p w14:paraId="7923AB9E">
                  <w:pPr>
                    <w:rPr>
                      <w:color w:val="000000" w:themeColor="text1"/>
                      <w14:textFill>
                        <w14:solidFill>
                          <w14:schemeClr w14:val="tx1"/>
                        </w14:solidFill>
                      </w14:textFill>
                    </w:rPr>
                  </w:pPr>
                </w:p>
              </w:tc>
              <w:tc>
                <w:tcPr>
                  <w:tcW w:w="2997" w:type="pct"/>
                  <w:vAlign w:val="center"/>
                </w:tcPr>
                <w:p w14:paraId="70BFA483">
                  <w:pPr>
                    <w:numPr>
                      <w:ilvl w:val="0"/>
                      <w:numId w:val="7"/>
                    </w:numPr>
                    <w:rPr>
                      <w:color w:val="000000" w:themeColor="text1"/>
                      <w14:textFill>
                        <w14:solidFill>
                          <w14:schemeClr w14:val="tx1"/>
                        </w14:solidFill>
                      </w14:textFill>
                    </w:rPr>
                  </w:pP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库区：①</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库区1位于厂房内北部，用地面积约500m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，设置原料储存仓进行其他原料、辅料储存。②原料库区2位于厂房外东北侧20m，二层砖混结构，占地面积约1387.5m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，进行主要原料菜渣储存。采用货车将菜渣采用货箱运送到库区在暂存。</w:t>
                  </w:r>
                </w:p>
              </w:tc>
              <w:tc>
                <w:tcPr>
                  <w:tcW w:w="467" w:type="pct"/>
                  <w:vMerge w:val="continue"/>
                  <w:vAlign w:val="center"/>
                </w:tcPr>
                <w:p w14:paraId="3B06C4EA">
                  <w:pPr>
                    <w:rPr>
                      <w:color w:val="000000" w:themeColor="text1"/>
                      <w14:textFill>
                        <w14:solidFill>
                          <w14:schemeClr w14:val="tx1"/>
                        </w14:solidFill>
                      </w14:textFill>
                    </w:rPr>
                  </w:pPr>
                </w:p>
              </w:tc>
            </w:tr>
            <w:tr w14:paraId="082F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88" w:type="pct"/>
                  <w:vMerge w:val="continue"/>
                  <w:vAlign w:val="center"/>
                </w:tcPr>
                <w:p w14:paraId="5FE0C609">
                  <w:pPr>
                    <w:rPr>
                      <w:color w:val="000000" w:themeColor="text1"/>
                      <w14:textFill>
                        <w14:solidFill>
                          <w14:schemeClr w14:val="tx1"/>
                        </w14:solidFill>
                      </w14:textFill>
                    </w:rPr>
                  </w:pPr>
                </w:p>
              </w:tc>
              <w:tc>
                <w:tcPr>
                  <w:tcW w:w="384" w:type="pct"/>
                  <w:gridSpan w:val="2"/>
                  <w:vMerge w:val="continue"/>
                  <w:vAlign w:val="center"/>
                </w:tcPr>
                <w:p w14:paraId="434B1F02">
                  <w:pPr>
                    <w:rPr>
                      <w:color w:val="000000" w:themeColor="text1"/>
                      <w14:textFill>
                        <w14:solidFill>
                          <w14:schemeClr w14:val="tx1"/>
                        </w14:solidFill>
                      </w14:textFill>
                    </w:rPr>
                  </w:pPr>
                </w:p>
              </w:tc>
              <w:tc>
                <w:tcPr>
                  <w:tcW w:w="352" w:type="pct"/>
                  <w:vMerge w:val="continue"/>
                  <w:vAlign w:val="center"/>
                </w:tcPr>
                <w:p w14:paraId="38E7B92F">
                  <w:pPr>
                    <w:rPr>
                      <w:color w:val="000000" w:themeColor="text1"/>
                      <w14:textFill>
                        <w14:solidFill>
                          <w14:schemeClr w14:val="tx1"/>
                        </w14:solidFill>
                      </w14:textFill>
                    </w:rPr>
                  </w:pPr>
                </w:p>
              </w:tc>
              <w:tc>
                <w:tcPr>
                  <w:tcW w:w="409" w:type="pct"/>
                  <w:vMerge w:val="continue"/>
                  <w:vAlign w:val="center"/>
                </w:tcPr>
                <w:p w14:paraId="4AC4988A">
                  <w:pPr>
                    <w:rPr>
                      <w:color w:val="000000" w:themeColor="text1"/>
                      <w14:textFill>
                        <w14:solidFill>
                          <w14:schemeClr w14:val="tx1"/>
                        </w14:solidFill>
                      </w14:textFill>
                    </w:rPr>
                  </w:pPr>
                </w:p>
              </w:tc>
              <w:tc>
                <w:tcPr>
                  <w:tcW w:w="2997" w:type="pct"/>
                  <w:vAlign w:val="center"/>
                </w:tcPr>
                <w:p w14:paraId="1F8D8DF0">
                  <w:p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库区：位于厂房南部，用地面积约500m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，设置成品储存仓进行成品储存</w:t>
                  </w:r>
                </w:p>
              </w:tc>
              <w:tc>
                <w:tcPr>
                  <w:tcW w:w="467" w:type="pct"/>
                  <w:vMerge w:val="continue"/>
                  <w:vAlign w:val="center"/>
                </w:tcPr>
                <w:p w14:paraId="31B95899">
                  <w:pPr>
                    <w:rPr>
                      <w:color w:val="000000" w:themeColor="text1"/>
                      <w14:textFill>
                        <w14:solidFill>
                          <w14:schemeClr w14:val="tx1"/>
                        </w14:solidFill>
                      </w14:textFill>
                    </w:rPr>
                  </w:pPr>
                </w:p>
              </w:tc>
            </w:tr>
            <w:tr w14:paraId="4B9C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88" w:type="pct"/>
                  <w:vMerge w:val="continue"/>
                  <w:vAlign w:val="center"/>
                </w:tcPr>
                <w:p w14:paraId="2E1EB9EF">
                  <w:pPr>
                    <w:jc w:val="center"/>
                    <w:rPr>
                      <w:color w:val="000000" w:themeColor="text1"/>
                      <w:kern w:val="0"/>
                      <w14:textFill>
                        <w14:solidFill>
                          <w14:schemeClr w14:val="tx1"/>
                        </w14:solidFill>
                      </w14:textFill>
                    </w:rPr>
                  </w:pPr>
                </w:p>
              </w:tc>
              <w:tc>
                <w:tcPr>
                  <w:tcW w:w="384" w:type="pct"/>
                  <w:gridSpan w:val="2"/>
                  <w:vMerge w:val="continue"/>
                  <w:vAlign w:val="center"/>
                </w:tcPr>
                <w:p w14:paraId="037BF557">
                  <w:pPr>
                    <w:jc w:val="center"/>
                    <w:rPr>
                      <w:color w:val="000000" w:themeColor="text1"/>
                      <w:kern w:val="0"/>
                      <w14:textFill>
                        <w14:solidFill>
                          <w14:schemeClr w14:val="tx1"/>
                        </w14:solidFill>
                      </w14:textFill>
                    </w:rPr>
                  </w:pPr>
                </w:p>
              </w:tc>
              <w:tc>
                <w:tcPr>
                  <w:tcW w:w="352" w:type="pct"/>
                  <w:vMerge w:val="restart"/>
                  <w:vAlign w:val="center"/>
                </w:tcPr>
                <w:p w14:paraId="496B92C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液态水溶有机肥车间</w:t>
                  </w:r>
                </w:p>
              </w:tc>
              <w:tc>
                <w:tcPr>
                  <w:tcW w:w="3406" w:type="pct"/>
                  <w:gridSpan w:val="2"/>
                  <w:vAlign w:val="center"/>
                </w:tcPr>
                <w:p w14:paraId="4AB14837">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生产厂房中部500m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区域，现有厂房采用轻钢结构设计，一层，厂房建设高度10m。生产厂房内划分生产区、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w:t>
                  </w: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库区等3个区域。主要布置1条水溶肥生产线。</w:t>
                  </w:r>
                </w:p>
              </w:tc>
              <w:tc>
                <w:tcPr>
                  <w:tcW w:w="467" w:type="pct"/>
                  <w:vAlign w:val="center"/>
                </w:tcPr>
                <w:p w14:paraId="295E213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利用现有厂房</w:t>
                  </w:r>
                </w:p>
              </w:tc>
            </w:tr>
            <w:tr w14:paraId="099F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88" w:type="pct"/>
                  <w:vMerge w:val="continue"/>
                  <w:vAlign w:val="center"/>
                </w:tcPr>
                <w:p w14:paraId="09B8C4CC">
                  <w:pPr>
                    <w:rPr>
                      <w:color w:val="000000" w:themeColor="text1"/>
                      <w14:textFill>
                        <w14:solidFill>
                          <w14:schemeClr w14:val="tx1"/>
                        </w14:solidFill>
                      </w14:textFill>
                    </w:rPr>
                  </w:pPr>
                </w:p>
              </w:tc>
              <w:tc>
                <w:tcPr>
                  <w:tcW w:w="384" w:type="pct"/>
                  <w:gridSpan w:val="2"/>
                  <w:vMerge w:val="continue"/>
                  <w:vAlign w:val="center"/>
                </w:tcPr>
                <w:p w14:paraId="3D8755C5">
                  <w:pPr>
                    <w:rPr>
                      <w:color w:val="000000" w:themeColor="text1"/>
                      <w14:textFill>
                        <w14:solidFill>
                          <w14:schemeClr w14:val="tx1"/>
                        </w14:solidFill>
                      </w14:textFill>
                    </w:rPr>
                  </w:pPr>
                </w:p>
              </w:tc>
              <w:tc>
                <w:tcPr>
                  <w:tcW w:w="352" w:type="pct"/>
                  <w:vMerge w:val="continue"/>
                  <w:vAlign w:val="center"/>
                </w:tcPr>
                <w:p w14:paraId="7E791CEC">
                  <w:pPr>
                    <w:rPr>
                      <w:color w:val="000000" w:themeColor="text1"/>
                      <w14:textFill>
                        <w14:solidFill>
                          <w14:schemeClr w14:val="tx1"/>
                        </w14:solidFill>
                      </w14:textFill>
                    </w:rPr>
                  </w:pPr>
                </w:p>
              </w:tc>
              <w:tc>
                <w:tcPr>
                  <w:tcW w:w="409" w:type="pct"/>
                  <w:vMerge w:val="restart"/>
                  <w:vAlign w:val="center"/>
                </w:tcPr>
                <w:p w14:paraId="0AAA9B2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p>
              </w:tc>
              <w:tc>
                <w:tcPr>
                  <w:tcW w:w="2997" w:type="pct"/>
                  <w:vAlign w:val="center"/>
                </w:tcPr>
                <w:p w14:paraId="3964DF8B">
                  <w:pPr>
                    <w:numPr>
                      <w:ilvl w:val="0"/>
                      <w:numId w:val="8"/>
                    </w:num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生产区：位于厂房北侧，占地面积约100m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，罐装机、储存罐、搅拌罐、发酵罐等设备。进行液态肥的生产；</w:t>
                  </w:r>
                </w:p>
              </w:tc>
              <w:tc>
                <w:tcPr>
                  <w:tcW w:w="467" w:type="pct"/>
                  <w:vMerge w:val="restart"/>
                  <w:vAlign w:val="center"/>
                </w:tcPr>
                <w:p w14:paraId="386A26C2">
                  <w:pPr>
                    <w:jc w:val="cente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设备新增</w:t>
                  </w:r>
                </w:p>
              </w:tc>
            </w:tr>
            <w:tr w14:paraId="5207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88" w:type="pct"/>
                  <w:vMerge w:val="continue"/>
                  <w:vAlign w:val="center"/>
                </w:tcPr>
                <w:p w14:paraId="12280CB4">
                  <w:pPr>
                    <w:rPr>
                      <w:color w:val="000000" w:themeColor="text1"/>
                      <w14:textFill>
                        <w14:solidFill>
                          <w14:schemeClr w14:val="tx1"/>
                        </w14:solidFill>
                      </w14:textFill>
                    </w:rPr>
                  </w:pPr>
                </w:p>
              </w:tc>
              <w:tc>
                <w:tcPr>
                  <w:tcW w:w="384" w:type="pct"/>
                  <w:gridSpan w:val="2"/>
                  <w:vMerge w:val="continue"/>
                  <w:vAlign w:val="center"/>
                </w:tcPr>
                <w:p w14:paraId="0B755AFB">
                  <w:pPr>
                    <w:rPr>
                      <w:color w:val="000000" w:themeColor="text1"/>
                      <w14:textFill>
                        <w14:solidFill>
                          <w14:schemeClr w14:val="tx1"/>
                        </w14:solidFill>
                      </w14:textFill>
                    </w:rPr>
                  </w:pPr>
                </w:p>
              </w:tc>
              <w:tc>
                <w:tcPr>
                  <w:tcW w:w="352" w:type="pct"/>
                  <w:vMerge w:val="continue"/>
                  <w:vAlign w:val="center"/>
                </w:tcPr>
                <w:p w14:paraId="71F27146">
                  <w:pPr>
                    <w:rPr>
                      <w:color w:val="000000" w:themeColor="text1"/>
                      <w14:textFill>
                        <w14:solidFill>
                          <w14:schemeClr w14:val="tx1"/>
                        </w14:solidFill>
                      </w14:textFill>
                    </w:rPr>
                  </w:pPr>
                </w:p>
              </w:tc>
              <w:tc>
                <w:tcPr>
                  <w:tcW w:w="409" w:type="pct"/>
                  <w:vMerge w:val="continue"/>
                  <w:vAlign w:val="center"/>
                </w:tcPr>
                <w:p w14:paraId="08EF28A2">
                  <w:pPr>
                    <w:rPr>
                      <w:color w:val="000000" w:themeColor="text1"/>
                      <w14:textFill>
                        <w14:solidFill>
                          <w14:schemeClr w14:val="tx1"/>
                        </w14:solidFill>
                      </w14:textFill>
                    </w:rPr>
                  </w:pPr>
                </w:p>
              </w:tc>
              <w:tc>
                <w:tcPr>
                  <w:tcW w:w="2997" w:type="pct"/>
                  <w:vAlign w:val="center"/>
                </w:tcPr>
                <w:p w14:paraId="6A10CB0D">
                  <w:pPr>
                    <w:numPr>
                      <w:ilvl w:val="0"/>
                      <w:numId w:val="8"/>
                    </w:numPr>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原料区：</w:t>
                  </w:r>
                  <w:r>
                    <w:rPr>
                      <w:color w:val="000000" w:themeColor="text1"/>
                      <w:kern w:val="0"/>
                      <w14:textFill>
                        <w14:solidFill>
                          <w14:schemeClr w14:val="tx1"/>
                        </w14:solidFill>
                      </w14:textFill>
                    </w:rPr>
                    <w:t>原料</w:t>
                  </w:r>
                  <w:r>
                    <w:rPr>
                      <w:rFonts w:hint="eastAsia"/>
                      <w:color w:val="000000" w:themeColor="text1"/>
                      <w:kern w:val="0"/>
                      <w14:textFill>
                        <w14:solidFill>
                          <w14:schemeClr w14:val="tx1"/>
                        </w14:solidFill>
                      </w14:textFill>
                    </w:rPr>
                    <w:t>库区位于厂房东南部，用地面积约50m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，用于原料贮存。其中尾菜废水不在厂区暂存，采用水泵直接从尾菜废水收集池中抽取使用；</w:t>
                  </w:r>
                </w:p>
              </w:tc>
              <w:tc>
                <w:tcPr>
                  <w:tcW w:w="467" w:type="pct"/>
                  <w:vMerge w:val="continue"/>
                  <w:vAlign w:val="center"/>
                </w:tcPr>
                <w:p w14:paraId="254BA186">
                  <w:pPr>
                    <w:rPr>
                      <w:color w:val="000000" w:themeColor="text1"/>
                      <w14:textFill>
                        <w14:solidFill>
                          <w14:schemeClr w14:val="tx1"/>
                        </w14:solidFill>
                      </w14:textFill>
                    </w:rPr>
                  </w:pPr>
                </w:p>
              </w:tc>
            </w:tr>
            <w:tr w14:paraId="1DB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8" w:type="pct"/>
                  <w:vMerge w:val="continue"/>
                  <w:vAlign w:val="center"/>
                </w:tcPr>
                <w:p w14:paraId="4740D361">
                  <w:pPr>
                    <w:rPr>
                      <w:color w:val="000000" w:themeColor="text1"/>
                      <w14:textFill>
                        <w14:solidFill>
                          <w14:schemeClr w14:val="tx1"/>
                        </w14:solidFill>
                      </w14:textFill>
                    </w:rPr>
                  </w:pPr>
                </w:p>
              </w:tc>
              <w:tc>
                <w:tcPr>
                  <w:tcW w:w="384" w:type="pct"/>
                  <w:gridSpan w:val="2"/>
                  <w:vMerge w:val="continue"/>
                  <w:vAlign w:val="center"/>
                </w:tcPr>
                <w:p w14:paraId="56803FCC">
                  <w:pPr>
                    <w:rPr>
                      <w:color w:val="000000" w:themeColor="text1"/>
                      <w14:textFill>
                        <w14:solidFill>
                          <w14:schemeClr w14:val="tx1"/>
                        </w14:solidFill>
                      </w14:textFill>
                    </w:rPr>
                  </w:pPr>
                </w:p>
              </w:tc>
              <w:tc>
                <w:tcPr>
                  <w:tcW w:w="352" w:type="pct"/>
                  <w:vMerge w:val="continue"/>
                  <w:vAlign w:val="center"/>
                </w:tcPr>
                <w:p w14:paraId="0DB3E014">
                  <w:pPr>
                    <w:rPr>
                      <w:color w:val="000000" w:themeColor="text1"/>
                      <w14:textFill>
                        <w14:solidFill>
                          <w14:schemeClr w14:val="tx1"/>
                        </w14:solidFill>
                      </w14:textFill>
                    </w:rPr>
                  </w:pPr>
                </w:p>
              </w:tc>
              <w:tc>
                <w:tcPr>
                  <w:tcW w:w="409" w:type="pct"/>
                  <w:vMerge w:val="continue"/>
                  <w:vAlign w:val="center"/>
                </w:tcPr>
                <w:p w14:paraId="73E50BD6">
                  <w:pPr>
                    <w:rPr>
                      <w:color w:val="000000" w:themeColor="text1"/>
                      <w14:textFill>
                        <w14:solidFill>
                          <w14:schemeClr w14:val="tx1"/>
                        </w14:solidFill>
                      </w14:textFill>
                    </w:rPr>
                  </w:pPr>
                </w:p>
              </w:tc>
              <w:tc>
                <w:tcPr>
                  <w:tcW w:w="2997" w:type="pct"/>
                  <w:vAlign w:val="center"/>
                </w:tcPr>
                <w:p w14:paraId="5867B4FD">
                  <w:pPr>
                    <w:numPr>
                      <w:ilvl w:val="0"/>
                      <w:numId w:val="8"/>
                    </w:numPr>
                    <w:rPr>
                      <w:color w:val="000000" w:themeColor="text1"/>
                      <w14:textFill>
                        <w14:solidFill>
                          <w14:schemeClr w14:val="tx1"/>
                        </w14:solidFill>
                      </w14:textFill>
                    </w:rPr>
                  </w:pPr>
                  <w:r>
                    <w:rPr>
                      <w:color w:val="000000" w:themeColor="text1"/>
                      <w:kern w:val="0"/>
                      <w14:textFill>
                        <w14:solidFill>
                          <w14:schemeClr w14:val="tx1"/>
                        </w14:solidFill>
                      </w14:textFill>
                    </w:rPr>
                    <w:t>成品</w:t>
                  </w:r>
                  <w:r>
                    <w:rPr>
                      <w:rFonts w:hint="eastAsia"/>
                      <w:color w:val="000000" w:themeColor="text1"/>
                      <w:kern w:val="0"/>
                      <w14:textFill>
                        <w14:solidFill>
                          <w14:schemeClr w14:val="tx1"/>
                        </w14:solidFill>
                      </w14:textFill>
                    </w:rPr>
                    <w:t>区：紧邻原料库区</w:t>
                  </w:r>
                  <w:r>
                    <w:rPr>
                      <w:rStyle w:val="28"/>
                      <w:rFonts w:hint="eastAsia"/>
                      <w:color w:val="000000" w:themeColor="text1"/>
                      <w:lang w:val="en-US" w:eastAsia="zh-CN"/>
                      <w14:textFill>
                        <w14:solidFill>
                          <w14:schemeClr w14:val="tx1"/>
                        </w14:solidFill>
                      </w14:textFill>
                    </w:rPr>
                    <w:t>南</w:t>
                  </w:r>
                  <w:r>
                    <w:rPr>
                      <w:rFonts w:hint="eastAsia"/>
                      <w:color w:val="000000" w:themeColor="text1"/>
                      <w:kern w:val="0"/>
                      <w14:textFill>
                        <w14:solidFill>
                          <w14:schemeClr w14:val="tx1"/>
                        </w14:solidFill>
                      </w14:textFill>
                    </w:rPr>
                    <w:t>侧，用地面积约50m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，用于成品贮存。</w:t>
                  </w:r>
                </w:p>
              </w:tc>
              <w:tc>
                <w:tcPr>
                  <w:tcW w:w="467" w:type="pct"/>
                  <w:vMerge w:val="continue"/>
                  <w:vAlign w:val="center"/>
                </w:tcPr>
                <w:p w14:paraId="0938C6C2">
                  <w:pPr>
                    <w:rPr>
                      <w:color w:val="000000" w:themeColor="text1"/>
                      <w14:textFill>
                        <w14:solidFill>
                          <w14:schemeClr w14:val="tx1"/>
                        </w14:solidFill>
                      </w14:textFill>
                    </w:rPr>
                  </w:pPr>
                </w:p>
              </w:tc>
            </w:tr>
            <w:tr w14:paraId="243E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vAlign w:val="center"/>
                </w:tcPr>
                <w:p w14:paraId="5584B33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辅助工程</w:t>
                  </w:r>
                </w:p>
              </w:tc>
              <w:tc>
                <w:tcPr>
                  <w:tcW w:w="736" w:type="pct"/>
                  <w:gridSpan w:val="3"/>
                  <w:vAlign w:val="center"/>
                </w:tcPr>
                <w:p w14:paraId="656E2C9C">
                  <w:pPr>
                    <w:jc w:val="center"/>
                    <w:rPr>
                      <w:color w:val="000000" w:themeColor="text1"/>
                      <w:kern w:val="0"/>
                      <w14:textFill>
                        <w14:solidFill>
                          <w14:schemeClr w14:val="tx1"/>
                        </w14:solidFill>
                      </w14:textFill>
                    </w:rPr>
                  </w:pPr>
                  <w:r>
                    <w:rPr>
                      <w:bCs/>
                      <w:color w:val="000000" w:themeColor="text1"/>
                      <w:szCs w:val="21"/>
                      <w14:textFill>
                        <w14:solidFill>
                          <w14:schemeClr w14:val="tx1"/>
                        </w14:solidFill>
                      </w14:textFill>
                    </w:rPr>
                    <w:t>值班室、休息室</w:t>
                  </w:r>
                </w:p>
              </w:tc>
              <w:tc>
                <w:tcPr>
                  <w:tcW w:w="3406" w:type="pct"/>
                  <w:gridSpan w:val="2"/>
                  <w:vAlign w:val="center"/>
                </w:tcPr>
                <w:p w14:paraId="3D408CA6">
                  <w:pPr>
                    <w:rPr>
                      <w:color w:val="000000" w:themeColor="text1"/>
                      <w:kern w:val="0"/>
                      <w14:textFill>
                        <w14:solidFill>
                          <w14:schemeClr w14:val="tx1"/>
                        </w14:solidFill>
                      </w14:textFill>
                    </w:rPr>
                  </w:pPr>
                  <w:r>
                    <w:rPr>
                      <w:color w:val="000000" w:themeColor="text1"/>
                      <w:szCs w:val="21"/>
                      <w14:textFill>
                        <w14:solidFill>
                          <w14:schemeClr w14:val="tx1"/>
                        </w14:solidFill>
                      </w14:textFill>
                    </w:rPr>
                    <w:t>位于项目区东北侧入口旁，采用砖混结构，一层，建筑面积约25m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467" w:type="pct"/>
                  <w:vAlign w:val="center"/>
                </w:tcPr>
                <w:p w14:paraId="6784D14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5473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60A19CDE">
                  <w:pPr>
                    <w:jc w:val="center"/>
                    <w:rPr>
                      <w:color w:val="000000" w:themeColor="text1"/>
                      <w:kern w:val="0"/>
                      <w14:textFill>
                        <w14:solidFill>
                          <w14:schemeClr w14:val="tx1"/>
                        </w14:solidFill>
                      </w14:textFill>
                    </w:rPr>
                  </w:pPr>
                </w:p>
              </w:tc>
              <w:tc>
                <w:tcPr>
                  <w:tcW w:w="736" w:type="pct"/>
                  <w:gridSpan w:val="3"/>
                  <w:vAlign w:val="center"/>
                </w:tcPr>
                <w:p w14:paraId="4E24FBB6">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办公</w:t>
                  </w:r>
                  <w:r>
                    <w:rPr>
                      <w:rFonts w:hint="eastAsia"/>
                      <w:color w:val="000000" w:themeColor="text1"/>
                      <w:kern w:val="0"/>
                      <w14:textFill>
                        <w14:solidFill>
                          <w14:schemeClr w14:val="tx1"/>
                        </w14:solidFill>
                      </w14:textFill>
                    </w:rPr>
                    <w:t>室</w:t>
                  </w:r>
                </w:p>
              </w:tc>
              <w:tc>
                <w:tcPr>
                  <w:tcW w:w="3406" w:type="pct"/>
                  <w:gridSpan w:val="2"/>
                  <w:vAlign w:val="center"/>
                </w:tcPr>
                <w:p w14:paraId="72FB7CF0">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位于粉状有机肥车间东北部，</w:t>
                  </w:r>
                  <w:r>
                    <w:rPr>
                      <w:color w:val="000000" w:themeColor="text1"/>
                      <w:szCs w:val="21"/>
                      <w14:textFill>
                        <w14:solidFill>
                          <w14:schemeClr w14:val="tx1"/>
                        </w14:solidFill>
                      </w14:textFill>
                    </w:rPr>
                    <w:t>砖混结构，二层，高约12.25m，建筑面积约1163.12m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。主要用于行政办公。</w:t>
                  </w:r>
                </w:p>
              </w:tc>
              <w:tc>
                <w:tcPr>
                  <w:tcW w:w="467" w:type="pct"/>
                  <w:vAlign w:val="center"/>
                </w:tcPr>
                <w:p w14:paraId="6986FF8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637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63A2A83D">
                  <w:pPr>
                    <w:jc w:val="center"/>
                    <w:rPr>
                      <w:color w:val="000000" w:themeColor="text1"/>
                      <w:kern w:val="0"/>
                      <w14:textFill>
                        <w14:solidFill>
                          <w14:schemeClr w14:val="tx1"/>
                        </w14:solidFill>
                      </w14:textFill>
                    </w:rPr>
                  </w:pPr>
                </w:p>
              </w:tc>
              <w:tc>
                <w:tcPr>
                  <w:tcW w:w="736" w:type="pct"/>
                  <w:gridSpan w:val="3"/>
                  <w:vAlign w:val="center"/>
                </w:tcPr>
                <w:p w14:paraId="09E4C5A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员工宿舍</w:t>
                  </w:r>
                </w:p>
              </w:tc>
              <w:tc>
                <w:tcPr>
                  <w:tcW w:w="3406" w:type="pct"/>
                  <w:gridSpan w:val="2"/>
                  <w:vMerge w:val="restart"/>
                  <w:vAlign w:val="center"/>
                </w:tcPr>
                <w:p w14:paraId="1DEBDB71">
                  <w:pPr>
                    <w:rPr>
                      <w:color w:val="000000" w:themeColor="text1"/>
                      <w:kern w:val="0"/>
                      <w14:textFill>
                        <w14:solidFill>
                          <w14:schemeClr w14:val="tx1"/>
                        </w14:solidFill>
                      </w14:textFill>
                    </w:rPr>
                  </w:pPr>
                  <w:r>
                    <w:rPr>
                      <w:color w:val="000000" w:themeColor="text1"/>
                      <w:szCs w:val="21"/>
                      <w14:textFill>
                        <w14:solidFill>
                          <w14:schemeClr w14:val="tx1"/>
                        </w14:solidFill>
                      </w14:textFill>
                    </w:rPr>
                    <w:t>位于项目区西南侧，砖混结构，二层，高约7.55m，建筑面积约533.6m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。其中一层为食堂及餐厅，二层为宿舍。</w:t>
                  </w:r>
                </w:p>
              </w:tc>
              <w:tc>
                <w:tcPr>
                  <w:tcW w:w="467" w:type="pct"/>
                  <w:vMerge w:val="restart"/>
                  <w:vAlign w:val="center"/>
                </w:tcPr>
                <w:p w14:paraId="3802EA4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2760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118B9960">
                  <w:pPr>
                    <w:jc w:val="center"/>
                    <w:rPr>
                      <w:color w:val="000000" w:themeColor="text1"/>
                      <w:kern w:val="0"/>
                      <w14:textFill>
                        <w14:solidFill>
                          <w14:schemeClr w14:val="tx1"/>
                        </w14:solidFill>
                      </w14:textFill>
                    </w:rPr>
                  </w:pPr>
                </w:p>
              </w:tc>
              <w:tc>
                <w:tcPr>
                  <w:tcW w:w="736" w:type="pct"/>
                  <w:gridSpan w:val="3"/>
                  <w:vAlign w:val="center"/>
                </w:tcPr>
                <w:p w14:paraId="596399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食堂</w:t>
                  </w:r>
                </w:p>
              </w:tc>
              <w:tc>
                <w:tcPr>
                  <w:tcW w:w="3406" w:type="pct"/>
                  <w:gridSpan w:val="2"/>
                  <w:vMerge w:val="continue"/>
                  <w:vAlign w:val="center"/>
                </w:tcPr>
                <w:p w14:paraId="01FEE049">
                  <w:pPr>
                    <w:ind w:firstLine="420" w:firstLineChars="200"/>
                    <w:rPr>
                      <w:color w:val="000000" w:themeColor="text1"/>
                      <w:kern w:val="0"/>
                      <w14:textFill>
                        <w14:solidFill>
                          <w14:schemeClr w14:val="tx1"/>
                        </w14:solidFill>
                      </w14:textFill>
                    </w:rPr>
                  </w:pPr>
                </w:p>
              </w:tc>
              <w:tc>
                <w:tcPr>
                  <w:tcW w:w="467" w:type="pct"/>
                  <w:vMerge w:val="continue"/>
                  <w:vAlign w:val="center"/>
                </w:tcPr>
                <w:p w14:paraId="5B705D87">
                  <w:pPr>
                    <w:jc w:val="center"/>
                    <w:rPr>
                      <w:color w:val="000000" w:themeColor="text1"/>
                      <w:kern w:val="0"/>
                      <w14:textFill>
                        <w14:solidFill>
                          <w14:schemeClr w14:val="tx1"/>
                        </w14:solidFill>
                      </w14:textFill>
                    </w:rPr>
                  </w:pPr>
                </w:p>
              </w:tc>
            </w:tr>
            <w:tr w14:paraId="79F8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4C350271">
                  <w:pPr>
                    <w:jc w:val="center"/>
                    <w:rPr>
                      <w:color w:val="000000" w:themeColor="text1"/>
                      <w:kern w:val="0"/>
                      <w14:textFill>
                        <w14:solidFill>
                          <w14:schemeClr w14:val="tx1"/>
                        </w14:solidFill>
                      </w14:textFill>
                    </w:rPr>
                  </w:pPr>
                </w:p>
              </w:tc>
              <w:tc>
                <w:tcPr>
                  <w:tcW w:w="736" w:type="pct"/>
                  <w:gridSpan w:val="3"/>
                  <w:vAlign w:val="center"/>
                </w:tcPr>
                <w:p w14:paraId="4332115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卫生间</w:t>
                  </w:r>
                </w:p>
              </w:tc>
              <w:tc>
                <w:tcPr>
                  <w:tcW w:w="3406" w:type="pct"/>
                  <w:gridSpan w:val="2"/>
                  <w:vAlign w:val="center"/>
                </w:tcPr>
                <w:p w14:paraId="53B14132">
                  <w:pPr>
                    <w:rPr>
                      <w:color w:val="000000" w:themeColor="text1"/>
                      <w:kern w:val="0"/>
                      <w14:textFill>
                        <w14:solidFill>
                          <w14:schemeClr w14:val="tx1"/>
                        </w14:solidFill>
                      </w14:textFill>
                    </w:rPr>
                  </w:pPr>
                  <w:r>
                    <w:rPr>
                      <w:color w:val="000000" w:themeColor="text1"/>
                      <w:szCs w:val="21"/>
                      <w14:textFill>
                        <w14:solidFill>
                          <w14:schemeClr w14:val="tx1"/>
                        </w14:solidFill>
                      </w14:textFill>
                    </w:rPr>
                    <w:t>2座，位于出入口西面休息室旁和业务用房西南侧，采用砖混结构，一层，建筑面积分别为6m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、52m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467" w:type="pct"/>
                  <w:vAlign w:val="center"/>
                </w:tcPr>
                <w:p w14:paraId="6EFC7E5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1922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2525BAB5">
                  <w:pPr>
                    <w:jc w:val="center"/>
                    <w:rPr>
                      <w:color w:val="000000" w:themeColor="text1"/>
                      <w:kern w:val="0"/>
                      <w14:textFill>
                        <w14:solidFill>
                          <w14:schemeClr w14:val="tx1"/>
                        </w14:solidFill>
                      </w14:textFill>
                    </w:rPr>
                  </w:pPr>
                </w:p>
              </w:tc>
              <w:tc>
                <w:tcPr>
                  <w:tcW w:w="736" w:type="pct"/>
                  <w:gridSpan w:val="3"/>
                  <w:vAlign w:val="center"/>
                </w:tcPr>
                <w:p w14:paraId="5A4022D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配电室</w:t>
                  </w:r>
                </w:p>
              </w:tc>
              <w:tc>
                <w:tcPr>
                  <w:tcW w:w="3406" w:type="pct"/>
                  <w:gridSpan w:val="2"/>
                  <w:vAlign w:val="center"/>
                </w:tcPr>
                <w:p w14:paraId="01B21244">
                  <w:pPr>
                    <w:rPr>
                      <w:color w:val="000000" w:themeColor="text1"/>
                      <w:kern w:val="0"/>
                      <w14:textFill>
                        <w14:solidFill>
                          <w14:schemeClr w14:val="tx1"/>
                        </w14:solidFill>
                      </w14:textFill>
                    </w:rPr>
                  </w:pPr>
                  <w:r>
                    <w:rPr>
                      <w:color w:val="000000" w:themeColor="text1"/>
                      <w:szCs w:val="21"/>
                      <w14:textFill>
                        <w14:solidFill>
                          <w14:schemeClr w14:val="tx1"/>
                        </w14:solidFill>
                      </w14:textFill>
                    </w:rPr>
                    <w:t>1#位于水解酸化池北面，占地面积约6.5m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，2#位于一级烘干车间北面，占地面积5m</w:t>
                  </w:r>
                  <w:r>
                    <w:rPr>
                      <w:color w:val="000000" w:themeColor="text1"/>
                      <w:szCs w:val="21"/>
                      <w:vertAlign w:val="superscript"/>
                      <w14:textFill>
                        <w14:solidFill>
                          <w14:schemeClr w14:val="tx1"/>
                        </w14:solidFill>
                      </w14:textFill>
                    </w:rPr>
                    <w:t>2</w:t>
                  </w:r>
                </w:p>
              </w:tc>
              <w:tc>
                <w:tcPr>
                  <w:tcW w:w="467" w:type="pct"/>
                  <w:vAlign w:val="center"/>
                </w:tcPr>
                <w:p w14:paraId="5FB9FE7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71C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43098977">
                  <w:pPr>
                    <w:jc w:val="center"/>
                    <w:rPr>
                      <w:color w:val="000000" w:themeColor="text1"/>
                      <w:kern w:val="0"/>
                      <w14:textFill>
                        <w14:solidFill>
                          <w14:schemeClr w14:val="tx1"/>
                        </w14:solidFill>
                      </w14:textFill>
                    </w:rPr>
                  </w:pPr>
                </w:p>
              </w:tc>
              <w:tc>
                <w:tcPr>
                  <w:tcW w:w="736" w:type="pct"/>
                  <w:gridSpan w:val="3"/>
                  <w:vAlign w:val="center"/>
                </w:tcPr>
                <w:p w14:paraId="676CD1BA">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车辆清洗</w:t>
                  </w:r>
                </w:p>
              </w:tc>
              <w:tc>
                <w:tcPr>
                  <w:tcW w:w="3406" w:type="pct"/>
                  <w:gridSpan w:val="2"/>
                  <w:vAlign w:val="center"/>
                </w:tcPr>
                <w:p w14:paraId="4C210EAD">
                  <w:pP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由水池和洗车槽组成，</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项目区东北侧入口旁</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占地</w:t>
                  </w:r>
                  <w:r>
                    <w:rPr>
                      <w:color w:val="000000" w:themeColor="text1"/>
                      <w:szCs w:val="21"/>
                      <w14:textFill>
                        <w14:solidFill>
                          <w14:schemeClr w14:val="tx1"/>
                        </w14:solidFill>
                      </w14:textFill>
                    </w:rPr>
                    <w:t>面积</w:t>
                  </w:r>
                  <w:r>
                    <w:rPr>
                      <w:rFonts w:hint="eastAsia"/>
                      <w:color w:val="000000" w:themeColor="text1"/>
                      <w:szCs w:val="21"/>
                      <w14:textFill>
                        <w14:solidFill>
                          <w14:schemeClr w14:val="tx1"/>
                        </w14:solidFill>
                      </w14:textFill>
                    </w:rPr>
                    <w:t>约24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67" w:type="pct"/>
                  <w:vAlign w:val="center"/>
                </w:tcPr>
                <w:p w14:paraId="78805E4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F14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59C5401">
                  <w:pPr>
                    <w:jc w:val="center"/>
                    <w:rPr>
                      <w:color w:val="000000" w:themeColor="text1"/>
                      <w:kern w:val="0"/>
                      <w14:textFill>
                        <w14:solidFill>
                          <w14:schemeClr w14:val="tx1"/>
                        </w14:solidFill>
                      </w14:textFill>
                    </w:rPr>
                  </w:pPr>
                </w:p>
              </w:tc>
              <w:tc>
                <w:tcPr>
                  <w:tcW w:w="736" w:type="pct"/>
                  <w:gridSpan w:val="3"/>
                  <w:vAlign w:val="center"/>
                </w:tcPr>
                <w:p w14:paraId="42AD04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卫生间</w:t>
                  </w:r>
                </w:p>
              </w:tc>
              <w:tc>
                <w:tcPr>
                  <w:tcW w:w="3406" w:type="pct"/>
                  <w:gridSpan w:val="2"/>
                  <w:vAlign w:val="center"/>
                </w:tcPr>
                <w:p w14:paraId="5AA1A333">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2座，</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出入口西面休息室旁和业务用房西南侧</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采用砖混结构</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一层</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建筑</w:t>
                  </w:r>
                  <w:r>
                    <w:rPr>
                      <w:color w:val="000000" w:themeColor="text1"/>
                      <w:szCs w:val="21"/>
                      <w14:textFill>
                        <w14:solidFill>
                          <w14:schemeClr w14:val="tx1"/>
                        </w14:solidFill>
                      </w14:textFill>
                    </w:rPr>
                    <w:t>面积</w:t>
                  </w:r>
                  <w:r>
                    <w:rPr>
                      <w:rFonts w:hint="eastAsia"/>
                      <w:color w:val="000000" w:themeColor="text1"/>
                      <w:szCs w:val="21"/>
                      <w14:textFill>
                        <w14:solidFill>
                          <w14:schemeClr w14:val="tx1"/>
                        </w14:solidFill>
                      </w14:textFill>
                    </w:rPr>
                    <w:t>分别为6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、52</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67" w:type="pct"/>
                  <w:vAlign w:val="center"/>
                </w:tcPr>
                <w:p w14:paraId="1054FF6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238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16C433A5">
                  <w:pPr>
                    <w:jc w:val="center"/>
                    <w:rPr>
                      <w:color w:val="000000" w:themeColor="text1"/>
                      <w:kern w:val="0"/>
                      <w14:textFill>
                        <w14:solidFill>
                          <w14:schemeClr w14:val="tx1"/>
                        </w14:solidFill>
                      </w14:textFill>
                    </w:rPr>
                  </w:pPr>
                </w:p>
              </w:tc>
              <w:tc>
                <w:tcPr>
                  <w:tcW w:w="736" w:type="pct"/>
                  <w:gridSpan w:val="3"/>
                  <w:vMerge w:val="restart"/>
                  <w:vAlign w:val="center"/>
                </w:tcPr>
                <w:p w14:paraId="091360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场内道路</w:t>
                  </w:r>
                </w:p>
              </w:tc>
              <w:tc>
                <w:tcPr>
                  <w:tcW w:w="3406" w:type="pct"/>
                  <w:gridSpan w:val="2"/>
                  <w:vAlign w:val="center"/>
                </w:tcPr>
                <w:p w14:paraId="338D28C9">
                  <w:pPr>
                    <w:rPr>
                      <w:color w:val="000000" w:themeColor="text1"/>
                      <w:szCs w:val="21"/>
                      <w14:textFill>
                        <w14:solidFill>
                          <w14:schemeClr w14:val="tx1"/>
                        </w14:solidFill>
                      </w14:textFill>
                    </w:rPr>
                  </w:pPr>
                  <w:r>
                    <w:rPr>
                      <w:rFonts w:hint="eastAsia"/>
                      <w:color w:val="000000" w:themeColor="text1"/>
                      <w:szCs w:val="32"/>
                      <w14:textFill>
                        <w14:solidFill>
                          <w14:schemeClr w14:val="tx1"/>
                        </w14:solidFill>
                      </w14:textFill>
                    </w:rPr>
                    <w:t>厂内道路主干道宽9.0m、次干道宽7.00m，支道宽4.5m，为郊区型环路，采用C30混凝土路面，水泥稳定碎石基层，级配碎石底基层，最大纵坡7%，最小纵坡0.3%，道路内缘半径12m。</w:t>
                  </w:r>
                </w:p>
              </w:tc>
              <w:tc>
                <w:tcPr>
                  <w:tcW w:w="467" w:type="pct"/>
                  <w:vAlign w:val="center"/>
                </w:tcPr>
                <w:p w14:paraId="08A76F1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4B5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56AAB194">
                  <w:pPr>
                    <w:jc w:val="center"/>
                    <w:rPr>
                      <w:color w:val="000000" w:themeColor="text1"/>
                      <w:kern w:val="0"/>
                      <w14:textFill>
                        <w14:solidFill>
                          <w14:schemeClr w14:val="tx1"/>
                        </w14:solidFill>
                      </w14:textFill>
                    </w:rPr>
                  </w:pPr>
                </w:p>
              </w:tc>
              <w:tc>
                <w:tcPr>
                  <w:tcW w:w="736" w:type="pct"/>
                  <w:gridSpan w:val="3"/>
                  <w:vMerge w:val="continue"/>
                  <w:vAlign w:val="center"/>
                </w:tcPr>
                <w:p w14:paraId="3E0D4C70">
                  <w:pPr>
                    <w:jc w:val="center"/>
                    <w:rPr>
                      <w:color w:val="000000" w:themeColor="text1"/>
                      <w:szCs w:val="21"/>
                      <w14:textFill>
                        <w14:solidFill>
                          <w14:schemeClr w14:val="tx1"/>
                        </w14:solidFill>
                      </w14:textFill>
                    </w:rPr>
                  </w:pPr>
                </w:p>
              </w:tc>
              <w:tc>
                <w:tcPr>
                  <w:tcW w:w="3406" w:type="pct"/>
                  <w:gridSpan w:val="2"/>
                  <w:vAlign w:val="center"/>
                </w:tcPr>
                <w:p w14:paraId="7CEBC06B">
                  <w:pPr>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新建次干道宽7.00m，连接扩建的项目区域，采用C30混凝土路面，水泥稳定碎石基层</w:t>
                  </w:r>
                </w:p>
              </w:tc>
              <w:tc>
                <w:tcPr>
                  <w:tcW w:w="467" w:type="pct"/>
                  <w:vAlign w:val="center"/>
                </w:tcPr>
                <w:p w14:paraId="7C930F3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新增</w:t>
                  </w:r>
                </w:p>
              </w:tc>
            </w:tr>
            <w:tr w14:paraId="4B6B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613984C4">
                  <w:pPr>
                    <w:jc w:val="center"/>
                    <w:rPr>
                      <w:color w:val="000000" w:themeColor="text1"/>
                      <w:kern w:val="0"/>
                      <w14:textFill>
                        <w14:solidFill>
                          <w14:schemeClr w14:val="tx1"/>
                        </w14:solidFill>
                      </w14:textFill>
                    </w:rPr>
                  </w:pPr>
                </w:p>
              </w:tc>
              <w:tc>
                <w:tcPr>
                  <w:tcW w:w="736" w:type="pct"/>
                  <w:gridSpan w:val="3"/>
                  <w:vAlign w:val="center"/>
                </w:tcPr>
                <w:p w14:paraId="4856929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计量衡</w:t>
                  </w:r>
                </w:p>
              </w:tc>
              <w:tc>
                <w:tcPr>
                  <w:tcW w:w="3406" w:type="pct"/>
                  <w:gridSpan w:val="2"/>
                  <w:vAlign w:val="center"/>
                </w:tcPr>
                <w:p w14:paraId="4EF6903D">
                  <w:pPr>
                    <w:rPr>
                      <w:color w:val="000000" w:themeColor="text1"/>
                      <w:szCs w:val="21"/>
                      <w14:textFill>
                        <w14:solidFill>
                          <w14:schemeClr w14:val="tx1"/>
                        </w14:solidFill>
                      </w14:textFill>
                    </w:rPr>
                  </w:pP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项目区东北侧入口旁</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占地</w:t>
                  </w:r>
                  <w:r>
                    <w:rPr>
                      <w:color w:val="000000" w:themeColor="text1"/>
                      <w:szCs w:val="21"/>
                      <w14:textFill>
                        <w14:solidFill>
                          <w14:schemeClr w14:val="tx1"/>
                        </w14:solidFill>
                      </w14:textFill>
                    </w:rPr>
                    <w:t>面积</w:t>
                  </w:r>
                  <w:r>
                    <w:rPr>
                      <w:rFonts w:hint="eastAsia"/>
                      <w:bCs/>
                      <w:color w:val="000000" w:themeColor="text1"/>
                      <w:szCs w:val="21"/>
                      <w14:textFill>
                        <w14:solidFill>
                          <w14:schemeClr w14:val="tx1"/>
                        </w14:solidFill>
                      </w14:textFill>
                    </w:rPr>
                    <w:t>占地36</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67" w:type="pct"/>
                  <w:vAlign w:val="center"/>
                </w:tcPr>
                <w:p w14:paraId="7D469B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209E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restart"/>
                  <w:vAlign w:val="center"/>
                </w:tcPr>
                <w:p w14:paraId="76E97375">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公用工程</w:t>
                  </w:r>
                </w:p>
              </w:tc>
              <w:tc>
                <w:tcPr>
                  <w:tcW w:w="736" w:type="pct"/>
                  <w:gridSpan w:val="3"/>
                  <w:vAlign w:val="center"/>
                </w:tcPr>
                <w:p w14:paraId="560F0F0A">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供水</w:t>
                  </w:r>
                </w:p>
              </w:tc>
              <w:tc>
                <w:tcPr>
                  <w:tcW w:w="3406" w:type="pct"/>
                  <w:gridSpan w:val="2"/>
                  <w:vAlign w:val="center"/>
                </w:tcPr>
                <w:p w14:paraId="3205A161">
                  <w:pPr>
                    <w:jc w:val="left"/>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供水管</w:t>
                  </w:r>
                  <w:r>
                    <w:rPr>
                      <w:color w:val="000000" w:themeColor="text1"/>
                      <w:szCs w:val="21"/>
                      <w14:textFill>
                        <w14:solidFill>
                          <w14:schemeClr w14:val="tx1"/>
                        </w14:solidFill>
                      </w14:textFill>
                    </w:rPr>
                    <w:t>网</w:t>
                  </w:r>
                  <w:r>
                    <w:rPr>
                      <w:rFonts w:hint="eastAsia"/>
                      <w:color w:val="000000" w:themeColor="text1"/>
                      <w:szCs w:val="21"/>
                      <w14:textFill>
                        <w14:solidFill>
                          <w14:schemeClr w14:val="tx1"/>
                        </w14:solidFill>
                      </w14:textFill>
                    </w:rPr>
                    <w:t>引入</w:t>
                  </w:r>
                </w:p>
              </w:tc>
              <w:tc>
                <w:tcPr>
                  <w:tcW w:w="467" w:type="pct"/>
                  <w:vAlign w:val="center"/>
                </w:tcPr>
                <w:p w14:paraId="4F09A75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7121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33B6DED3">
                  <w:pPr>
                    <w:jc w:val="center"/>
                    <w:rPr>
                      <w:color w:val="000000" w:themeColor="text1"/>
                      <w:kern w:val="0"/>
                      <w14:textFill>
                        <w14:solidFill>
                          <w14:schemeClr w14:val="tx1"/>
                        </w14:solidFill>
                      </w14:textFill>
                    </w:rPr>
                  </w:pPr>
                </w:p>
              </w:tc>
              <w:tc>
                <w:tcPr>
                  <w:tcW w:w="736" w:type="pct"/>
                  <w:gridSpan w:val="3"/>
                  <w:vAlign w:val="center"/>
                </w:tcPr>
                <w:p w14:paraId="4E51D119">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供电</w:t>
                  </w:r>
                </w:p>
              </w:tc>
              <w:tc>
                <w:tcPr>
                  <w:tcW w:w="3406" w:type="pct"/>
                  <w:gridSpan w:val="2"/>
                  <w:vAlign w:val="center"/>
                </w:tcPr>
                <w:p w14:paraId="7F23C956">
                  <w:pPr>
                    <w:jc w:val="left"/>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供电</w:t>
                  </w:r>
                  <w:r>
                    <w:rPr>
                      <w:color w:val="000000" w:themeColor="text1"/>
                      <w:szCs w:val="21"/>
                      <w14:textFill>
                        <w14:solidFill>
                          <w14:schemeClr w14:val="tx1"/>
                        </w14:solidFill>
                      </w14:textFill>
                    </w:rPr>
                    <w:t>电网</w:t>
                  </w:r>
                  <w:r>
                    <w:rPr>
                      <w:rFonts w:hint="eastAsia"/>
                      <w:color w:val="000000" w:themeColor="text1"/>
                      <w:szCs w:val="21"/>
                      <w14:textFill>
                        <w14:solidFill>
                          <w14:schemeClr w14:val="tx1"/>
                        </w14:solidFill>
                      </w14:textFill>
                    </w:rPr>
                    <w:t>引入</w:t>
                  </w:r>
                </w:p>
              </w:tc>
              <w:tc>
                <w:tcPr>
                  <w:tcW w:w="467" w:type="pct"/>
                  <w:vAlign w:val="center"/>
                </w:tcPr>
                <w:p w14:paraId="596EF2E1">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5715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4A49607F">
                  <w:pPr>
                    <w:jc w:val="center"/>
                    <w:rPr>
                      <w:color w:val="000000" w:themeColor="text1"/>
                      <w:kern w:val="0"/>
                      <w14:textFill>
                        <w14:solidFill>
                          <w14:schemeClr w14:val="tx1"/>
                        </w14:solidFill>
                      </w14:textFill>
                    </w:rPr>
                  </w:pPr>
                </w:p>
              </w:tc>
              <w:tc>
                <w:tcPr>
                  <w:tcW w:w="736" w:type="pct"/>
                  <w:gridSpan w:val="3"/>
                  <w:vAlign w:val="center"/>
                </w:tcPr>
                <w:p w14:paraId="27BF04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通讯</w:t>
                  </w:r>
                </w:p>
              </w:tc>
              <w:tc>
                <w:tcPr>
                  <w:tcW w:w="3406" w:type="pct"/>
                  <w:gridSpan w:val="2"/>
                  <w:vAlign w:val="center"/>
                </w:tcPr>
                <w:p w14:paraId="748A6B61">
                  <w:pPr>
                    <w:jc w:val="left"/>
                    <w:rPr>
                      <w:bCs/>
                      <w:color w:val="000000" w:themeColor="text1"/>
                      <w:szCs w:val="21"/>
                      <w14:textFill>
                        <w14:solidFill>
                          <w14:schemeClr w14:val="tx1"/>
                        </w14:solidFill>
                      </w14:textFill>
                    </w:rPr>
                  </w:pPr>
                  <w:r>
                    <w:rPr>
                      <w:color w:val="000000" w:themeColor="text1"/>
                      <w:szCs w:val="21"/>
                      <w14:textFill>
                        <w14:solidFill>
                          <w14:schemeClr w14:val="tx1"/>
                        </w14:solidFill>
                      </w14:textFill>
                    </w:rPr>
                    <w:t>区内有移动</w:t>
                  </w:r>
                  <w:r>
                    <w:rPr>
                      <w:bCs/>
                      <w:color w:val="000000" w:themeColor="text1"/>
                      <w:szCs w:val="21"/>
                      <w14:textFill>
                        <w14:solidFill>
                          <w14:schemeClr w14:val="tx1"/>
                        </w14:solidFill>
                      </w14:textFill>
                    </w:rPr>
                    <w:t>网络信号覆盖，通讯较为方便</w:t>
                  </w:r>
                  <w:r>
                    <w:rPr>
                      <w:rFonts w:hint="eastAsia"/>
                      <w:bCs/>
                      <w:color w:val="000000" w:themeColor="text1"/>
                      <w:szCs w:val="21"/>
                      <w14:textFill>
                        <w14:solidFill>
                          <w14:schemeClr w14:val="tx1"/>
                        </w14:solidFill>
                      </w14:textFill>
                    </w:rPr>
                    <w:t>。</w:t>
                  </w:r>
                </w:p>
              </w:tc>
              <w:tc>
                <w:tcPr>
                  <w:tcW w:w="467" w:type="pct"/>
                  <w:vAlign w:val="center"/>
                </w:tcPr>
                <w:p w14:paraId="3151928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4531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4046275C">
                  <w:pPr>
                    <w:jc w:val="center"/>
                    <w:rPr>
                      <w:color w:val="000000" w:themeColor="text1"/>
                      <w:kern w:val="0"/>
                      <w14:textFill>
                        <w14:solidFill>
                          <w14:schemeClr w14:val="tx1"/>
                        </w14:solidFill>
                      </w14:textFill>
                    </w:rPr>
                  </w:pPr>
                </w:p>
              </w:tc>
              <w:tc>
                <w:tcPr>
                  <w:tcW w:w="736" w:type="pct"/>
                  <w:gridSpan w:val="3"/>
                  <w:vMerge w:val="restart"/>
                  <w:vAlign w:val="center"/>
                </w:tcPr>
                <w:p w14:paraId="300FEA9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排水工程</w:t>
                  </w:r>
                </w:p>
              </w:tc>
              <w:tc>
                <w:tcPr>
                  <w:tcW w:w="3406" w:type="pct"/>
                  <w:gridSpan w:val="2"/>
                  <w:vAlign w:val="center"/>
                </w:tcPr>
                <w:p w14:paraId="2A54A241">
                  <w:pP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扩建</w:t>
                  </w:r>
                  <w:r>
                    <w:rPr>
                      <w:color w:val="000000" w:themeColor="text1"/>
                      <w:szCs w:val="21"/>
                      <w14:textFill>
                        <w14:solidFill>
                          <w14:schemeClr w14:val="tx1"/>
                        </w14:solidFill>
                      </w14:textFill>
                    </w:rPr>
                    <w:t>项目区</w:t>
                  </w:r>
                  <w:r>
                    <w:rPr>
                      <w:rFonts w:hint="eastAsia"/>
                      <w:color w:val="000000" w:themeColor="text1"/>
                      <w:szCs w:val="21"/>
                      <w14:textFill>
                        <w14:solidFill>
                          <w14:schemeClr w14:val="tx1"/>
                        </w14:solidFill>
                      </w14:textFill>
                    </w:rPr>
                    <w:t>设置雨污分流系统，</w:t>
                  </w:r>
                  <w:r>
                    <w:rPr>
                      <w:color w:val="000000" w:themeColor="text1"/>
                      <w:szCs w:val="21"/>
                      <w14:textFill>
                        <w14:solidFill>
                          <w14:schemeClr w14:val="tx1"/>
                        </w14:solidFill>
                      </w14:textFill>
                    </w:rPr>
                    <w:t>雨水经雨水沟收集后，直接排入项目区外排水沟</w:t>
                  </w:r>
                  <w:r>
                    <w:rPr>
                      <w:color w:val="000000" w:themeColor="text1"/>
                      <w:kern w:val="0"/>
                      <w:szCs w:val="21"/>
                      <w14:textFill>
                        <w14:solidFill>
                          <w14:schemeClr w14:val="tx1"/>
                        </w14:solidFill>
                      </w14:textFill>
                    </w:rPr>
                    <w:t>。</w:t>
                  </w:r>
                </w:p>
              </w:tc>
              <w:tc>
                <w:tcPr>
                  <w:tcW w:w="467" w:type="pct"/>
                  <w:vAlign w:val="center"/>
                </w:tcPr>
                <w:p w14:paraId="53C9841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新增</w:t>
                  </w:r>
                </w:p>
              </w:tc>
            </w:tr>
            <w:tr w14:paraId="3073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35232D73">
                  <w:pPr>
                    <w:jc w:val="center"/>
                    <w:rPr>
                      <w:color w:val="000000" w:themeColor="text1"/>
                      <w:kern w:val="0"/>
                      <w14:textFill>
                        <w14:solidFill>
                          <w14:schemeClr w14:val="tx1"/>
                        </w14:solidFill>
                      </w14:textFill>
                    </w:rPr>
                  </w:pPr>
                </w:p>
              </w:tc>
              <w:tc>
                <w:tcPr>
                  <w:tcW w:w="736" w:type="pct"/>
                  <w:gridSpan w:val="3"/>
                  <w:vMerge w:val="continue"/>
                  <w:vAlign w:val="center"/>
                </w:tcPr>
                <w:p w14:paraId="1DC48ACC">
                  <w:pPr>
                    <w:jc w:val="center"/>
                    <w:rPr>
                      <w:color w:val="000000" w:themeColor="text1"/>
                      <w:kern w:val="0"/>
                      <w14:textFill>
                        <w14:solidFill>
                          <w14:schemeClr w14:val="tx1"/>
                        </w14:solidFill>
                      </w14:textFill>
                    </w:rPr>
                  </w:pPr>
                </w:p>
              </w:tc>
              <w:tc>
                <w:tcPr>
                  <w:tcW w:w="3406" w:type="pct"/>
                  <w:gridSpan w:val="2"/>
                  <w:vAlign w:val="center"/>
                </w:tcPr>
                <w:p w14:paraId="75C8A2F2">
                  <w:pP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fldChar w:fldCharType="begin"/>
                  </w:r>
                  <w:r>
                    <w:rPr>
                      <w:color w:val="000000" w:themeColor="text1"/>
                      <w:kern w:val="0"/>
                      <w:szCs w:val="21"/>
                      <w14:textFill>
                        <w14:solidFill>
                          <w14:schemeClr w14:val="tx1"/>
                        </w14:solidFill>
                      </w14:textFill>
                    </w:rPr>
                    <w:instrText xml:space="preserve"> = 1 \* GB3 </w:instrText>
                  </w:r>
                  <w:r>
                    <w:rPr>
                      <w:color w:val="000000" w:themeColor="text1"/>
                      <w:kern w:val="0"/>
                      <w:szCs w:val="21"/>
                      <w14:textFill>
                        <w14:solidFill>
                          <w14:schemeClr w14:val="tx1"/>
                        </w14:solidFill>
                      </w14:textFill>
                    </w:rPr>
                    <w:fldChar w:fldCharType="separate"/>
                  </w:r>
                  <w:r>
                    <w:rPr>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fldChar w:fldCharType="end"/>
                  </w:r>
                  <w:r>
                    <w:rPr>
                      <w:rFonts w:hint="eastAsia"/>
                      <w:color w:val="000000" w:themeColor="text1"/>
                      <w:kern w:val="0"/>
                      <w:szCs w:val="21"/>
                      <w14:textFill>
                        <w14:solidFill>
                          <w14:schemeClr w14:val="tx1"/>
                        </w14:solidFill>
                      </w14:textFill>
                    </w:rPr>
                    <w:t>原</w:t>
                  </w:r>
                  <w:r>
                    <w:rPr>
                      <w:color w:val="000000" w:themeColor="text1"/>
                      <w:kern w:val="0"/>
                      <w:szCs w:val="21"/>
                      <w14:textFill>
                        <w14:solidFill>
                          <w14:schemeClr w14:val="tx1"/>
                        </w14:solidFill>
                      </w14:textFill>
                    </w:rPr>
                    <w:t>项目</w:t>
                  </w:r>
                  <w:r>
                    <w:rPr>
                      <w:rFonts w:hint="eastAsia"/>
                      <w:color w:val="000000" w:themeColor="text1"/>
                      <w:kern w:val="0"/>
                      <w:szCs w:val="21"/>
                      <w14:textFill>
                        <w14:solidFill>
                          <w14:schemeClr w14:val="tx1"/>
                        </w14:solidFill>
                      </w14:textFill>
                    </w:rPr>
                    <w:t>区域已通过竣工环境保护验收已有</w:t>
                  </w:r>
                  <w:r>
                    <w:rPr>
                      <w:color w:val="000000" w:themeColor="text1"/>
                      <w:kern w:val="0"/>
                      <w:szCs w:val="21"/>
                      <w14:textFill>
                        <w14:solidFill>
                          <w14:schemeClr w14:val="tx1"/>
                        </w14:solidFill>
                      </w14:textFill>
                    </w:rPr>
                    <w:t>雨污分流</w:t>
                  </w:r>
                  <w:r>
                    <w:rPr>
                      <w:rFonts w:hint="eastAsia"/>
                      <w:color w:val="000000" w:themeColor="text1"/>
                      <w:kern w:val="0"/>
                      <w:szCs w:val="21"/>
                      <w14:textFill>
                        <w14:solidFill>
                          <w14:schemeClr w14:val="tx1"/>
                        </w14:solidFill>
                      </w14:textFill>
                    </w:rPr>
                    <w:t>系统</w:t>
                  </w:r>
                  <w:r>
                    <w:rPr>
                      <w:color w:val="000000" w:themeColor="text1"/>
                      <w:kern w:val="0"/>
                      <w:szCs w:val="21"/>
                      <w14:textFill>
                        <w14:solidFill>
                          <w14:schemeClr w14:val="tx1"/>
                        </w14:solidFill>
                      </w14:textFill>
                    </w:rPr>
                    <w:t>。</w:t>
                  </w:r>
                </w:p>
                <w:p w14:paraId="12E86197">
                  <w:pPr>
                    <w:rPr>
                      <w:color w:val="000000" w:themeColor="text1"/>
                      <w:kern w:val="0"/>
                      <w14:textFill>
                        <w14:solidFill>
                          <w14:schemeClr w14:val="tx1"/>
                        </w14:solidFill>
                      </w14:textFill>
                    </w:rPr>
                  </w:pPr>
                  <w:r>
                    <w:rPr>
                      <w:rFonts w:hint="eastAsia"/>
                      <w:color w:val="000000" w:themeColor="text1"/>
                      <w:kern w:val="0"/>
                      <w:szCs w:val="21"/>
                      <w14:textFill>
                        <w14:solidFill>
                          <w14:schemeClr w14:val="tx1"/>
                        </w14:solidFill>
                      </w14:textFill>
                    </w:rPr>
                    <w:t>②原</w:t>
                  </w:r>
                  <w:r>
                    <w:rPr>
                      <w:color w:val="000000" w:themeColor="text1"/>
                      <w:kern w:val="0"/>
                      <w:szCs w:val="21"/>
                      <w14:textFill>
                        <w14:solidFill>
                          <w14:schemeClr w14:val="tx1"/>
                        </w14:solidFill>
                      </w14:textFill>
                    </w:rPr>
                    <w:t>项目</w:t>
                  </w:r>
                  <w:r>
                    <w:rPr>
                      <w:rFonts w:hint="eastAsia"/>
                      <w:color w:val="000000" w:themeColor="text1"/>
                      <w:kern w:val="0"/>
                      <w:szCs w:val="21"/>
                      <w14:textFill>
                        <w14:solidFill>
                          <w14:schemeClr w14:val="tx1"/>
                        </w14:solidFill>
                      </w14:textFill>
                    </w:rPr>
                    <w:t>区域已通过竣工环境保护验收已有污水处理系统：</w:t>
                  </w:r>
                  <w:r>
                    <w:rPr>
                      <w:color w:val="000000" w:themeColor="text1"/>
                      <w:szCs w:val="21"/>
                      <w14:textFill>
                        <w14:solidFill>
                          <w14:schemeClr w14:val="tx1"/>
                        </w14:solidFill>
                      </w14:textFill>
                    </w:rPr>
                    <w:t>项目食堂餐饮废水经</w:t>
                  </w:r>
                  <w:r>
                    <w:rPr>
                      <w:rFonts w:hint="eastAsia"/>
                      <w:color w:val="000000" w:themeColor="text1"/>
                      <w:szCs w:val="21"/>
                      <w14:textFill>
                        <w14:solidFill>
                          <w14:schemeClr w14:val="tx1"/>
                        </w14:solidFill>
                      </w14:textFill>
                    </w:rPr>
                    <w:t>现有</w:t>
                  </w:r>
                  <w:r>
                    <w:rPr>
                      <w:color w:val="000000" w:themeColor="text1"/>
                      <w:szCs w:val="21"/>
                      <w14:textFill>
                        <w14:solidFill>
                          <w14:schemeClr w14:val="tx1"/>
                        </w14:solidFill>
                      </w14:textFill>
                    </w:rPr>
                    <w:t>隔油器处理后与</w:t>
                  </w:r>
                  <w:r>
                    <w:rPr>
                      <w:rFonts w:hint="eastAsia"/>
                      <w:color w:val="000000" w:themeColor="text1"/>
                      <w:szCs w:val="21"/>
                      <w14:textFill>
                        <w14:solidFill>
                          <w14:schemeClr w14:val="tx1"/>
                        </w14:solidFill>
                      </w14:textFill>
                    </w:rPr>
                    <w:t>其他生活</w:t>
                  </w:r>
                  <w:r>
                    <w:rPr>
                      <w:color w:val="000000" w:themeColor="text1"/>
                      <w:szCs w:val="21"/>
                      <w14:textFill>
                        <w14:solidFill>
                          <w14:schemeClr w14:val="tx1"/>
                        </w14:solidFill>
                      </w14:textFill>
                    </w:rPr>
                    <w:t>污水经化粪池处理，生产废水经生产废水处理系统处理后，达到《污水排入城镇下水道水质标准》（GB/T31962-2015）表1中A等级标准后，排入寻甸县污水处理厂。</w:t>
                  </w:r>
                </w:p>
              </w:tc>
              <w:tc>
                <w:tcPr>
                  <w:tcW w:w="467" w:type="pct"/>
                  <w:vAlign w:val="center"/>
                </w:tcPr>
                <w:p w14:paraId="6003104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7C1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restart"/>
                  <w:vAlign w:val="center"/>
                </w:tcPr>
                <w:p w14:paraId="78CBF8B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环保工程</w:t>
                  </w:r>
                </w:p>
              </w:tc>
              <w:tc>
                <w:tcPr>
                  <w:tcW w:w="253" w:type="pct"/>
                  <w:vMerge w:val="restart"/>
                  <w:vAlign w:val="center"/>
                </w:tcPr>
                <w:p w14:paraId="6244C1A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废气</w:t>
                  </w:r>
                </w:p>
              </w:tc>
              <w:tc>
                <w:tcPr>
                  <w:tcW w:w="483" w:type="pct"/>
                  <w:gridSpan w:val="2"/>
                  <w:vAlign w:val="center"/>
                </w:tcPr>
                <w:p w14:paraId="346DCF6E">
                  <w:pPr>
                    <w:jc w:val="center"/>
                    <w:rPr>
                      <w:color w:val="000000" w:themeColor="text1"/>
                      <w:kern w:val="0"/>
                      <w14:textFill>
                        <w14:solidFill>
                          <w14:schemeClr w14:val="tx1"/>
                        </w14:solidFill>
                      </w14:textFill>
                    </w:rPr>
                  </w:pPr>
                  <w:r>
                    <w:rPr>
                      <w:rFonts w:hint="eastAsia"/>
                      <w:color w:val="000000" w:themeColor="text1"/>
                      <w:kern w:val="0"/>
                      <w:sz w:val="20"/>
                      <w:szCs w:val="18"/>
                      <w14:textFill>
                        <w14:solidFill>
                          <w14:schemeClr w14:val="tx1"/>
                        </w14:solidFill>
                      </w14:textFill>
                    </w:rPr>
                    <w:t>投料、扑粉、搅拌、粉碎、筛分废气</w:t>
                  </w:r>
                </w:p>
              </w:tc>
              <w:tc>
                <w:tcPr>
                  <w:tcW w:w="3406" w:type="pct"/>
                  <w:gridSpan w:val="2"/>
                  <w:vAlign w:val="center"/>
                </w:tcPr>
                <w:p w14:paraId="1167ACD7">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污染物项目为：颗粒物</w:t>
                  </w:r>
                </w:p>
                <w:p w14:paraId="17F133D7">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原辅料含水，经过湿式作业（去除效率90%）与厂房阻隔沉降（去除效率78%）后呈无组织排放</w:t>
                  </w:r>
                </w:p>
              </w:tc>
              <w:tc>
                <w:tcPr>
                  <w:tcW w:w="467" w:type="pct"/>
                  <w:vAlign w:val="center"/>
                </w:tcPr>
                <w:p w14:paraId="4A1AEBB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5157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FCC2E85">
                  <w:pPr>
                    <w:jc w:val="center"/>
                    <w:rPr>
                      <w:color w:val="000000" w:themeColor="text1"/>
                      <w:kern w:val="0"/>
                      <w14:textFill>
                        <w14:solidFill>
                          <w14:schemeClr w14:val="tx1"/>
                        </w14:solidFill>
                      </w14:textFill>
                    </w:rPr>
                  </w:pPr>
                </w:p>
              </w:tc>
              <w:tc>
                <w:tcPr>
                  <w:tcW w:w="253" w:type="pct"/>
                  <w:vMerge w:val="continue"/>
                  <w:vAlign w:val="center"/>
                </w:tcPr>
                <w:p w14:paraId="3978A1BE">
                  <w:pPr>
                    <w:jc w:val="center"/>
                    <w:rPr>
                      <w:color w:val="000000" w:themeColor="text1"/>
                      <w:kern w:val="0"/>
                      <w14:textFill>
                        <w14:solidFill>
                          <w14:schemeClr w14:val="tx1"/>
                        </w14:solidFill>
                      </w14:textFill>
                    </w:rPr>
                  </w:pPr>
                </w:p>
              </w:tc>
              <w:tc>
                <w:tcPr>
                  <w:tcW w:w="483" w:type="pct"/>
                  <w:gridSpan w:val="2"/>
                  <w:vAlign w:val="center"/>
                </w:tcPr>
                <w:p w14:paraId="440730EF">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发酵废气</w:t>
                  </w:r>
                </w:p>
              </w:tc>
              <w:tc>
                <w:tcPr>
                  <w:tcW w:w="3406" w:type="pct"/>
                  <w:gridSpan w:val="2"/>
                  <w:vAlign w:val="center"/>
                </w:tcPr>
                <w:p w14:paraId="4598EC6F">
                  <w:pPr>
                    <w:adjustRightInd w:val="0"/>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污染物项目为：</w:t>
                  </w:r>
                  <w:r>
                    <w:rPr>
                      <w:rFonts w:hint="eastAsia"/>
                      <w:color w:val="000000" w:themeColor="text1"/>
                      <w:szCs w:val="21"/>
                      <w14:textFill>
                        <w14:solidFill>
                          <w14:schemeClr w14:val="tx1"/>
                        </w14:solidFill>
                      </w14:textFill>
                    </w:rPr>
                    <w:t>氨、硫化氢、臭气浓度</w:t>
                  </w:r>
                </w:p>
                <w:p w14:paraId="16EB46D5">
                  <w:pPr>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①1200m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发酵区</w:t>
                  </w:r>
                  <w:r>
                    <w:rPr>
                      <w:rFonts w:hint="eastAsia"/>
                      <w:color w:val="000000" w:themeColor="text1"/>
                      <w:kern w:val="0"/>
                      <w:lang w:val="en-US" w:eastAsia="zh-CN"/>
                      <w14:textFill>
                        <w14:solidFill>
                          <w14:schemeClr w14:val="tx1"/>
                        </w14:solidFill>
                      </w14:textFill>
                    </w:rPr>
                    <w:t>两侧设置</w:t>
                  </w: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处理（去除效率</w:t>
                  </w:r>
                  <w:r>
                    <w:rPr>
                      <w:rFonts w:hint="eastAsia"/>
                      <w:color w:val="000000" w:themeColor="text1"/>
                      <w:kern w:val="0"/>
                      <w:lang w:val="en-US" w:eastAsia="zh-CN"/>
                      <w14:textFill>
                        <w14:solidFill>
                          <w14:schemeClr w14:val="tx1"/>
                        </w14:solidFill>
                      </w14:textFill>
                    </w:rPr>
                    <w:t>75</w:t>
                  </w:r>
                  <w:r>
                    <w:rPr>
                      <w:rFonts w:hint="eastAsia"/>
                      <w:color w:val="000000" w:themeColor="text1"/>
                      <w:kern w:val="0"/>
                      <w14:textFill>
                        <w14:solidFill>
                          <w14:schemeClr w14:val="tx1"/>
                        </w14:solidFill>
                      </w14:textFill>
                    </w:rPr>
                    <w:t>%）后</w:t>
                  </w:r>
                  <w:r>
                    <w:rPr>
                      <w:rFonts w:hint="eastAsia"/>
                      <w:color w:val="000000" w:themeColor="text1"/>
                      <w:kern w:val="0"/>
                      <w:lang w:val="en-US" w:eastAsia="zh-CN"/>
                      <w14:textFill>
                        <w14:solidFill>
                          <w14:schemeClr w14:val="tx1"/>
                        </w14:solidFill>
                      </w14:textFill>
                    </w:rPr>
                    <w:t>经过通风换气呈无组织排放</w:t>
                  </w:r>
                  <w:r>
                    <w:rPr>
                      <w:rFonts w:hint="eastAsia"/>
                      <w:color w:val="000000" w:themeColor="text1"/>
                      <w:kern w:val="0"/>
                      <w14:textFill>
                        <w14:solidFill>
                          <w14:schemeClr w14:val="tx1"/>
                        </w14:solidFill>
                      </w14:textFill>
                    </w:rPr>
                    <w:t>。</w:t>
                  </w:r>
                </w:p>
              </w:tc>
              <w:tc>
                <w:tcPr>
                  <w:tcW w:w="467" w:type="pct"/>
                  <w:vAlign w:val="center"/>
                </w:tcPr>
                <w:p w14:paraId="18BBD16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3260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892F507">
                  <w:pPr>
                    <w:jc w:val="center"/>
                    <w:rPr>
                      <w:color w:val="000000" w:themeColor="text1"/>
                      <w:kern w:val="0"/>
                      <w14:textFill>
                        <w14:solidFill>
                          <w14:schemeClr w14:val="tx1"/>
                        </w14:solidFill>
                      </w14:textFill>
                    </w:rPr>
                  </w:pPr>
                </w:p>
              </w:tc>
              <w:tc>
                <w:tcPr>
                  <w:tcW w:w="253" w:type="pct"/>
                  <w:vMerge w:val="restart"/>
                  <w:vAlign w:val="center"/>
                </w:tcPr>
                <w:p w14:paraId="044712A4">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废水</w:t>
                  </w:r>
                </w:p>
              </w:tc>
              <w:tc>
                <w:tcPr>
                  <w:tcW w:w="483" w:type="pct"/>
                  <w:gridSpan w:val="2"/>
                  <w:vMerge w:val="restart"/>
                  <w:vAlign w:val="center"/>
                </w:tcPr>
                <w:p w14:paraId="415523C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蔬菜干饲料生产废水</w:t>
                  </w:r>
                </w:p>
              </w:tc>
              <w:tc>
                <w:tcPr>
                  <w:tcW w:w="409" w:type="pct"/>
                  <w:vAlign w:val="center"/>
                </w:tcPr>
                <w:p w14:paraId="2250DE7B">
                  <w:pPr>
                    <w:rPr>
                      <w:color w:val="000000" w:themeColor="text1"/>
                      <w:kern w:val="0"/>
                      <w14:textFill>
                        <w14:solidFill>
                          <w14:schemeClr w14:val="tx1"/>
                        </w14:solidFill>
                      </w14:textFill>
                    </w:rPr>
                  </w:pPr>
                  <w:r>
                    <w:rPr>
                      <w:rFonts w:hint="eastAsia"/>
                      <w:bCs/>
                      <w:color w:val="000000" w:themeColor="text1"/>
                      <w:szCs w:val="21"/>
                      <w14:textFill>
                        <w14:solidFill>
                          <w14:schemeClr w14:val="tx1"/>
                        </w14:solidFill>
                      </w14:textFill>
                    </w:rPr>
                    <w:t>生产废水处理系统</w:t>
                  </w:r>
                </w:p>
              </w:tc>
              <w:tc>
                <w:tcPr>
                  <w:tcW w:w="2997" w:type="pct"/>
                  <w:vAlign w:val="center"/>
                </w:tcPr>
                <w:p w14:paraId="4BDA3D45">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设备房（叠螺压滤机、固液分离机等）、控制室、臭氧反应池、絮凝反应池、接触池、中转池等位于二级烘干车间内西面，占地面积288m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。调节池、中间池1、中间池2、IC厌氧塔、水解酸化池、接触氧化池、沉淀池、反应池（废水在微气泡反应沉淀一体机作用下进行混凝沉淀）、清水池、污泥池等，在烘干车间西南面依次布置</w:t>
                  </w:r>
                  <w:r>
                    <w:rPr>
                      <w:rFonts w:hint="eastAsia"/>
                      <w:bCs/>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规模</w:t>
                  </w:r>
                  <w:r>
                    <w:rPr>
                      <w:rFonts w:hint="eastAsia"/>
                      <w:color w:val="000000" w:themeColor="text1"/>
                      <w:szCs w:val="21"/>
                      <w14:textFill>
                        <w14:solidFill>
                          <w14:schemeClr w14:val="tx1"/>
                        </w14:solidFill>
                      </w14:textFill>
                    </w:rPr>
                    <w:t>900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r>
                    <w:rPr>
                      <w:rFonts w:hint="eastAsia"/>
                      <w:bCs/>
                      <w:color w:val="000000" w:themeColor="text1"/>
                      <w:szCs w:val="21"/>
                      <w14:textFill>
                        <w14:solidFill>
                          <w14:schemeClr w14:val="tx1"/>
                        </w14:solidFill>
                      </w14:textFill>
                    </w:rPr>
                    <w:t>。</w:t>
                  </w:r>
                </w:p>
              </w:tc>
              <w:tc>
                <w:tcPr>
                  <w:tcW w:w="467" w:type="pct"/>
                  <w:vAlign w:val="center"/>
                </w:tcPr>
                <w:p w14:paraId="03D0F35A">
                  <w:pPr>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现有</w:t>
                  </w:r>
                  <w:r>
                    <w:rPr>
                      <w:rStyle w:val="28"/>
                      <w:rFonts w:hint="eastAsia"/>
                      <w:color w:val="000000" w:themeColor="text1"/>
                      <w:lang w:val="en-US" w:eastAsia="zh-CN"/>
                      <w14:textFill>
                        <w14:solidFill>
                          <w14:schemeClr w14:val="tx1"/>
                        </w14:solidFill>
                      </w14:textFill>
                    </w:rPr>
                    <w:t>依托</w:t>
                  </w:r>
                </w:p>
              </w:tc>
            </w:tr>
            <w:tr w14:paraId="35C4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22F87D09">
                  <w:pPr>
                    <w:jc w:val="center"/>
                    <w:rPr>
                      <w:color w:val="000000" w:themeColor="text1"/>
                      <w:kern w:val="0"/>
                      <w14:textFill>
                        <w14:solidFill>
                          <w14:schemeClr w14:val="tx1"/>
                        </w14:solidFill>
                      </w14:textFill>
                    </w:rPr>
                  </w:pPr>
                </w:p>
              </w:tc>
              <w:tc>
                <w:tcPr>
                  <w:tcW w:w="253" w:type="pct"/>
                  <w:vMerge w:val="continue"/>
                  <w:vAlign w:val="center"/>
                </w:tcPr>
                <w:p w14:paraId="0312B8A7">
                  <w:pPr>
                    <w:jc w:val="center"/>
                    <w:rPr>
                      <w:color w:val="000000" w:themeColor="text1"/>
                      <w:kern w:val="0"/>
                      <w14:textFill>
                        <w14:solidFill>
                          <w14:schemeClr w14:val="tx1"/>
                        </w14:solidFill>
                      </w14:textFill>
                    </w:rPr>
                  </w:pPr>
                </w:p>
              </w:tc>
              <w:tc>
                <w:tcPr>
                  <w:tcW w:w="483" w:type="pct"/>
                  <w:gridSpan w:val="2"/>
                  <w:vMerge w:val="continue"/>
                  <w:vAlign w:val="center"/>
                </w:tcPr>
                <w:p w14:paraId="0E826453">
                  <w:pPr>
                    <w:jc w:val="center"/>
                    <w:rPr>
                      <w:color w:val="000000" w:themeColor="text1"/>
                      <w:kern w:val="0"/>
                      <w14:textFill>
                        <w14:solidFill>
                          <w14:schemeClr w14:val="tx1"/>
                        </w14:solidFill>
                      </w14:textFill>
                    </w:rPr>
                  </w:pPr>
                </w:p>
              </w:tc>
              <w:tc>
                <w:tcPr>
                  <w:tcW w:w="409" w:type="pct"/>
                  <w:vAlign w:val="center"/>
                </w:tcPr>
                <w:p w14:paraId="0011278E">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废水收集池</w:t>
                  </w:r>
                </w:p>
              </w:tc>
              <w:tc>
                <w:tcPr>
                  <w:tcW w:w="2997" w:type="pct"/>
                  <w:vAlign w:val="center"/>
                </w:tcPr>
                <w:p w14:paraId="1A9EC220">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位于二级烘干车间内，紧邻事故池，用于收集卸料、粉碎分选、压榨脱水产生的废水，全地下式，容积800m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p>
              </w:tc>
              <w:tc>
                <w:tcPr>
                  <w:tcW w:w="467" w:type="pct"/>
                  <w:vAlign w:val="center"/>
                </w:tcPr>
                <w:p w14:paraId="57B399D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现有</w:t>
                  </w:r>
                </w:p>
              </w:tc>
            </w:tr>
            <w:tr w14:paraId="58B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C8D2CE4">
                  <w:pPr>
                    <w:jc w:val="center"/>
                    <w:rPr>
                      <w:color w:val="000000" w:themeColor="text1"/>
                      <w:kern w:val="0"/>
                      <w14:textFill>
                        <w14:solidFill>
                          <w14:schemeClr w14:val="tx1"/>
                        </w14:solidFill>
                      </w14:textFill>
                    </w:rPr>
                  </w:pPr>
                </w:p>
              </w:tc>
              <w:tc>
                <w:tcPr>
                  <w:tcW w:w="253" w:type="pct"/>
                  <w:vMerge w:val="continue"/>
                  <w:vAlign w:val="center"/>
                </w:tcPr>
                <w:p w14:paraId="09B3A51B">
                  <w:pPr>
                    <w:jc w:val="center"/>
                    <w:rPr>
                      <w:color w:val="000000" w:themeColor="text1"/>
                      <w:kern w:val="0"/>
                      <w14:textFill>
                        <w14:solidFill>
                          <w14:schemeClr w14:val="tx1"/>
                        </w14:solidFill>
                      </w14:textFill>
                    </w:rPr>
                  </w:pPr>
                </w:p>
              </w:tc>
              <w:tc>
                <w:tcPr>
                  <w:tcW w:w="483" w:type="pct"/>
                  <w:gridSpan w:val="2"/>
                  <w:vAlign w:val="center"/>
                </w:tcPr>
                <w:p w14:paraId="1B104AD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生活污水</w:t>
                  </w:r>
                </w:p>
              </w:tc>
              <w:tc>
                <w:tcPr>
                  <w:tcW w:w="3406" w:type="pct"/>
                  <w:gridSpan w:val="2"/>
                  <w:vAlign w:val="center"/>
                </w:tcPr>
                <w:p w14:paraId="6D5EFA75">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依托公司厂内现有的</w:t>
                  </w:r>
                  <w:r>
                    <w:rPr>
                      <w:color w:val="000000" w:themeColor="text1"/>
                      <w:szCs w:val="21"/>
                      <w14:textFill>
                        <w14:solidFill>
                          <w14:schemeClr w14:val="tx1"/>
                        </w14:solidFill>
                      </w14:textFill>
                    </w:rPr>
                    <w:t>2个化粪池，1号容积3</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，2号容积16</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餐厨废水依托隔油池（1</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收集后进入现有污水处理设备(900m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/d)处理</w:t>
                  </w:r>
                  <w:r>
                    <w:rPr>
                      <w:color w:val="000000" w:themeColor="text1"/>
                      <w:szCs w:val="21"/>
                      <w14:textFill>
                        <w14:solidFill>
                          <w14:schemeClr w14:val="tx1"/>
                        </w14:solidFill>
                      </w14:textFill>
                    </w:rPr>
                    <w:t>达到《污水排入城镇下水道水质标准》（GB/T31962-2015）表1中A等级标准后，排入寻甸县污水处理厂。</w:t>
                  </w:r>
                </w:p>
              </w:tc>
              <w:tc>
                <w:tcPr>
                  <w:tcW w:w="467" w:type="pct"/>
                  <w:vAlign w:val="center"/>
                </w:tcPr>
                <w:p w14:paraId="1855AFE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4062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3B006D9">
                  <w:pPr>
                    <w:jc w:val="center"/>
                    <w:rPr>
                      <w:color w:val="000000" w:themeColor="text1"/>
                      <w:kern w:val="0"/>
                      <w14:textFill>
                        <w14:solidFill>
                          <w14:schemeClr w14:val="tx1"/>
                        </w14:solidFill>
                      </w14:textFill>
                    </w:rPr>
                  </w:pPr>
                </w:p>
              </w:tc>
              <w:tc>
                <w:tcPr>
                  <w:tcW w:w="253" w:type="pct"/>
                  <w:vMerge w:val="continue"/>
                  <w:vAlign w:val="center"/>
                </w:tcPr>
                <w:p w14:paraId="2B0140FD">
                  <w:pPr>
                    <w:jc w:val="center"/>
                    <w:rPr>
                      <w:color w:val="000000" w:themeColor="text1"/>
                      <w:kern w:val="0"/>
                      <w14:textFill>
                        <w14:solidFill>
                          <w14:schemeClr w14:val="tx1"/>
                        </w14:solidFill>
                      </w14:textFill>
                    </w:rPr>
                  </w:pPr>
                </w:p>
              </w:tc>
              <w:tc>
                <w:tcPr>
                  <w:tcW w:w="483" w:type="pct"/>
                  <w:gridSpan w:val="2"/>
                  <w:vAlign w:val="center"/>
                </w:tcPr>
                <w:p w14:paraId="4136363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有机肥生产废水</w:t>
                  </w:r>
                </w:p>
              </w:tc>
              <w:tc>
                <w:tcPr>
                  <w:tcW w:w="3406" w:type="pct"/>
                  <w:gridSpan w:val="2"/>
                  <w:vAlign w:val="center"/>
                </w:tcPr>
                <w:p w14:paraId="4FB683E9">
                  <w:pP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车辆清洗废水、车间地面清洗废水、脱硫废水、发酵渗滤液（暂存渗滤液收集池10m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）、设备清洗废水进入污水处理系统处理达标后汇入寻甸县污水处理厂。（污水处理系统采用固液分离—絮凝反应-臭氧强氧化—IC厌氧—水解酸化—接触氧化—混凝沉淀处理工艺，处理规模900m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p>
              </w:tc>
              <w:tc>
                <w:tcPr>
                  <w:tcW w:w="467" w:type="pct"/>
                  <w:vAlign w:val="center"/>
                </w:tcPr>
                <w:p w14:paraId="56BDCBEC">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新建+</w:t>
                  </w:r>
                  <w:r>
                    <w:rPr>
                      <w:rFonts w:hint="eastAsia"/>
                      <w:color w:val="000000" w:themeColor="text1"/>
                      <w:kern w:val="0"/>
                      <w14:textFill>
                        <w14:solidFill>
                          <w14:schemeClr w14:val="tx1"/>
                        </w14:solidFill>
                      </w14:textFill>
                    </w:rPr>
                    <w:t>依托</w:t>
                  </w:r>
                </w:p>
              </w:tc>
            </w:tr>
            <w:tr w14:paraId="7F0E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69D04A62">
                  <w:pPr>
                    <w:jc w:val="center"/>
                    <w:rPr>
                      <w:color w:val="000000" w:themeColor="text1"/>
                      <w:kern w:val="0"/>
                      <w14:textFill>
                        <w14:solidFill>
                          <w14:schemeClr w14:val="tx1"/>
                        </w14:solidFill>
                      </w14:textFill>
                    </w:rPr>
                  </w:pPr>
                </w:p>
              </w:tc>
              <w:tc>
                <w:tcPr>
                  <w:tcW w:w="253" w:type="pct"/>
                  <w:vMerge w:val="continue"/>
                  <w:vAlign w:val="center"/>
                </w:tcPr>
                <w:p w14:paraId="70D74524">
                  <w:pPr>
                    <w:jc w:val="center"/>
                    <w:rPr>
                      <w:color w:val="000000" w:themeColor="text1"/>
                      <w:kern w:val="0"/>
                      <w14:textFill>
                        <w14:solidFill>
                          <w14:schemeClr w14:val="tx1"/>
                        </w14:solidFill>
                      </w14:textFill>
                    </w:rPr>
                  </w:pPr>
                </w:p>
              </w:tc>
              <w:tc>
                <w:tcPr>
                  <w:tcW w:w="483" w:type="pct"/>
                  <w:gridSpan w:val="2"/>
                  <w:vAlign w:val="center"/>
                </w:tcPr>
                <w:p w14:paraId="280B486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雨水</w:t>
                  </w:r>
                </w:p>
              </w:tc>
              <w:tc>
                <w:tcPr>
                  <w:tcW w:w="3406" w:type="pct"/>
                  <w:gridSpan w:val="2"/>
                  <w:vAlign w:val="center"/>
                </w:tcPr>
                <w:p w14:paraId="7BDEC89A">
                  <w:pPr>
                    <w:rPr>
                      <w:color w:val="000000" w:themeColor="text1"/>
                      <w:kern w:val="0"/>
                      <w14:textFill>
                        <w14:solidFill>
                          <w14:schemeClr w14:val="tx1"/>
                        </w14:solidFill>
                      </w14:textFill>
                    </w:rPr>
                  </w:pPr>
                  <w:r>
                    <w:rPr>
                      <w:color w:val="000000" w:themeColor="text1"/>
                      <w:szCs w:val="21"/>
                      <w14:textFill>
                        <w14:solidFill>
                          <w14:schemeClr w14:val="tx1"/>
                        </w14:solidFill>
                      </w14:textFill>
                    </w:rPr>
                    <w:t>项目区雨水经雨水沟收集后，直接排入项目区外排水沟</w:t>
                  </w:r>
                  <w:r>
                    <w:rPr>
                      <w:color w:val="000000" w:themeColor="text1"/>
                      <w:kern w:val="0"/>
                      <w:szCs w:val="21"/>
                      <w14:textFill>
                        <w14:solidFill>
                          <w14:schemeClr w14:val="tx1"/>
                        </w14:solidFill>
                      </w14:textFill>
                    </w:rPr>
                    <w:t>。</w:t>
                  </w:r>
                </w:p>
              </w:tc>
              <w:tc>
                <w:tcPr>
                  <w:tcW w:w="467" w:type="pct"/>
                  <w:vAlign w:val="center"/>
                </w:tcPr>
                <w:p w14:paraId="63C1E42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2BE8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0DD5A3EE">
                  <w:pPr>
                    <w:jc w:val="center"/>
                    <w:rPr>
                      <w:color w:val="000000" w:themeColor="text1"/>
                      <w:kern w:val="0"/>
                      <w14:textFill>
                        <w14:solidFill>
                          <w14:schemeClr w14:val="tx1"/>
                        </w14:solidFill>
                      </w14:textFill>
                    </w:rPr>
                  </w:pPr>
                </w:p>
              </w:tc>
              <w:tc>
                <w:tcPr>
                  <w:tcW w:w="253" w:type="pct"/>
                  <w:vMerge w:val="restart"/>
                  <w:vAlign w:val="center"/>
                </w:tcPr>
                <w:p w14:paraId="6474EBEF">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固废</w:t>
                  </w:r>
                </w:p>
              </w:tc>
              <w:tc>
                <w:tcPr>
                  <w:tcW w:w="483" w:type="pct"/>
                  <w:gridSpan w:val="2"/>
                  <w:vAlign w:val="center"/>
                </w:tcPr>
                <w:p w14:paraId="64BBCCED">
                  <w:pPr>
                    <w:jc w:val="center"/>
                    <w:rPr>
                      <w:color w:val="000000" w:themeColor="text1"/>
                      <w:kern w:val="0"/>
                      <w14:textFill>
                        <w14:solidFill>
                          <w14:schemeClr w14:val="tx1"/>
                        </w14:solidFill>
                      </w14:textFill>
                    </w:rPr>
                  </w:pPr>
                  <w:r>
                    <w:rPr>
                      <w:color w:val="000000" w:themeColor="text1"/>
                      <w:szCs w:val="21"/>
                      <w14:textFill>
                        <w14:solidFill>
                          <w14:schemeClr w14:val="tx1"/>
                        </w14:solidFill>
                      </w14:textFill>
                    </w:rPr>
                    <w:t>生活垃圾</w:t>
                  </w:r>
                </w:p>
              </w:tc>
              <w:tc>
                <w:tcPr>
                  <w:tcW w:w="3406" w:type="pct"/>
                  <w:gridSpan w:val="2"/>
                  <w:vAlign w:val="center"/>
                </w:tcPr>
                <w:p w14:paraId="62DCC3D9">
                  <w:pP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设置若干生活垃圾收集桶，定期自行清运至垃圾收集点，</w:t>
                  </w:r>
                  <w:r>
                    <w:rPr>
                      <w:rFonts w:hint="eastAsia"/>
                      <w:color w:val="000000" w:themeColor="text1"/>
                      <w:szCs w:val="21"/>
                      <w14:textFill>
                        <w14:solidFill>
                          <w14:schemeClr w14:val="tx1"/>
                        </w14:solidFill>
                      </w14:textFill>
                    </w:rPr>
                    <w:t>交由环卫部门处置</w:t>
                  </w:r>
                  <w:r>
                    <w:rPr>
                      <w:color w:val="000000" w:themeColor="text1"/>
                      <w:szCs w:val="21"/>
                      <w14:textFill>
                        <w14:solidFill>
                          <w14:schemeClr w14:val="tx1"/>
                        </w14:solidFill>
                      </w14:textFill>
                    </w:rPr>
                    <w:t>。</w:t>
                  </w:r>
                </w:p>
              </w:tc>
              <w:tc>
                <w:tcPr>
                  <w:tcW w:w="467" w:type="pct"/>
                  <w:vAlign w:val="center"/>
                </w:tcPr>
                <w:p w14:paraId="3292B7B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104A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20774196">
                  <w:pPr>
                    <w:jc w:val="center"/>
                    <w:rPr>
                      <w:color w:val="000000" w:themeColor="text1"/>
                      <w:kern w:val="0"/>
                      <w14:textFill>
                        <w14:solidFill>
                          <w14:schemeClr w14:val="tx1"/>
                        </w14:solidFill>
                      </w14:textFill>
                    </w:rPr>
                  </w:pPr>
                </w:p>
              </w:tc>
              <w:tc>
                <w:tcPr>
                  <w:tcW w:w="253" w:type="pct"/>
                  <w:vMerge w:val="continue"/>
                  <w:vAlign w:val="center"/>
                </w:tcPr>
                <w:p w14:paraId="1F829CF2">
                  <w:pPr>
                    <w:jc w:val="center"/>
                    <w:rPr>
                      <w:color w:val="000000" w:themeColor="text1"/>
                      <w:kern w:val="0"/>
                      <w:highlight w:val="yellow"/>
                      <w14:textFill>
                        <w14:solidFill>
                          <w14:schemeClr w14:val="tx1"/>
                        </w14:solidFill>
                      </w14:textFill>
                    </w:rPr>
                  </w:pPr>
                </w:p>
              </w:tc>
              <w:tc>
                <w:tcPr>
                  <w:tcW w:w="483" w:type="pct"/>
                  <w:gridSpan w:val="2"/>
                  <w:vAlign w:val="center"/>
                </w:tcPr>
                <w:p w14:paraId="13DEDE98">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一般固废</w:t>
                  </w:r>
                </w:p>
              </w:tc>
              <w:tc>
                <w:tcPr>
                  <w:tcW w:w="3406" w:type="pct"/>
                  <w:gridSpan w:val="2"/>
                  <w:vAlign w:val="center"/>
                </w:tcPr>
                <w:p w14:paraId="1E2A80BB">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①不合格产品、有机肥</w:t>
                  </w:r>
                  <w:r>
                    <w:rPr>
                      <w:rFonts w:hint="eastAsia"/>
                      <w:color w:val="000000" w:themeColor="text1"/>
                      <w:szCs w:val="21"/>
                      <w:lang w:val="en-US" w:eastAsia="zh-CN"/>
                      <w14:textFill>
                        <w14:solidFill>
                          <w14:schemeClr w14:val="tx1"/>
                        </w14:solidFill>
                      </w14:textFill>
                    </w:rPr>
                    <w:t>沉降物</w:t>
                  </w:r>
                  <w:r>
                    <w:rPr>
                      <w:rFonts w:hint="eastAsia"/>
                      <w:color w:val="000000" w:themeColor="text1"/>
                      <w:szCs w:val="21"/>
                      <w14:textFill>
                        <w14:solidFill>
                          <w14:schemeClr w14:val="tx1"/>
                        </w14:solidFill>
                      </w14:textFill>
                    </w:rPr>
                    <w:t>返回生产；②废包装物外售废旧资源回收单位；</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③</w:t>
                  </w:r>
                  <w:r>
                    <w:rPr>
                      <w:rFonts w:hint="eastAsia"/>
                      <w:color w:val="000000" w:themeColor="text1"/>
                      <w:kern w:val="1"/>
                      <w:szCs w:val="21"/>
                      <w14:textFill>
                        <w14:solidFill>
                          <w14:schemeClr w14:val="tx1"/>
                        </w14:solidFill>
                      </w14:textFill>
                    </w:rPr>
                    <w:t>污水处理污泥：</w:t>
                  </w:r>
                  <w:r>
                    <w:rPr>
                      <w:color w:val="000000" w:themeColor="text1"/>
                      <w:kern w:val="0"/>
                      <w:szCs w:val="21"/>
                      <w14:textFill>
                        <w14:solidFill>
                          <w14:schemeClr w14:val="tx1"/>
                        </w14:solidFill>
                      </w14:textFill>
                    </w:rPr>
                    <w:t>运往云南龙氏肥业有限公司处置</w:t>
                  </w:r>
                  <w:r>
                    <w:rPr>
                      <w:rFonts w:hint="eastAsia"/>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④员工生活垃圾集中收集后由当地环卫部门定期清运处理；⑤化粪池污泥定期清掏，委</w:t>
                  </w:r>
                  <w:r>
                    <w:rPr>
                      <w:color w:val="000000" w:themeColor="text1"/>
                      <w:kern w:val="1"/>
                      <w:szCs w:val="21"/>
                      <w14:textFill>
                        <w14:solidFill>
                          <w14:schemeClr w14:val="tx1"/>
                        </w14:solidFill>
                      </w14:textFill>
                    </w:rPr>
                    <w:t>定期委托环卫部门清掏处置</w:t>
                  </w:r>
                  <w:r>
                    <w:rPr>
                      <w:rFonts w:hint="eastAsia"/>
                      <w:color w:val="000000" w:themeColor="text1"/>
                      <w:szCs w:val="21"/>
                      <w14:textFill>
                        <w14:solidFill>
                          <w14:schemeClr w14:val="tx1"/>
                        </w14:solidFill>
                      </w14:textFill>
                    </w:rPr>
                    <w:t>；⑥废机油危险废物，需分类收集于专用容器，交由持有危险废物经营许可证的单位处置，并严格执行危险废物转移联单制度；⑦</w:t>
                  </w:r>
                  <w:r>
                    <w:rPr>
                      <w:color w:val="000000" w:themeColor="text1"/>
                      <w:kern w:val="1"/>
                      <w:szCs w:val="21"/>
                      <w14:textFill>
                        <w14:solidFill>
                          <w14:schemeClr w14:val="tx1"/>
                        </w14:solidFill>
                      </w14:textFill>
                    </w:rPr>
                    <w:t>厨房废水隔油</w:t>
                  </w:r>
                  <w:r>
                    <w:rPr>
                      <w:rFonts w:hint="eastAsia"/>
                      <w:color w:val="000000" w:themeColor="text1"/>
                      <w:kern w:val="1"/>
                      <w:szCs w:val="21"/>
                      <w14:textFill>
                        <w14:solidFill>
                          <w14:schemeClr w14:val="tx1"/>
                        </w14:solidFill>
                      </w14:textFill>
                    </w:rPr>
                    <w:t>器</w:t>
                  </w:r>
                  <w:r>
                    <w:rPr>
                      <w:color w:val="000000" w:themeColor="text1"/>
                      <w:kern w:val="1"/>
                      <w:szCs w:val="21"/>
                      <w14:textFill>
                        <w14:solidFill>
                          <w14:schemeClr w14:val="tx1"/>
                        </w14:solidFill>
                      </w14:textFill>
                    </w:rPr>
                    <w:t>废油自行清掏，收集于专用带盖塑料桶内，定期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r>
                    <w:rPr>
                      <w:rFonts w:hint="eastAsia"/>
                      <w:color w:val="000000" w:themeColor="text1"/>
                      <w:kern w:val="1"/>
                      <w:szCs w:val="21"/>
                      <w14:textFill>
                        <w14:solidFill>
                          <w14:schemeClr w14:val="tx1"/>
                        </w14:solidFill>
                      </w14:textFill>
                    </w:rPr>
                    <w:t>⑧厨余垃圾，</w:t>
                  </w:r>
                  <w:r>
                    <w:rPr>
                      <w:color w:val="000000" w:themeColor="text1"/>
                      <w:szCs w:val="21"/>
                      <w14:textFill>
                        <w14:solidFill>
                          <w14:schemeClr w14:val="tx1"/>
                        </w14:solidFill>
                      </w14:textFill>
                    </w:rPr>
                    <w:t>委托资质单位清运处置。</w:t>
                  </w:r>
                </w:p>
              </w:tc>
              <w:tc>
                <w:tcPr>
                  <w:tcW w:w="467" w:type="pct"/>
                  <w:vAlign w:val="center"/>
                </w:tcPr>
                <w:p w14:paraId="7EF713D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新建+依托</w:t>
                  </w:r>
                </w:p>
              </w:tc>
            </w:tr>
            <w:tr w14:paraId="7396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1E86CDC4">
                  <w:pPr>
                    <w:jc w:val="center"/>
                    <w:rPr>
                      <w:color w:val="000000" w:themeColor="text1"/>
                      <w:kern w:val="0"/>
                      <w14:textFill>
                        <w14:solidFill>
                          <w14:schemeClr w14:val="tx1"/>
                        </w14:solidFill>
                      </w14:textFill>
                    </w:rPr>
                  </w:pPr>
                </w:p>
              </w:tc>
              <w:tc>
                <w:tcPr>
                  <w:tcW w:w="253" w:type="pct"/>
                  <w:vMerge w:val="continue"/>
                  <w:vAlign w:val="center"/>
                </w:tcPr>
                <w:p w14:paraId="6AA54119">
                  <w:pPr>
                    <w:jc w:val="center"/>
                    <w:rPr>
                      <w:color w:val="000000" w:themeColor="text1"/>
                      <w:kern w:val="0"/>
                      <w:highlight w:val="yellow"/>
                      <w14:textFill>
                        <w14:solidFill>
                          <w14:schemeClr w14:val="tx1"/>
                        </w14:solidFill>
                      </w14:textFill>
                    </w:rPr>
                  </w:pPr>
                </w:p>
              </w:tc>
              <w:tc>
                <w:tcPr>
                  <w:tcW w:w="483" w:type="pct"/>
                  <w:gridSpan w:val="2"/>
                  <w:vAlign w:val="center"/>
                </w:tcPr>
                <w:p w14:paraId="6446EBAE">
                  <w:pPr>
                    <w:jc w:val="center"/>
                    <w:rPr>
                      <w:color w:val="000000" w:themeColor="text1"/>
                      <w:kern w:val="0"/>
                      <w:highlight w:val="yellow"/>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3406" w:type="pct"/>
                  <w:gridSpan w:val="2"/>
                  <w:vAlign w:val="center"/>
                </w:tcPr>
                <w:p w14:paraId="1C85A6E9">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废机油需收集于专用容器，交由持有危险废物经营许可证的单位处置，并严格执行危险废物转移联单制度。依托已建成的危险废物贮存库，已通过竣工验收，已按照</w:t>
                  </w:r>
                  <w:r>
                    <w:rPr>
                      <w:color w:val="000000" w:themeColor="text1"/>
                      <w:szCs w:val="21"/>
                      <w14:textFill>
                        <w14:solidFill>
                          <w14:schemeClr w14:val="tx1"/>
                        </w14:solidFill>
                      </w14:textFill>
                    </w:rPr>
                    <w:t>《危险废物贮存污染控制标准》（GB18597-2023）要求</w:t>
                  </w:r>
                  <w:r>
                    <w:rPr>
                      <w:rFonts w:hint="eastAsia"/>
                      <w:color w:val="000000" w:themeColor="text1"/>
                      <w:szCs w:val="21"/>
                      <w14:textFill>
                        <w14:solidFill>
                          <w14:schemeClr w14:val="tx1"/>
                        </w14:solidFill>
                      </w14:textFill>
                    </w:rPr>
                    <w:t>进行</w:t>
                  </w:r>
                  <w:r>
                    <w:rPr>
                      <w:color w:val="000000" w:themeColor="text1"/>
                      <w:szCs w:val="21"/>
                      <w14:textFill>
                        <w14:solidFill>
                          <w14:schemeClr w14:val="tx1"/>
                        </w14:solidFill>
                      </w14:textFill>
                    </w:rPr>
                    <w:t>防渗工程。</w:t>
                  </w:r>
                </w:p>
              </w:tc>
              <w:tc>
                <w:tcPr>
                  <w:tcW w:w="467" w:type="pct"/>
                  <w:vAlign w:val="center"/>
                </w:tcPr>
                <w:p w14:paraId="78DBC63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w:t>
                  </w:r>
                </w:p>
              </w:tc>
            </w:tr>
            <w:tr w14:paraId="66AA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1A422D8C">
                  <w:pPr>
                    <w:jc w:val="center"/>
                    <w:rPr>
                      <w:color w:val="000000" w:themeColor="text1"/>
                      <w:kern w:val="0"/>
                      <w14:textFill>
                        <w14:solidFill>
                          <w14:schemeClr w14:val="tx1"/>
                        </w14:solidFill>
                      </w14:textFill>
                    </w:rPr>
                  </w:pPr>
                </w:p>
              </w:tc>
              <w:tc>
                <w:tcPr>
                  <w:tcW w:w="736" w:type="pct"/>
                  <w:gridSpan w:val="3"/>
                  <w:vAlign w:val="center"/>
                </w:tcPr>
                <w:p w14:paraId="725CB2B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噪声</w:t>
                  </w:r>
                </w:p>
              </w:tc>
              <w:tc>
                <w:tcPr>
                  <w:tcW w:w="3406" w:type="pct"/>
                  <w:gridSpan w:val="2"/>
                  <w:vAlign w:val="center"/>
                </w:tcPr>
                <w:p w14:paraId="51881F16">
                  <w:pPr>
                    <w:ind w:firstLine="420" w:firstLineChars="20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建筑隔声、基础减震</w:t>
                  </w:r>
                </w:p>
              </w:tc>
              <w:tc>
                <w:tcPr>
                  <w:tcW w:w="467" w:type="pct"/>
                  <w:vAlign w:val="center"/>
                </w:tcPr>
                <w:p w14:paraId="1935CD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w:t>
                  </w:r>
                </w:p>
              </w:tc>
            </w:tr>
            <w:tr w14:paraId="1F3D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vMerge w:val="continue"/>
                  <w:vAlign w:val="center"/>
                </w:tcPr>
                <w:p w14:paraId="7FB8ADE3">
                  <w:pPr>
                    <w:jc w:val="center"/>
                    <w:rPr>
                      <w:color w:val="000000" w:themeColor="text1"/>
                      <w:kern w:val="0"/>
                      <w14:textFill>
                        <w14:solidFill>
                          <w14:schemeClr w14:val="tx1"/>
                        </w14:solidFill>
                      </w14:textFill>
                    </w:rPr>
                  </w:pPr>
                </w:p>
              </w:tc>
              <w:tc>
                <w:tcPr>
                  <w:tcW w:w="736" w:type="pct"/>
                  <w:gridSpan w:val="3"/>
                  <w:vAlign w:val="center"/>
                </w:tcPr>
                <w:p w14:paraId="7956E8DD">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w:t>
                  </w:r>
                </w:p>
              </w:tc>
              <w:tc>
                <w:tcPr>
                  <w:tcW w:w="3406" w:type="pct"/>
                  <w:gridSpan w:val="2"/>
                  <w:vAlign w:val="center"/>
                </w:tcPr>
                <w:p w14:paraId="6F7388C0">
                  <w:pPr>
                    <w:ind w:firstLine="420" w:firstLineChars="200"/>
                    <w:jc w:val="center"/>
                    <w:rPr>
                      <w:color w:val="000000" w:themeColor="text1"/>
                      <w:kern w:val="0"/>
                      <w:vertAlign w:val="superscript"/>
                      <w14:textFill>
                        <w14:solidFill>
                          <w14:schemeClr w14:val="tx1"/>
                        </w14:solidFill>
                      </w14:textFill>
                    </w:rPr>
                  </w:pPr>
                  <w:r>
                    <w:rPr>
                      <w:rFonts w:hint="eastAsia"/>
                      <w:color w:val="000000" w:themeColor="text1"/>
                      <w:kern w:val="0"/>
                      <w:shd w:val="clear" w:color="auto" w:fill="FFFFFF" w:themeFill="background1"/>
                      <w14:textFill>
                        <w14:solidFill>
                          <w14:schemeClr w14:val="tx1"/>
                        </w14:solidFill>
                      </w14:textFill>
                    </w:rPr>
                    <w:t>绿化面积300m</w:t>
                  </w:r>
                  <w:r>
                    <w:rPr>
                      <w:rFonts w:hint="eastAsia"/>
                      <w:color w:val="000000" w:themeColor="text1"/>
                      <w:kern w:val="0"/>
                      <w:shd w:val="clear" w:color="auto" w:fill="FFFFFF" w:themeFill="background1"/>
                      <w:vertAlign w:val="superscript"/>
                      <w14:textFill>
                        <w14:solidFill>
                          <w14:schemeClr w14:val="tx1"/>
                        </w14:solidFill>
                      </w14:textFill>
                    </w:rPr>
                    <w:t>2</w:t>
                  </w:r>
                </w:p>
              </w:tc>
              <w:tc>
                <w:tcPr>
                  <w:tcW w:w="467" w:type="pct"/>
                  <w:vAlign w:val="center"/>
                </w:tcPr>
                <w:p w14:paraId="3EFB3D8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已建</w:t>
                  </w:r>
                </w:p>
              </w:tc>
            </w:tr>
          </w:tbl>
          <w:p w14:paraId="5F403790">
            <w:pPr>
              <w:spacing w:line="360" w:lineRule="auto"/>
              <w:ind w:firstLine="482" w:firstLineChars="200"/>
              <w:rPr>
                <w:color w:val="000000" w:themeColor="text1"/>
                <w:kern w:val="0"/>
                <w14:textFill>
                  <w14:solidFill>
                    <w14:schemeClr w14:val="tx1"/>
                  </w14:solidFill>
                </w14:textFill>
              </w:rPr>
            </w:pPr>
            <w:r>
              <w:rPr>
                <w:rFonts w:hint="eastAsia"/>
                <w:b/>
                <w:bCs/>
                <w:color w:val="000000" w:themeColor="text1"/>
                <w:kern w:val="0"/>
                <w:sz w:val="24"/>
                <w14:textFill>
                  <w14:solidFill>
                    <w14:schemeClr w14:val="tx1"/>
                  </w14:solidFill>
                </w14:textFill>
              </w:rPr>
              <w:t>3、产品方案</w:t>
            </w:r>
          </w:p>
          <w:p w14:paraId="6357A9A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项目产品方案见</w:t>
            </w:r>
            <w:r>
              <w:rPr>
                <w:color w:val="000000" w:themeColor="text1"/>
                <w:kern w:val="0"/>
                <w:sz w:val="24"/>
                <w14:textFill>
                  <w14:solidFill>
                    <w14:schemeClr w14:val="tx1"/>
                  </w14:solidFill>
                </w14:textFill>
              </w:rPr>
              <w:t>表2-2。</w:t>
            </w:r>
          </w:p>
          <w:p w14:paraId="3A75366E">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表2-2  建设项目主要产品及产能</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168"/>
              <w:gridCol w:w="1178"/>
              <w:gridCol w:w="1178"/>
              <w:gridCol w:w="1041"/>
              <w:gridCol w:w="1171"/>
              <w:gridCol w:w="1822"/>
            </w:tblGrid>
            <w:tr w14:paraId="778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37605D55">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产品</w:t>
                  </w:r>
                </w:p>
                <w:p w14:paraId="055632F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675" w:type="pct"/>
                  <w:tcBorders>
                    <w:top w:val="single" w:color="auto" w:sz="4" w:space="0"/>
                    <w:left w:val="single" w:color="auto" w:sz="4" w:space="0"/>
                    <w:bottom w:val="single" w:color="auto" w:sz="4" w:space="0"/>
                    <w:right w:val="single" w:color="auto" w:sz="4" w:space="0"/>
                  </w:tcBorders>
                  <w:vAlign w:val="center"/>
                </w:tcPr>
                <w:p w14:paraId="53ADB5C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改扩建前</w:t>
                  </w:r>
                  <w:r>
                    <w:rPr>
                      <w:b/>
                      <w:bCs/>
                      <w:color w:val="000000" w:themeColor="text1"/>
                      <w:kern w:val="0"/>
                      <w:szCs w:val="21"/>
                      <w14:textFill>
                        <w14:solidFill>
                          <w14:schemeClr w14:val="tx1"/>
                        </w14:solidFill>
                      </w14:textFill>
                    </w:rPr>
                    <w:t>产量</w:t>
                  </w:r>
                </w:p>
                <w:p w14:paraId="058EBEC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81" w:type="pct"/>
                  <w:tcBorders>
                    <w:top w:val="single" w:color="auto" w:sz="4" w:space="0"/>
                    <w:left w:val="single" w:color="auto" w:sz="4" w:space="0"/>
                    <w:bottom w:val="single" w:color="auto" w:sz="4" w:space="0"/>
                    <w:right w:val="single" w:color="auto" w:sz="4" w:space="0"/>
                  </w:tcBorders>
                  <w:vAlign w:val="center"/>
                </w:tcPr>
                <w:p w14:paraId="6B2DF567">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改扩建后变化量</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81" w:type="pct"/>
                  <w:tcBorders>
                    <w:top w:val="single" w:color="auto" w:sz="4" w:space="0"/>
                    <w:left w:val="single" w:color="auto" w:sz="4" w:space="0"/>
                    <w:bottom w:val="single" w:color="auto" w:sz="4" w:space="0"/>
                    <w:right w:val="single" w:color="auto" w:sz="4" w:space="0"/>
                  </w:tcBorders>
                  <w:vAlign w:val="center"/>
                </w:tcPr>
                <w:p w14:paraId="3CFA166C">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全厂产量</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t</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a</w:t>
                  </w:r>
                  <w:r>
                    <w:rPr>
                      <w:b/>
                      <w:bCs/>
                      <w:color w:val="000000" w:themeColor="text1"/>
                      <w:kern w:val="0"/>
                      <w:szCs w:val="21"/>
                      <w14:textFill>
                        <w14:solidFill>
                          <w14:schemeClr w14:val="tx1"/>
                        </w14:solidFill>
                      </w14:textFill>
                    </w:rPr>
                    <w:t>）</w:t>
                  </w:r>
                </w:p>
              </w:tc>
              <w:tc>
                <w:tcPr>
                  <w:tcW w:w="602" w:type="pct"/>
                  <w:tcBorders>
                    <w:top w:val="single" w:color="auto" w:sz="4" w:space="0"/>
                    <w:left w:val="single" w:color="auto" w:sz="4" w:space="0"/>
                    <w:bottom w:val="single" w:color="auto" w:sz="4" w:space="0"/>
                    <w:right w:val="single" w:color="auto" w:sz="4" w:space="0"/>
                  </w:tcBorders>
                  <w:vAlign w:val="center"/>
                </w:tcPr>
                <w:p w14:paraId="5CE0F143">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性状</w:t>
                  </w:r>
                </w:p>
              </w:tc>
              <w:tc>
                <w:tcPr>
                  <w:tcW w:w="677" w:type="pct"/>
                  <w:tcBorders>
                    <w:top w:val="single" w:color="auto" w:sz="4" w:space="0"/>
                    <w:left w:val="single" w:color="auto" w:sz="4" w:space="0"/>
                    <w:bottom w:val="single" w:color="auto" w:sz="4" w:space="0"/>
                    <w:right w:val="single" w:color="auto" w:sz="4" w:space="0"/>
                  </w:tcBorders>
                  <w:vAlign w:val="center"/>
                </w:tcPr>
                <w:p w14:paraId="6B9433F9">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包装方式</w:t>
                  </w:r>
                </w:p>
              </w:tc>
              <w:tc>
                <w:tcPr>
                  <w:tcW w:w="1053" w:type="pct"/>
                  <w:tcBorders>
                    <w:top w:val="single" w:color="auto" w:sz="4" w:space="0"/>
                    <w:left w:val="single" w:color="auto" w:sz="4" w:space="0"/>
                    <w:bottom w:val="single" w:color="auto" w:sz="4" w:space="0"/>
                    <w:right w:val="single" w:color="auto" w:sz="4" w:space="0"/>
                  </w:tcBorders>
                  <w:vAlign w:val="center"/>
                </w:tcPr>
                <w:p w14:paraId="7E44A926">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产品执行标准</w:t>
                  </w:r>
                </w:p>
              </w:tc>
            </w:tr>
            <w:tr w14:paraId="2715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7DE4B46B">
                  <w:pPr>
                    <w:jc w:val="center"/>
                    <w:rPr>
                      <w:rFonts w:eastAsia="Calibri"/>
                      <w:color w:val="000000" w:themeColor="text1"/>
                      <w:kern w:val="0"/>
                      <w:szCs w:val="21"/>
                      <w14:textFill>
                        <w14:solidFill>
                          <w14:schemeClr w14:val="tx1"/>
                        </w14:solidFill>
                      </w14:textFill>
                    </w:rPr>
                  </w:pPr>
                  <w:r>
                    <w:rPr>
                      <w:rFonts w:hint="eastAsia" w:eastAsia="Calibri"/>
                      <w:color w:val="000000" w:themeColor="text1"/>
                      <w:kern w:val="0"/>
                      <w:szCs w:val="21"/>
                      <w14:textFill>
                        <w14:solidFill>
                          <w14:schemeClr w14:val="tx1"/>
                        </w14:solidFill>
                      </w14:textFill>
                    </w:rPr>
                    <w:t>液体</w:t>
                  </w:r>
                </w:p>
                <w:p w14:paraId="3335BD59">
                  <w:pPr>
                    <w:jc w:val="center"/>
                    <w:rPr>
                      <w:rFonts w:eastAsia="Calibri"/>
                      <w:color w:val="000000" w:themeColor="text1"/>
                      <w:kern w:val="0"/>
                      <w:szCs w:val="21"/>
                      <w14:textFill>
                        <w14:solidFill>
                          <w14:schemeClr w14:val="tx1"/>
                        </w14:solidFill>
                      </w14:textFill>
                    </w:rPr>
                  </w:pPr>
                  <w:r>
                    <w:rPr>
                      <w:rFonts w:hint="eastAsia" w:eastAsia="Calibri"/>
                      <w:color w:val="000000" w:themeColor="text1"/>
                      <w:kern w:val="0"/>
                      <w:szCs w:val="21"/>
                      <w14:textFill>
                        <w14:solidFill>
                          <w14:schemeClr w14:val="tx1"/>
                        </w14:solidFill>
                      </w14:textFill>
                    </w:rPr>
                    <w:t>水溶肥</w:t>
                  </w:r>
                </w:p>
              </w:tc>
              <w:tc>
                <w:tcPr>
                  <w:tcW w:w="675" w:type="pct"/>
                  <w:tcBorders>
                    <w:top w:val="single" w:color="auto" w:sz="4" w:space="0"/>
                    <w:left w:val="single" w:color="auto" w:sz="4" w:space="0"/>
                    <w:bottom w:val="single" w:color="auto" w:sz="4" w:space="0"/>
                    <w:right w:val="single" w:color="auto" w:sz="4" w:space="0"/>
                  </w:tcBorders>
                  <w:vAlign w:val="center"/>
                </w:tcPr>
                <w:p w14:paraId="5A341E7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681" w:type="pct"/>
                  <w:tcBorders>
                    <w:left w:val="single" w:color="auto" w:sz="4" w:space="0"/>
                    <w:right w:val="single" w:color="auto" w:sz="4" w:space="0"/>
                  </w:tcBorders>
                  <w:vAlign w:val="center"/>
                </w:tcPr>
                <w:p w14:paraId="4BA4CD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80</w:t>
                  </w:r>
                  <w:r>
                    <w:rPr>
                      <w:rFonts w:hint="eastAsia"/>
                      <w:color w:val="000000" w:themeColor="text1"/>
                      <w:kern w:val="0"/>
                      <w:szCs w:val="21"/>
                      <w14:textFill>
                        <w14:solidFill>
                          <w14:schemeClr w14:val="tx1"/>
                        </w14:solidFill>
                      </w14:textFill>
                    </w:rPr>
                    <w:t>00</w:t>
                  </w:r>
                </w:p>
              </w:tc>
              <w:tc>
                <w:tcPr>
                  <w:tcW w:w="681" w:type="pct"/>
                  <w:tcBorders>
                    <w:left w:val="single" w:color="auto" w:sz="4" w:space="0"/>
                    <w:right w:val="single" w:color="auto" w:sz="4" w:space="0"/>
                  </w:tcBorders>
                  <w:vAlign w:val="center"/>
                </w:tcPr>
                <w:p w14:paraId="4EDF8F24">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r>
                    <w:rPr>
                      <w:rFonts w:hint="eastAsia"/>
                      <w:color w:val="000000" w:themeColor="text1"/>
                      <w:kern w:val="0"/>
                      <w:szCs w:val="21"/>
                      <w14:textFill>
                        <w14:solidFill>
                          <w14:schemeClr w14:val="tx1"/>
                        </w14:solidFill>
                      </w14:textFill>
                    </w:rPr>
                    <w:t>00</w:t>
                  </w:r>
                </w:p>
              </w:tc>
              <w:tc>
                <w:tcPr>
                  <w:tcW w:w="602" w:type="pct"/>
                  <w:tcBorders>
                    <w:left w:val="single" w:color="auto" w:sz="4" w:space="0"/>
                    <w:right w:val="single" w:color="auto" w:sz="4" w:space="0"/>
                  </w:tcBorders>
                  <w:vAlign w:val="center"/>
                </w:tcPr>
                <w:p w14:paraId="3FA7F19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液态</w:t>
                  </w:r>
                </w:p>
              </w:tc>
              <w:tc>
                <w:tcPr>
                  <w:tcW w:w="677" w:type="pct"/>
                  <w:tcBorders>
                    <w:left w:val="single" w:color="auto" w:sz="4" w:space="0"/>
                    <w:right w:val="single" w:color="auto" w:sz="4" w:space="0"/>
                  </w:tcBorders>
                  <w:vAlign w:val="center"/>
                </w:tcPr>
                <w:p w14:paraId="57BB91FA">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桶装20kg/桶</w:t>
                  </w:r>
                </w:p>
              </w:tc>
              <w:tc>
                <w:tcPr>
                  <w:tcW w:w="1053" w:type="pct"/>
                  <w:tcBorders>
                    <w:left w:val="single" w:color="auto" w:sz="4" w:space="0"/>
                    <w:right w:val="single" w:color="auto" w:sz="4" w:space="0"/>
                  </w:tcBorders>
                  <w:vAlign w:val="center"/>
                </w:tcPr>
                <w:p w14:paraId="00412745">
                  <w:pPr>
                    <w:tabs>
                      <w:tab w:val="left" w:pos="2395"/>
                    </w:tabs>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《大量元素水溶肥料》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NY/T 1107-2020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r>
            <w:tr w14:paraId="0BC7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bottom w:val="single" w:color="auto" w:sz="4" w:space="0"/>
                    <w:right w:val="single" w:color="auto" w:sz="4" w:space="0"/>
                  </w:tcBorders>
                  <w:vAlign w:val="center"/>
                </w:tcPr>
                <w:p w14:paraId="2AEAFC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p w14:paraId="04FC3BA7">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水溶</w:t>
                  </w:r>
                  <w:r>
                    <w:rPr>
                      <w:rFonts w:hint="eastAsia"/>
                      <w:color w:val="000000" w:themeColor="text1"/>
                      <w:szCs w:val="21"/>
                      <w14:textFill>
                        <w14:solidFill>
                          <w14:schemeClr w14:val="tx1"/>
                        </w14:solidFill>
                      </w14:textFill>
                    </w:rPr>
                    <w:t>肥</w:t>
                  </w:r>
                </w:p>
              </w:tc>
              <w:tc>
                <w:tcPr>
                  <w:tcW w:w="675" w:type="pct"/>
                  <w:tcBorders>
                    <w:top w:val="single" w:color="auto" w:sz="4" w:space="0"/>
                    <w:left w:val="single" w:color="auto" w:sz="4" w:space="0"/>
                    <w:bottom w:val="single" w:color="auto" w:sz="4" w:space="0"/>
                    <w:right w:val="single" w:color="auto" w:sz="4" w:space="0"/>
                  </w:tcBorders>
                  <w:vAlign w:val="center"/>
                </w:tcPr>
                <w:p w14:paraId="2D8E4D8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681" w:type="pct"/>
                  <w:tcBorders>
                    <w:left w:val="single" w:color="auto" w:sz="4" w:space="0"/>
                    <w:right w:val="single" w:color="auto" w:sz="4" w:space="0"/>
                  </w:tcBorders>
                  <w:vAlign w:val="center"/>
                </w:tcPr>
                <w:p w14:paraId="6A19E76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800</w:t>
                  </w:r>
                  <w:r>
                    <w:rPr>
                      <w:rFonts w:hint="eastAsia"/>
                      <w:color w:val="000000" w:themeColor="text1"/>
                      <w:kern w:val="0"/>
                      <w:szCs w:val="21"/>
                      <w14:textFill>
                        <w14:solidFill>
                          <w14:schemeClr w14:val="tx1"/>
                        </w14:solidFill>
                      </w14:textFill>
                    </w:rPr>
                    <w:t>00</w:t>
                  </w:r>
                </w:p>
              </w:tc>
              <w:tc>
                <w:tcPr>
                  <w:tcW w:w="681" w:type="pct"/>
                  <w:tcBorders>
                    <w:left w:val="single" w:color="auto" w:sz="4" w:space="0"/>
                    <w:right w:val="single" w:color="auto" w:sz="4" w:space="0"/>
                  </w:tcBorders>
                  <w:vAlign w:val="center"/>
                </w:tcPr>
                <w:p w14:paraId="0A3A37D2">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800</w:t>
                  </w:r>
                  <w:r>
                    <w:rPr>
                      <w:rFonts w:hint="eastAsia"/>
                      <w:color w:val="000000" w:themeColor="text1"/>
                      <w:kern w:val="0"/>
                      <w:szCs w:val="21"/>
                      <w14:textFill>
                        <w14:solidFill>
                          <w14:schemeClr w14:val="tx1"/>
                        </w14:solidFill>
                      </w14:textFill>
                    </w:rPr>
                    <w:t>00</w:t>
                  </w:r>
                </w:p>
              </w:tc>
              <w:tc>
                <w:tcPr>
                  <w:tcW w:w="602" w:type="pct"/>
                  <w:tcBorders>
                    <w:left w:val="single" w:color="auto" w:sz="4" w:space="0"/>
                    <w:right w:val="single" w:color="auto" w:sz="4" w:space="0"/>
                  </w:tcBorders>
                  <w:vAlign w:val="center"/>
                </w:tcPr>
                <w:p w14:paraId="2A76405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粉状</w:t>
                  </w:r>
                </w:p>
              </w:tc>
              <w:tc>
                <w:tcPr>
                  <w:tcW w:w="677" w:type="pct"/>
                  <w:tcBorders>
                    <w:left w:val="single" w:color="auto" w:sz="4" w:space="0"/>
                    <w:right w:val="single" w:color="auto" w:sz="4" w:space="0"/>
                  </w:tcBorders>
                  <w:vAlign w:val="center"/>
                </w:tcPr>
                <w:p w14:paraId="3E7D1BF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袋装</w:t>
                  </w:r>
                </w:p>
                <w:p w14:paraId="443BE23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50kg/袋</w:t>
                  </w:r>
                </w:p>
              </w:tc>
              <w:tc>
                <w:tcPr>
                  <w:tcW w:w="1053" w:type="pct"/>
                  <w:tcBorders>
                    <w:left w:val="single" w:color="auto" w:sz="4" w:space="0"/>
                    <w:right w:val="single" w:color="auto" w:sz="4" w:space="0"/>
                  </w:tcBorders>
                  <w:vAlign w:val="center"/>
                </w:tcPr>
                <w:p w14:paraId="7178855D">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《大量元素水溶肥料》</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NY/T 1107-2020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r>
            <w:tr w14:paraId="1B9D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op w:val="single" w:color="auto" w:sz="4" w:space="0"/>
                    <w:left w:val="single" w:color="auto" w:sz="4" w:space="0"/>
                    <w:right w:val="single" w:color="auto" w:sz="4" w:space="0"/>
                  </w:tcBorders>
                  <w:vAlign w:val="center"/>
                </w:tcPr>
                <w:p w14:paraId="2F01AE9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蔬菜</w:t>
                  </w:r>
                </w:p>
                <w:p w14:paraId="521CA406">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干饲料</w:t>
                  </w:r>
                </w:p>
              </w:tc>
              <w:tc>
                <w:tcPr>
                  <w:tcW w:w="675" w:type="pct"/>
                  <w:tcBorders>
                    <w:top w:val="single" w:color="auto" w:sz="4" w:space="0"/>
                    <w:left w:val="single" w:color="auto" w:sz="4" w:space="0"/>
                    <w:bottom w:val="single" w:color="auto" w:sz="4" w:space="0"/>
                    <w:right w:val="single" w:color="auto" w:sz="4" w:space="0"/>
                  </w:tcBorders>
                  <w:vAlign w:val="center"/>
                </w:tcPr>
                <w:p w14:paraId="470C03E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31000</w:t>
                  </w:r>
                </w:p>
              </w:tc>
              <w:tc>
                <w:tcPr>
                  <w:tcW w:w="681" w:type="pct"/>
                  <w:tcBorders>
                    <w:left w:val="single" w:color="auto" w:sz="4" w:space="0"/>
                    <w:right w:val="single" w:color="auto" w:sz="4" w:space="0"/>
                  </w:tcBorders>
                  <w:vAlign w:val="center"/>
                </w:tcPr>
                <w:p w14:paraId="5CF0BF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-27900</w:t>
                  </w:r>
                </w:p>
              </w:tc>
              <w:tc>
                <w:tcPr>
                  <w:tcW w:w="681" w:type="pct"/>
                  <w:tcBorders>
                    <w:left w:val="single" w:color="auto" w:sz="4" w:space="0"/>
                    <w:right w:val="single" w:color="auto" w:sz="4" w:space="0"/>
                  </w:tcBorders>
                  <w:vAlign w:val="center"/>
                </w:tcPr>
                <w:p w14:paraId="58EB758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3100</w:t>
                  </w:r>
                </w:p>
              </w:tc>
              <w:tc>
                <w:tcPr>
                  <w:tcW w:w="602" w:type="pct"/>
                  <w:tcBorders>
                    <w:left w:val="single" w:color="auto" w:sz="4" w:space="0"/>
                    <w:right w:val="single" w:color="auto" w:sz="4" w:space="0"/>
                  </w:tcBorders>
                  <w:vAlign w:val="center"/>
                </w:tcPr>
                <w:p w14:paraId="58AF359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颗粒状</w:t>
                  </w:r>
                </w:p>
              </w:tc>
              <w:tc>
                <w:tcPr>
                  <w:tcW w:w="677" w:type="pct"/>
                  <w:tcBorders>
                    <w:left w:val="single" w:color="auto" w:sz="4" w:space="0"/>
                    <w:right w:val="single" w:color="auto" w:sz="4" w:space="0"/>
                  </w:tcBorders>
                  <w:vAlign w:val="center"/>
                </w:tcPr>
                <w:p w14:paraId="2E1BB1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袋装</w:t>
                  </w:r>
                </w:p>
                <w:p w14:paraId="532A037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50kg/袋</w:t>
                  </w:r>
                </w:p>
              </w:tc>
              <w:tc>
                <w:tcPr>
                  <w:tcW w:w="1053" w:type="pct"/>
                  <w:tcBorders>
                    <w:left w:val="single" w:color="auto" w:sz="4" w:space="0"/>
                    <w:right w:val="single" w:color="auto" w:sz="4" w:space="0"/>
                  </w:tcBorders>
                  <w:vAlign w:val="center"/>
                </w:tcPr>
                <w:p w14:paraId="2B6A7C1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目前无蔬菜干饲料相关的产品质量标准</w:t>
                  </w:r>
                </w:p>
              </w:tc>
            </w:tr>
          </w:tbl>
          <w:p w14:paraId="6295E36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项目产品质量</w:t>
            </w:r>
            <w:r>
              <w:rPr>
                <w:rFonts w:hint="eastAsia"/>
                <w:color w:val="000000" w:themeColor="text1"/>
                <w:kern w:val="0"/>
                <w:sz w:val="24"/>
                <w14:textFill>
                  <w14:solidFill>
                    <w14:schemeClr w14:val="tx1"/>
                  </w14:solidFill>
                </w14:textFill>
              </w:rPr>
              <w:t>执行</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大量元素水溶肥料</w:t>
            </w:r>
            <w:r>
              <w:rPr>
                <w:color w:val="000000" w:themeColor="text1"/>
                <w:kern w:val="0"/>
                <w:sz w:val="24"/>
                <w14:textFill>
                  <w14:solidFill>
                    <w14:schemeClr w14:val="tx1"/>
                  </w14:solidFill>
                </w14:textFill>
              </w:rPr>
              <w:t>》（NY∕T1107-2020）固体产品标准，</w:t>
            </w:r>
            <w:r>
              <w:rPr>
                <w:rFonts w:hint="eastAsia"/>
                <w:color w:val="000000" w:themeColor="text1"/>
                <w:kern w:val="0"/>
                <w:sz w:val="24"/>
                <w14:textFill>
                  <w14:solidFill>
                    <w14:schemeClr w14:val="tx1"/>
                  </w14:solidFill>
                </w14:textFill>
              </w:rPr>
              <w:t>质量指标</w:t>
            </w:r>
            <w:r>
              <w:rPr>
                <w:color w:val="000000" w:themeColor="text1"/>
                <w:kern w:val="0"/>
                <w:sz w:val="24"/>
                <w14:textFill>
                  <w14:solidFill>
                    <w14:schemeClr w14:val="tx1"/>
                  </w14:solidFill>
                </w14:textFill>
              </w:rPr>
              <w:t>见表2-3。</w:t>
            </w:r>
          </w:p>
          <w:p w14:paraId="70EB6B7D">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表2-3  《大量元素水溶肥料标准》固体产品质量指标</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2899"/>
              <w:gridCol w:w="4322"/>
            </w:tblGrid>
            <w:tr w14:paraId="4013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42EC664B">
                  <w:pPr>
                    <w:jc w:val="center"/>
                    <w:rPr>
                      <w:rFonts w:eastAsia="Calibri"/>
                      <w:b/>
                      <w:bCs/>
                      <w:color w:val="000000" w:themeColor="text1"/>
                      <w:kern w:val="0"/>
                      <w:szCs w:val="21"/>
                      <w14:textFill>
                        <w14:solidFill>
                          <w14:schemeClr w14:val="tx1"/>
                        </w14:solidFill>
                      </w14:textFill>
                    </w:rPr>
                  </w:pPr>
                  <w:r>
                    <w:rPr>
                      <w:rFonts w:eastAsia="Calibri"/>
                      <w:b/>
                      <w:bCs/>
                      <w:color w:val="000000" w:themeColor="text1"/>
                      <w:kern w:val="0"/>
                      <w:szCs w:val="21"/>
                      <w14:textFill>
                        <w14:solidFill>
                          <w14:schemeClr w14:val="tx1"/>
                        </w14:solidFill>
                      </w14:textFill>
                    </w:rPr>
                    <w:t>项目</w:t>
                  </w:r>
                </w:p>
              </w:tc>
              <w:tc>
                <w:tcPr>
                  <w:tcW w:w="2498" w:type="pct"/>
                  <w:vAlign w:val="center"/>
                </w:tcPr>
                <w:p w14:paraId="55A5F0BF">
                  <w:pPr>
                    <w:jc w:val="center"/>
                    <w:rPr>
                      <w:rFonts w:eastAsia="Calibri"/>
                      <w:b/>
                      <w:bCs/>
                      <w:color w:val="000000" w:themeColor="text1"/>
                      <w:kern w:val="0"/>
                      <w:szCs w:val="21"/>
                      <w14:textFill>
                        <w14:solidFill>
                          <w14:schemeClr w14:val="tx1"/>
                        </w14:solidFill>
                      </w14:textFill>
                    </w:rPr>
                  </w:pPr>
                  <w:r>
                    <w:rPr>
                      <w:rFonts w:hint="eastAsia" w:eastAsia="Calibri"/>
                      <w:b/>
                      <w:bCs/>
                      <w:color w:val="000000" w:themeColor="text1"/>
                      <w:kern w:val="0"/>
                      <w:szCs w:val="21"/>
                      <w14:textFill>
                        <w14:solidFill>
                          <w14:schemeClr w14:val="tx1"/>
                        </w14:solidFill>
                      </w14:textFill>
                    </w:rPr>
                    <w:t>质量指标</w:t>
                  </w:r>
                </w:p>
              </w:tc>
            </w:tr>
            <w:tr w14:paraId="7C84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501" w:type="pct"/>
                  <w:gridSpan w:val="2"/>
                  <w:vAlign w:val="center"/>
                </w:tcPr>
                <w:p w14:paraId="42D1D767">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大量元素含量</w:t>
                  </w:r>
                  <w:r>
                    <w:rPr>
                      <w:rFonts w:eastAsia="Calibri"/>
                      <w:color w:val="000000" w:themeColor="text1"/>
                      <w:kern w:val="0"/>
                      <w:szCs w:val="21"/>
                      <w:vertAlign w:val="superscript"/>
                      <w14:textFill>
                        <w14:solidFill>
                          <w14:schemeClr w14:val="tx1"/>
                        </w14:solidFill>
                      </w14:textFill>
                    </w:rPr>
                    <w:t>a</w:t>
                  </w:r>
                </w:p>
              </w:tc>
              <w:tc>
                <w:tcPr>
                  <w:tcW w:w="2498" w:type="pct"/>
                  <w:vAlign w:val="center"/>
                </w:tcPr>
                <w:p w14:paraId="1BFABF57">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50.0%</w:t>
                  </w:r>
                </w:p>
              </w:tc>
            </w:tr>
            <w:tr w14:paraId="43F0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5C46DCDA">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水不溶物含量</w:t>
                  </w:r>
                </w:p>
              </w:tc>
              <w:tc>
                <w:tcPr>
                  <w:tcW w:w="2498" w:type="pct"/>
                  <w:vAlign w:val="center"/>
                </w:tcPr>
                <w:p w14:paraId="1938583B">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1.0%</w:t>
                  </w:r>
                </w:p>
              </w:tc>
            </w:tr>
            <w:tr w14:paraId="0275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23B33F0A">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水分（H</w:t>
                  </w:r>
                  <w:r>
                    <w:rPr>
                      <w:rFonts w:eastAsia="Calibri"/>
                      <w:color w:val="000000" w:themeColor="text1"/>
                      <w:kern w:val="0"/>
                      <w:szCs w:val="21"/>
                      <w:vertAlign w:val="subscript"/>
                      <w14:textFill>
                        <w14:solidFill>
                          <w14:schemeClr w14:val="tx1"/>
                        </w14:solidFill>
                      </w14:textFill>
                    </w:rPr>
                    <w:t>2</w:t>
                  </w:r>
                  <w:r>
                    <w:rPr>
                      <w:rFonts w:eastAsia="Calibri"/>
                      <w:color w:val="000000" w:themeColor="text1"/>
                      <w:kern w:val="0"/>
                      <w:szCs w:val="21"/>
                      <w14:textFill>
                        <w14:solidFill>
                          <w14:schemeClr w14:val="tx1"/>
                        </w14:solidFill>
                      </w14:textFill>
                    </w:rPr>
                    <w:t>O）含量</w:t>
                  </w:r>
                </w:p>
              </w:tc>
              <w:tc>
                <w:tcPr>
                  <w:tcW w:w="2498" w:type="pct"/>
                  <w:vAlign w:val="center"/>
                </w:tcPr>
                <w:p w14:paraId="116E943C">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w:t>
                  </w:r>
                </w:p>
              </w:tc>
            </w:tr>
            <w:tr w14:paraId="79D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pct"/>
                  <w:gridSpan w:val="2"/>
                  <w:vAlign w:val="center"/>
                </w:tcPr>
                <w:p w14:paraId="26DAFA3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缩脲含量</w:t>
                  </w:r>
                </w:p>
              </w:tc>
              <w:tc>
                <w:tcPr>
                  <w:tcW w:w="2498" w:type="pct"/>
                  <w:vAlign w:val="center"/>
                </w:tcPr>
                <w:p w14:paraId="54B21AD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0.9%</w:t>
                  </w:r>
                </w:p>
              </w:tc>
            </w:tr>
            <w:tr w14:paraId="7C4A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restart"/>
                  <w:vAlign w:val="center"/>
                </w:tcPr>
                <w:p w14:paraId="74B164D3">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氯离子含量</w:t>
                  </w:r>
                  <w:r>
                    <w:rPr>
                      <w:rFonts w:eastAsia="Calibri"/>
                      <w:color w:val="000000" w:themeColor="text1"/>
                      <w:kern w:val="0"/>
                      <w:szCs w:val="21"/>
                      <w:vertAlign w:val="superscript"/>
                      <w14:textFill>
                        <w14:solidFill>
                          <w14:schemeClr w14:val="tx1"/>
                        </w14:solidFill>
                      </w14:textFill>
                    </w:rPr>
                    <w:t>b</w:t>
                  </w:r>
                </w:p>
              </w:tc>
              <w:tc>
                <w:tcPr>
                  <w:tcW w:w="1676" w:type="pct"/>
                  <w:vAlign w:val="center"/>
                </w:tcPr>
                <w:p w14:paraId="7D867C6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未标“含氯”的产品</w:t>
                  </w:r>
                </w:p>
              </w:tc>
              <w:tc>
                <w:tcPr>
                  <w:tcW w:w="2498" w:type="pct"/>
                  <w:vAlign w:val="center"/>
                </w:tcPr>
                <w:p w14:paraId="1C338071">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w:t>
                  </w:r>
                </w:p>
              </w:tc>
            </w:tr>
            <w:tr w14:paraId="5CA7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continue"/>
                  <w:vAlign w:val="center"/>
                </w:tcPr>
                <w:p w14:paraId="0C30B400">
                  <w:pPr>
                    <w:jc w:val="center"/>
                    <w:rPr>
                      <w:rFonts w:eastAsia="Calibri"/>
                      <w:color w:val="000000" w:themeColor="text1"/>
                      <w:kern w:val="0"/>
                      <w:szCs w:val="21"/>
                      <w14:textFill>
                        <w14:solidFill>
                          <w14:schemeClr w14:val="tx1"/>
                        </w14:solidFill>
                      </w14:textFill>
                    </w:rPr>
                  </w:pPr>
                </w:p>
              </w:tc>
              <w:tc>
                <w:tcPr>
                  <w:tcW w:w="1676" w:type="pct"/>
                  <w:vAlign w:val="center"/>
                </w:tcPr>
                <w:p w14:paraId="276D8FBD">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标识“含氯（低氯）”的产品</w:t>
                  </w:r>
                </w:p>
              </w:tc>
              <w:tc>
                <w:tcPr>
                  <w:tcW w:w="2498" w:type="pct"/>
                  <w:vAlign w:val="center"/>
                </w:tcPr>
                <w:p w14:paraId="30660DD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15.0%</w:t>
                  </w:r>
                </w:p>
              </w:tc>
            </w:tr>
            <w:tr w14:paraId="2A2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pct"/>
                  <w:vMerge w:val="continue"/>
                  <w:vAlign w:val="center"/>
                </w:tcPr>
                <w:p w14:paraId="02237D45">
                  <w:pPr>
                    <w:jc w:val="center"/>
                    <w:rPr>
                      <w:rFonts w:eastAsia="Calibri"/>
                      <w:color w:val="000000" w:themeColor="text1"/>
                      <w:kern w:val="0"/>
                      <w:szCs w:val="21"/>
                      <w14:textFill>
                        <w14:solidFill>
                          <w14:schemeClr w14:val="tx1"/>
                        </w14:solidFill>
                      </w14:textFill>
                    </w:rPr>
                  </w:pPr>
                </w:p>
              </w:tc>
              <w:tc>
                <w:tcPr>
                  <w:tcW w:w="1676" w:type="pct"/>
                  <w:vAlign w:val="center"/>
                </w:tcPr>
                <w:p w14:paraId="6A8E3EB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标识“含氯（中氯）”的产品</w:t>
                  </w:r>
                </w:p>
              </w:tc>
              <w:tc>
                <w:tcPr>
                  <w:tcW w:w="2498" w:type="pct"/>
                  <w:vAlign w:val="center"/>
                </w:tcPr>
                <w:p w14:paraId="61109B12">
                  <w:pPr>
                    <w:jc w:val="center"/>
                    <w:rPr>
                      <w:rFonts w:eastAsia="Calibri"/>
                      <w:color w:val="000000" w:themeColor="text1"/>
                      <w:kern w:val="0"/>
                      <w:szCs w:val="21"/>
                      <w14:textFill>
                        <w14:solidFill>
                          <w14:schemeClr w14:val="tx1"/>
                        </w14:solidFill>
                      </w14:textFill>
                    </w:rPr>
                  </w:pPr>
                  <w:r>
                    <w:rPr>
                      <w:rFonts w:eastAsia="Calibri"/>
                      <w:color w:val="000000" w:themeColor="text1"/>
                      <w:kern w:val="0"/>
                      <w:szCs w:val="21"/>
                      <w14:textFill>
                        <w14:solidFill>
                          <w14:schemeClr w14:val="tx1"/>
                        </w14:solidFill>
                      </w14:textFill>
                    </w:rPr>
                    <w:t>30.0%</w:t>
                  </w:r>
                </w:p>
              </w:tc>
            </w:tr>
            <w:tr w14:paraId="61A0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7BB54CE3">
                  <w:pPr>
                    <w:jc w:val="left"/>
                    <w:rPr>
                      <w:rFonts w:eastAsia="Calibri"/>
                      <w:color w:val="000000" w:themeColor="text1"/>
                      <w:kern w:val="0"/>
                      <w:sz w:val="18"/>
                      <w:szCs w:val="18"/>
                      <w14:textFill>
                        <w14:solidFill>
                          <w14:schemeClr w14:val="tx1"/>
                        </w14:solidFill>
                      </w14:textFill>
                    </w:rPr>
                  </w:pPr>
                  <w:r>
                    <w:rPr>
                      <w:rFonts w:eastAsia="Calibri"/>
                      <w:color w:val="000000" w:themeColor="text1"/>
                      <w:kern w:val="0"/>
                      <w:sz w:val="18"/>
                      <w:szCs w:val="18"/>
                      <w14:textFill>
                        <w14:solidFill>
                          <w14:schemeClr w14:val="tx1"/>
                        </w14:solidFill>
                      </w14:textFill>
                    </w:rPr>
                    <w:t>a大量元素含量指总 N、P</w:t>
                  </w:r>
                  <w:r>
                    <w:rPr>
                      <w:rFonts w:eastAsia="Calibri"/>
                      <w:color w:val="000000" w:themeColor="text1"/>
                      <w:kern w:val="0"/>
                      <w:sz w:val="18"/>
                      <w:szCs w:val="18"/>
                      <w:vertAlign w:val="subscript"/>
                      <w14:textFill>
                        <w14:solidFill>
                          <w14:schemeClr w14:val="tx1"/>
                        </w14:solidFill>
                      </w14:textFill>
                    </w:rPr>
                    <w:t>2</w:t>
                  </w:r>
                  <w:r>
                    <w:rPr>
                      <w:rFonts w:eastAsia="Calibri"/>
                      <w:color w:val="000000" w:themeColor="text1"/>
                      <w:kern w:val="0"/>
                      <w:sz w:val="18"/>
                      <w:szCs w:val="18"/>
                      <w14:textFill>
                        <w14:solidFill>
                          <w14:schemeClr w14:val="tx1"/>
                        </w14:solidFill>
                      </w14:textFill>
                    </w:rPr>
                    <w:t>O</w:t>
                  </w:r>
                  <w:r>
                    <w:rPr>
                      <w:rFonts w:eastAsia="Calibri"/>
                      <w:color w:val="000000" w:themeColor="text1"/>
                      <w:kern w:val="0"/>
                      <w:sz w:val="18"/>
                      <w:szCs w:val="18"/>
                      <w:vertAlign w:val="subscript"/>
                      <w14:textFill>
                        <w14:solidFill>
                          <w14:schemeClr w14:val="tx1"/>
                        </w14:solidFill>
                      </w14:textFill>
                    </w:rPr>
                    <w:t>5</w:t>
                  </w:r>
                  <w:r>
                    <w:rPr>
                      <w:rFonts w:eastAsia="Calibri"/>
                      <w:color w:val="000000" w:themeColor="text1"/>
                      <w:kern w:val="0"/>
                      <w:sz w:val="18"/>
                      <w:szCs w:val="18"/>
                      <w14:textFill>
                        <w14:solidFill>
                          <w14:schemeClr w14:val="tx1"/>
                        </w14:solidFill>
                      </w14:textFill>
                    </w:rPr>
                    <w:t>、K</w:t>
                  </w:r>
                  <w:r>
                    <w:rPr>
                      <w:rFonts w:eastAsia="Calibri"/>
                      <w:color w:val="000000" w:themeColor="text1"/>
                      <w:kern w:val="0"/>
                      <w:sz w:val="18"/>
                      <w:szCs w:val="18"/>
                      <w:vertAlign w:val="subscript"/>
                      <w14:textFill>
                        <w14:solidFill>
                          <w14:schemeClr w14:val="tx1"/>
                        </w14:solidFill>
                      </w14:textFill>
                    </w:rPr>
                    <w:t>2</w:t>
                  </w:r>
                  <w:r>
                    <w:rPr>
                      <w:rFonts w:eastAsia="Calibri"/>
                      <w:color w:val="000000" w:themeColor="text1"/>
                      <w:kern w:val="0"/>
                      <w:sz w:val="18"/>
                      <w:szCs w:val="18"/>
                      <w14:textFill>
                        <w14:solidFill>
                          <w14:schemeClr w14:val="tx1"/>
                        </w14:solidFill>
                      </w14:textFill>
                    </w:rPr>
                    <w:t>O含量之和,产品应至少包含其中2种大量元素。单一大量元素含量不低于4.0%或40g/L。各单一大量元素测定值与标明值负偏差的绝对值应不大于1.5%或15 g/L。</w:t>
                  </w:r>
                </w:p>
                <w:p w14:paraId="3D9AE93B">
                  <w:pPr>
                    <w:jc w:val="left"/>
                    <w:rPr>
                      <w:rFonts w:eastAsia="Calibri"/>
                      <w:color w:val="000000" w:themeColor="text1"/>
                      <w:kern w:val="0"/>
                      <w:szCs w:val="21"/>
                      <w14:textFill>
                        <w14:solidFill>
                          <w14:schemeClr w14:val="tx1"/>
                        </w14:solidFill>
                      </w14:textFill>
                    </w:rPr>
                  </w:pPr>
                  <w:r>
                    <w:rPr>
                      <w:rFonts w:eastAsia="Calibri"/>
                      <w:color w:val="000000" w:themeColor="text1"/>
                      <w:kern w:val="0"/>
                      <w:sz w:val="18"/>
                      <w:szCs w:val="18"/>
                      <w14:textFill>
                        <w14:solidFill>
                          <w14:schemeClr w14:val="tx1"/>
                        </w14:solidFill>
                      </w14:textFill>
                    </w:rPr>
                    <w:t>b氯离子含量大于 30.0%或 300 g/L,的产品,应在包装袋上标明“含氯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高氯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”,标识“含氯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高氯</w:t>
                  </w:r>
                  <w:r>
                    <w:rPr>
                      <w:rFonts w:hint="eastAsia" w:eastAsia="Calibri"/>
                      <w:color w:val="000000" w:themeColor="text1"/>
                      <w:kern w:val="0"/>
                      <w:sz w:val="18"/>
                      <w:szCs w:val="18"/>
                      <w14:textFill>
                        <w14:solidFill>
                          <w14:schemeClr w14:val="tx1"/>
                        </w14:solidFill>
                      </w14:textFill>
                    </w:rPr>
                    <w:t>）</w:t>
                  </w:r>
                  <w:r>
                    <w:rPr>
                      <w:rFonts w:eastAsia="Calibri"/>
                      <w:color w:val="000000" w:themeColor="text1"/>
                      <w:kern w:val="0"/>
                      <w:sz w:val="18"/>
                      <w:szCs w:val="18"/>
                      <w14:textFill>
                        <w14:solidFill>
                          <w14:schemeClr w14:val="tx1"/>
                        </w14:solidFill>
                      </w14:textFill>
                    </w:rPr>
                    <w:t>”的产品,氯离子含量可不做检验和判定。</w:t>
                  </w:r>
                </w:p>
              </w:tc>
            </w:tr>
          </w:tbl>
          <w:p w14:paraId="575114AE">
            <w:pPr>
              <w:spacing w:before="120" w:beforeLines="50" w:line="360" w:lineRule="auto"/>
              <w:ind w:firstLine="472" w:firstLineChars="196"/>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4、主要生产设施</w:t>
            </w:r>
            <w:bookmarkStart w:id="25" w:name="表2-2__本项目主要生产设施一览表"/>
            <w:bookmarkEnd w:id="25"/>
          </w:p>
          <w:p w14:paraId="3E8BEF00">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项目主要生产设备见表2-4。</w:t>
            </w:r>
          </w:p>
          <w:p w14:paraId="469AF946">
            <w:pPr>
              <w:ind w:firstLine="413" w:firstLineChars="196"/>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表2-4  主要生产设施一览表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2416"/>
              <w:gridCol w:w="1204"/>
              <w:gridCol w:w="1024"/>
              <w:gridCol w:w="789"/>
              <w:gridCol w:w="1318"/>
            </w:tblGrid>
            <w:tr w14:paraId="6EC9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38674C7">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设备名称</w:t>
                  </w:r>
                </w:p>
              </w:tc>
              <w:tc>
                <w:tcPr>
                  <w:tcW w:w="1397" w:type="pct"/>
                  <w:vAlign w:val="center"/>
                </w:tcPr>
                <w:p w14:paraId="0BB1855F">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规格型号</w:t>
                  </w:r>
                </w:p>
              </w:tc>
              <w:tc>
                <w:tcPr>
                  <w:tcW w:w="696" w:type="pct"/>
                  <w:vAlign w:val="center"/>
                </w:tcPr>
                <w:p w14:paraId="5ED6E052">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技改扩建前</w:t>
                  </w:r>
                  <w:r>
                    <w:rPr>
                      <w:b/>
                      <w:bCs/>
                      <w:color w:val="000000" w:themeColor="text1"/>
                      <w:szCs w:val="21"/>
                      <w14:textFill>
                        <w14:solidFill>
                          <w14:schemeClr w14:val="tx1"/>
                        </w14:solidFill>
                      </w14:textFill>
                    </w:rPr>
                    <w:t>数量</w:t>
                  </w:r>
                </w:p>
              </w:tc>
              <w:tc>
                <w:tcPr>
                  <w:tcW w:w="592" w:type="pct"/>
                  <w:vAlign w:val="center"/>
                </w:tcPr>
                <w:p w14:paraId="231610FE">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技改扩建变化</w:t>
                  </w:r>
                  <w:r>
                    <w:rPr>
                      <w:b/>
                      <w:bCs/>
                      <w:color w:val="000000" w:themeColor="text1"/>
                      <w:szCs w:val="21"/>
                      <w14:textFill>
                        <w14:solidFill>
                          <w14:schemeClr w14:val="tx1"/>
                        </w14:solidFill>
                      </w14:textFill>
                    </w:rPr>
                    <w:t>数量</w:t>
                  </w:r>
                </w:p>
              </w:tc>
              <w:tc>
                <w:tcPr>
                  <w:tcW w:w="454" w:type="pct"/>
                  <w:vAlign w:val="center"/>
                </w:tcPr>
                <w:p w14:paraId="31590BAD">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全厂</w:t>
                  </w:r>
                </w:p>
                <w:p w14:paraId="7D6C24E5">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数量</w:t>
                  </w:r>
                </w:p>
              </w:tc>
              <w:tc>
                <w:tcPr>
                  <w:tcW w:w="761" w:type="pct"/>
                  <w:vAlign w:val="center"/>
                </w:tcPr>
                <w:p w14:paraId="2CC365E4">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备注</w:t>
                  </w:r>
                </w:p>
              </w:tc>
            </w:tr>
            <w:tr w14:paraId="5EAB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shd w:val="clear" w:color="auto" w:fill="BEBEBE"/>
                  <w:vAlign w:val="center"/>
                </w:tcPr>
                <w:p w14:paraId="0FEEE42D">
                  <w:pPr>
                    <w:adjustRightInd w:val="0"/>
                    <w:snapToGrid w:val="0"/>
                    <w:jc w:val="center"/>
                    <w:rPr>
                      <w:b/>
                      <w:bCs/>
                      <w:snapToGrid w:val="0"/>
                      <w:color w:val="000000" w:themeColor="text1"/>
                      <w:kern w:val="0"/>
                      <w:szCs w:val="21"/>
                      <w14:textFill>
                        <w14:solidFill>
                          <w14:schemeClr w14:val="tx1"/>
                        </w14:solidFill>
                      </w14:textFill>
                    </w:rPr>
                  </w:pPr>
                  <w:r>
                    <w:rPr>
                      <w:rFonts w:hint="eastAsia"/>
                      <w:b/>
                      <w:bCs/>
                      <w:snapToGrid w:val="0"/>
                      <w:color w:val="000000" w:themeColor="text1"/>
                      <w:kern w:val="0"/>
                      <w:szCs w:val="21"/>
                      <w:shd w:val="clear" w:color="auto" w:fill="BEBEBE"/>
                      <w14:textFill>
                        <w14:solidFill>
                          <w14:schemeClr w14:val="tx1"/>
                        </w14:solidFill>
                      </w14:textFill>
                    </w:rPr>
                    <w:t>蔬菜干生产线</w:t>
                  </w:r>
                </w:p>
              </w:tc>
            </w:tr>
            <w:tr w14:paraId="0879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13F50F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卸料仓</w:t>
                  </w:r>
                </w:p>
              </w:tc>
              <w:tc>
                <w:tcPr>
                  <w:tcW w:w="1397" w:type="pct"/>
                  <w:vAlign w:val="center"/>
                </w:tcPr>
                <w:p w14:paraId="0A0FB6B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容积120m</w:t>
                  </w:r>
                  <w:r>
                    <w:rPr>
                      <w:snapToGrid w:val="0"/>
                      <w:color w:val="000000" w:themeColor="text1"/>
                      <w:kern w:val="0"/>
                      <w:szCs w:val="21"/>
                      <w:vertAlign w:val="superscript"/>
                      <w14:textFill>
                        <w14:solidFill>
                          <w14:schemeClr w14:val="tx1"/>
                        </w14:solidFill>
                      </w14:textFill>
                    </w:rPr>
                    <w:t>3</w:t>
                  </w:r>
                </w:p>
              </w:tc>
              <w:tc>
                <w:tcPr>
                  <w:tcW w:w="696" w:type="pct"/>
                  <w:vAlign w:val="center"/>
                </w:tcPr>
                <w:p w14:paraId="6EBE9AC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12ED48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1CFB5F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091C94A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25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798A0F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有轴螺旋输送机</w:t>
                  </w:r>
                </w:p>
              </w:tc>
              <w:tc>
                <w:tcPr>
                  <w:tcW w:w="1397" w:type="pct"/>
                  <w:vAlign w:val="center"/>
                </w:tcPr>
                <w:p w14:paraId="40FBAC6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U0.6m*9m</w:t>
                  </w:r>
                </w:p>
              </w:tc>
              <w:tc>
                <w:tcPr>
                  <w:tcW w:w="696" w:type="pct"/>
                  <w:vAlign w:val="center"/>
                </w:tcPr>
                <w:p w14:paraId="62CBCEB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6根</w:t>
                  </w:r>
                </w:p>
              </w:tc>
              <w:tc>
                <w:tcPr>
                  <w:tcW w:w="592" w:type="pct"/>
                  <w:vAlign w:val="center"/>
                </w:tcPr>
                <w:p w14:paraId="36CE546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1F0D6E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6根</w:t>
                  </w:r>
                </w:p>
              </w:tc>
              <w:tc>
                <w:tcPr>
                  <w:tcW w:w="761" w:type="pct"/>
                  <w:vAlign w:val="center"/>
                </w:tcPr>
                <w:p w14:paraId="3741C2D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8D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CF914E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1#、3#皮带输送机</w:t>
                  </w:r>
                </w:p>
              </w:tc>
              <w:tc>
                <w:tcPr>
                  <w:tcW w:w="1397" w:type="pct"/>
                  <w:vAlign w:val="center"/>
                </w:tcPr>
                <w:p w14:paraId="1CA6C99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B1m*7.1m</w:t>
                  </w:r>
                </w:p>
              </w:tc>
              <w:tc>
                <w:tcPr>
                  <w:tcW w:w="696" w:type="pct"/>
                  <w:vAlign w:val="center"/>
                </w:tcPr>
                <w:p w14:paraId="271A017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6C85CC9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69D415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044ED0A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527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B03BEA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2#皮带输送机</w:t>
                  </w:r>
                </w:p>
              </w:tc>
              <w:tc>
                <w:tcPr>
                  <w:tcW w:w="1397" w:type="pct"/>
                  <w:vAlign w:val="center"/>
                </w:tcPr>
                <w:p w14:paraId="1F23E4E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B1m*11.3m</w:t>
                  </w:r>
                </w:p>
              </w:tc>
              <w:tc>
                <w:tcPr>
                  <w:tcW w:w="696" w:type="pct"/>
                  <w:vAlign w:val="center"/>
                </w:tcPr>
                <w:p w14:paraId="020CDCB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98A418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F52F52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2012AD2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862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BF1F3E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1#无轴螺旋输送机</w:t>
                  </w:r>
                </w:p>
              </w:tc>
              <w:tc>
                <w:tcPr>
                  <w:tcW w:w="1397" w:type="pct"/>
                  <w:vAlign w:val="center"/>
                </w:tcPr>
                <w:p w14:paraId="4CF643D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U0.4m*10m</w:t>
                  </w:r>
                </w:p>
              </w:tc>
              <w:tc>
                <w:tcPr>
                  <w:tcW w:w="696" w:type="pct"/>
                  <w:vAlign w:val="center"/>
                </w:tcPr>
                <w:p w14:paraId="101B362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57FA722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4F229F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1C443D0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73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B38E02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2#、3#有轴螺旋</w:t>
                  </w:r>
                </w:p>
                <w:p w14:paraId="1933A74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输送机</w:t>
                  </w:r>
                </w:p>
              </w:tc>
              <w:tc>
                <w:tcPr>
                  <w:tcW w:w="1397" w:type="pct"/>
                  <w:vAlign w:val="center"/>
                </w:tcPr>
                <w:p w14:paraId="679AF10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U0.4m*10m</w:t>
                  </w:r>
                </w:p>
              </w:tc>
              <w:tc>
                <w:tcPr>
                  <w:tcW w:w="696" w:type="pct"/>
                  <w:vAlign w:val="center"/>
                </w:tcPr>
                <w:p w14:paraId="0505EE3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16EC665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841A970">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55126CC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25E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DE63B81">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1#、2#、3#破碎</w:t>
                  </w:r>
                </w:p>
                <w:p w14:paraId="2DDB41E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分选机</w:t>
                  </w:r>
                </w:p>
              </w:tc>
              <w:tc>
                <w:tcPr>
                  <w:tcW w:w="1397" w:type="pct"/>
                  <w:vAlign w:val="center"/>
                </w:tcPr>
                <w:p w14:paraId="158BCE0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PSF-800，筛孔直径10mm</w:t>
                  </w:r>
                </w:p>
              </w:tc>
              <w:tc>
                <w:tcPr>
                  <w:tcW w:w="696" w:type="pct"/>
                  <w:vAlign w:val="center"/>
                </w:tcPr>
                <w:p w14:paraId="0EEDF4EC">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407764B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C15E6B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50AE827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79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94A16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1#、2#、3#螺旋</w:t>
                  </w:r>
                </w:p>
                <w:p w14:paraId="46C389C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压榨机</w:t>
                  </w:r>
                </w:p>
              </w:tc>
              <w:tc>
                <w:tcPr>
                  <w:tcW w:w="1397" w:type="pct"/>
                  <w:vAlign w:val="center"/>
                </w:tcPr>
                <w:p w14:paraId="4D3BB084">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ZNJ-600</w:t>
                  </w:r>
                </w:p>
              </w:tc>
              <w:tc>
                <w:tcPr>
                  <w:tcW w:w="696" w:type="pct"/>
                  <w:vAlign w:val="center"/>
                </w:tcPr>
                <w:p w14:paraId="265B423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39CAAB2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67B7B0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04C4300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AD5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E528D5A">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4#、5#、6#螺旋</w:t>
                  </w:r>
                </w:p>
                <w:p w14:paraId="0D36A1E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压榨机</w:t>
                  </w:r>
                </w:p>
              </w:tc>
              <w:tc>
                <w:tcPr>
                  <w:tcW w:w="1397" w:type="pct"/>
                  <w:vAlign w:val="center"/>
                </w:tcPr>
                <w:p w14:paraId="3699686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ZNJ-450</w:t>
                  </w:r>
                </w:p>
              </w:tc>
              <w:tc>
                <w:tcPr>
                  <w:tcW w:w="696" w:type="pct"/>
                  <w:vAlign w:val="center"/>
                </w:tcPr>
                <w:p w14:paraId="21A452B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592" w:type="pct"/>
                  <w:vAlign w:val="center"/>
                </w:tcPr>
                <w:p w14:paraId="0A55437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491392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3台</w:t>
                  </w:r>
                </w:p>
              </w:tc>
              <w:tc>
                <w:tcPr>
                  <w:tcW w:w="761" w:type="pct"/>
                  <w:vAlign w:val="center"/>
                </w:tcPr>
                <w:p w14:paraId="2076DCA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500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9CE34D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集料皮带输</w:t>
                  </w:r>
                  <w:r>
                    <w:rPr>
                      <w:snapToGrid w:val="0"/>
                      <w:color w:val="000000" w:themeColor="text1"/>
                      <w:kern w:val="0"/>
                      <w:szCs w:val="21"/>
                      <w14:textFill>
                        <w14:solidFill>
                          <w14:schemeClr w14:val="tx1"/>
                        </w14:solidFill>
                      </w14:textFill>
                    </w:rPr>
                    <w:cr/>
                  </w:r>
                  <w:r>
                    <w:rPr>
                      <w:snapToGrid w:val="0"/>
                      <w:color w:val="000000" w:themeColor="text1"/>
                      <w:kern w:val="0"/>
                      <w:szCs w:val="21"/>
                      <w14:textFill>
                        <w14:solidFill>
                          <w14:schemeClr w14:val="tx1"/>
                        </w14:solidFill>
                      </w14:textFill>
                    </w:rPr>
                    <w:t>机</w:t>
                  </w:r>
                </w:p>
              </w:tc>
              <w:tc>
                <w:tcPr>
                  <w:tcW w:w="1397" w:type="pct"/>
                  <w:vAlign w:val="center"/>
                </w:tcPr>
                <w:p w14:paraId="1F57A0C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B0.8m*12m</w:t>
                  </w:r>
                </w:p>
              </w:tc>
              <w:tc>
                <w:tcPr>
                  <w:tcW w:w="696" w:type="pct"/>
                  <w:vAlign w:val="center"/>
                </w:tcPr>
                <w:p w14:paraId="2943941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1671777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9BC34B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08C5D11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FC8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CC8E9E7">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上料皮带输送机</w:t>
                  </w:r>
                </w:p>
              </w:tc>
              <w:tc>
                <w:tcPr>
                  <w:tcW w:w="1397" w:type="pct"/>
                  <w:vAlign w:val="center"/>
                </w:tcPr>
                <w:p w14:paraId="5455C9B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B0.8m*16m</w:t>
                  </w:r>
                </w:p>
              </w:tc>
              <w:tc>
                <w:tcPr>
                  <w:tcW w:w="696" w:type="pct"/>
                  <w:vAlign w:val="center"/>
                </w:tcPr>
                <w:p w14:paraId="6672A3C5">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41CA341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446CBD0">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528F902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16E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72B5BC8">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电器控制系统</w:t>
                  </w:r>
                </w:p>
                <w:p w14:paraId="7EF4D24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仪器仪表</w:t>
                  </w:r>
                </w:p>
              </w:tc>
              <w:tc>
                <w:tcPr>
                  <w:tcW w:w="1397" w:type="pct"/>
                  <w:vAlign w:val="center"/>
                </w:tcPr>
                <w:p w14:paraId="0E71AF6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电器控制PLC</w:t>
                  </w:r>
                </w:p>
              </w:tc>
              <w:tc>
                <w:tcPr>
                  <w:tcW w:w="696" w:type="pct"/>
                  <w:vAlign w:val="center"/>
                </w:tcPr>
                <w:p w14:paraId="175DCCF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1套</w:t>
                  </w:r>
                </w:p>
              </w:tc>
              <w:tc>
                <w:tcPr>
                  <w:tcW w:w="592" w:type="pct"/>
                  <w:vAlign w:val="center"/>
                </w:tcPr>
                <w:p w14:paraId="7718151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87321C6">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1套</w:t>
                  </w:r>
                </w:p>
              </w:tc>
              <w:tc>
                <w:tcPr>
                  <w:tcW w:w="761" w:type="pct"/>
                  <w:vAlign w:val="center"/>
                </w:tcPr>
                <w:p w14:paraId="1C5FEA8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93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0959F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过滤机</w:t>
                  </w:r>
                </w:p>
              </w:tc>
              <w:tc>
                <w:tcPr>
                  <w:tcW w:w="1397" w:type="pct"/>
                  <w:vAlign w:val="center"/>
                </w:tcPr>
                <w:p w14:paraId="6802C8F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过滤面积20m</w:t>
                  </w:r>
                  <w:r>
                    <w:rPr>
                      <w:snapToGrid w:val="0"/>
                      <w:color w:val="000000" w:themeColor="text1"/>
                      <w:kern w:val="0"/>
                      <w:szCs w:val="21"/>
                      <w:vertAlign w:val="superscript"/>
                      <w14:textFill>
                        <w14:solidFill>
                          <w14:schemeClr w14:val="tx1"/>
                        </w14:solidFill>
                      </w14:textFill>
                    </w:rPr>
                    <w:t>2</w:t>
                  </w:r>
                  <w:r>
                    <w:rPr>
                      <w:snapToGrid w:val="0"/>
                      <w:color w:val="000000" w:themeColor="text1"/>
                      <w:kern w:val="0"/>
                      <w:szCs w:val="21"/>
                      <w14:textFill>
                        <w14:solidFill>
                          <w14:schemeClr w14:val="tx1"/>
                        </w14:solidFill>
                      </w14:textFill>
                    </w:rPr>
                    <w:t>，滤筒长度5.5 m，转鼓直径 φ1.2m</w:t>
                  </w:r>
                </w:p>
              </w:tc>
              <w:tc>
                <w:tcPr>
                  <w:tcW w:w="696" w:type="pct"/>
                  <w:vAlign w:val="center"/>
                </w:tcPr>
                <w:p w14:paraId="682F96FF">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592" w:type="pct"/>
                  <w:vAlign w:val="center"/>
                </w:tcPr>
                <w:p w14:paraId="6FA2992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CF24DCE">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1台</w:t>
                  </w:r>
                </w:p>
              </w:tc>
              <w:tc>
                <w:tcPr>
                  <w:tcW w:w="761" w:type="pct"/>
                  <w:vAlign w:val="center"/>
                </w:tcPr>
                <w:p w14:paraId="796C155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C82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446F02B">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污水泵</w:t>
                  </w:r>
                </w:p>
              </w:tc>
              <w:tc>
                <w:tcPr>
                  <w:tcW w:w="1397" w:type="pct"/>
                  <w:vAlign w:val="center"/>
                </w:tcPr>
                <w:p w14:paraId="2669DE63">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1用1备</w:t>
                  </w:r>
                </w:p>
              </w:tc>
              <w:tc>
                <w:tcPr>
                  <w:tcW w:w="696" w:type="pct"/>
                  <w:vAlign w:val="center"/>
                </w:tcPr>
                <w:p w14:paraId="53D29722">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592" w:type="pct"/>
                  <w:vAlign w:val="center"/>
                </w:tcPr>
                <w:p w14:paraId="18B9D05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4928779">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2台</w:t>
                  </w:r>
                </w:p>
              </w:tc>
              <w:tc>
                <w:tcPr>
                  <w:tcW w:w="761" w:type="pct"/>
                  <w:vAlign w:val="center"/>
                </w:tcPr>
                <w:p w14:paraId="17D8C62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80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2C3B2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菜渣缓冲料仓</w:t>
                  </w:r>
                </w:p>
              </w:tc>
              <w:tc>
                <w:tcPr>
                  <w:tcW w:w="1397" w:type="pct"/>
                  <w:vAlign w:val="center"/>
                </w:tcPr>
                <w:p w14:paraId="7836EA4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容积80m</w:t>
                  </w:r>
                  <w:r>
                    <w:rPr>
                      <w:color w:val="000000" w:themeColor="text1"/>
                      <w:kern w:val="0"/>
                      <w:szCs w:val="21"/>
                      <w:vertAlign w:val="superscript"/>
                      <w14:textFill>
                        <w14:solidFill>
                          <w14:schemeClr w14:val="tx1"/>
                        </w14:solidFill>
                      </w14:textFill>
                    </w:rPr>
                    <w:t>3</w:t>
                  </w:r>
                </w:p>
              </w:tc>
              <w:tc>
                <w:tcPr>
                  <w:tcW w:w="696" w:type="pct"/>
                  <w:vAlign w:val="center"/>
                </w:tcPr>
                <w:p w14:paraId="4AD2304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D6A524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324F07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8E0578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1CF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EBD397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18E843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LS400</w:t>
                  </w:r>
                </w:p>
              </w:tc>
              <w:tc>
                <w:tcPr>
                  <w:tcW w:w="696" w:type="pct"/>
                  <w:vAlign w:val="center"/>
                </w:tcPr>
                <w:p w14:paraId="0CE91D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D079F3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CAB67D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9AD1CC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BE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AA97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高温滚筒烘干机</w:t>
                  </w:r>
                </w:p>
              </w:tc>
              <w:tc>
                <w:tcPr>
                  <w:tcW w:w="1397" w:type="pct"/>
                  <w:vAlign w:val="center"/>
                </w:tcPr>
                <w:p w14:paraId="5C0204C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2.4m×24m×0.16m</w:t>
                  </w:r>
                </w:p>
              </w:tc>
              <w:tc>
                <w:tcPr>
                  <w:tcW w:w="696" w:type="pct"/>
                  <w:vAlign w:val="center"/>
                </w:tcPr>
                <w:p w14:paraId="33F058A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2EAD5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E6133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B16995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3DF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F9383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引风机</w:t>
                  </w:r>
                </w:p>
              </w:tc>
              <w:tc>
                <w:tcPr>
                  <w:tcW w:w="1397" w:type="pct"/>
                  <w:vAlign w:val="center"/>
                </w:tcPr>
                <w:p w14:paraId="0E2C063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HK51-1300D</w:t>
                  </w:r>
                  <w:r>
                    <w:rPr>
                      <w:color w:val="000000" w:themeColor="text1"/>
                      <w:kern w:val="0"/>
                      <w:szCs w:val="21"/>
                      <w14:textFill>
                        <w14:solidFill>
                          <w14:schemeClr w14:val="tx1"/>
                        </w14:solidFill>
                      </w14:textFill>
                    </w:rPr>
                    <w:t>风量</w:t>
                  </w:r>
                  <w:r>
                    <w:rPr>
                      <w:rFonts w:hint="eastAsia"/>
                      <w:color w:val="000000" w:themeColor="text1"/>
                      <w:kern w:val="0"/>
                      <w:szCs w:val="21"/>
                      <w14:textFill>
                        <w14:solidFill>
                          <w14:schemeClr w14:val="tx1"/>
                        </w14:solidFill>
                      </w14:textFill>
                    </w:rPr>
                    <w:t>10000-60000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4238572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77754C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727A6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84D268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E97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36934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皮带输送机</w:t>
                  </w:r>
                </w:p>
              </w:tc>
              <w:tc>
                <w:tcPr>
                  <w:tcW w:w="1397" w:type="pct"/>
                  <w:vAlign w:val="center"/>
                </w:tcPr>
                <w:p w14:paraId="3EE5E80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B0.6m×30m</w:t>
                  </w:r>
                </w:p>
              </w:tc>
              <w:tc>
                <w:tcPr>
                  <w:tcW w:w="696" w:type="pct"/>
                  <w:vAlign w:val="center"/>
                </w:tcPr>
                <w:p w14:paraId="2FF74F8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66F67E3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14EE2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CBCF49C">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B97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A3199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低温网链烘干箱</w:t>
                  </w:r>
                </w:p>
              </w:tc>
              <w:tc>
                <w:tcPr>
                  <w:tcW w:w="1397" w:type="pct"/>
                  <w:vAlign w:val="center"/>
                </w:tcPr>
                <w:p w14:paraId="023CEA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30m×3.2m×4m</w:t>
                  </w:r>
                </w:p>
              </w:tc>
              <w:tc>
                <w:tcPr>
                  <w:tcW w:w="696" w:type="pct"/>
                  <w:vAlign w:val="center"/>
                </w:tcPr>
                <w:p w14:paraId="152C0E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FEE37E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9C948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9FB345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5F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8E019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引风机</w:t>
                  </w:r>
                </w:p>
              </w:tc>
              <w:tc>
                <w:tcPr>
                  <w:tcW w:w="1397" w:type="pct"/>
                  <w:vAlign w:val="center"/>
                </w:tcPr>
                <w:p w14:paraId="3390D60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HK48-1250D</w:t>
                  </w:r>
                  <w:r>
                    <w:rPr>
                      <w:color w:val="000000" w:themeColor="text1"/>
                      <w:kern w:val="0"/>
                      <w:szCs w:val="21"/>
                      <w14:textFill>
                        <w14:solidFill>
                          <w14:schemeClr w14:val="tx1"/>
                        </w14:solidFill>
                      </w14:textFill>
                    </w:rPr>
                    <w:t>，风量</w:t>
                  </w:r>
                  <w:r>
                    <w:rPr>
                      <w:rFonts w:hint="eastAsia"/>
                      <w:color w:val="000000" w:themeColor="text1"/>
                      <w:kern w:val="0"/>
                      <w:szCs w:val="21"/>
                      <w14:textFill>
                        <w14:solidFill>
                          <w14:schemeClr w14:val="tx1"/>
                        </w14:solidFill>
                      </w14:textFill>
                    </w:rPr>
                    <w:t>10000-50000</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09A3912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A530FD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81DBE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F9524D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BB3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FCFD5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03755AE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5005DE4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6C2C0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0B22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D070D7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F71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933F4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冷却滚筒</w:t>
                  </w:r>
                </w:p>
              </w:tc>
              <w:tc>
                <w:tcPr>
                  <w:tcW w:w="1397" w:type="pct"/>
                  <w:vAlign w:val="center"/>
                </w:tcPr>
                <w:p w14:paraId="2B2D474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1.5m×12m×12m</w:t>
                  </w:r>
                </w:p>
              </w:tc>
              <w:tc>
                <w:tcPr>
                  <w:tcW w:w="696" w:type="pct"/>
                  <w:vAlign w:val="center"/>
                </w:tcPr>
                <w:p w14:paraId="63A5AE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3A723A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B26A5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90FC92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DDB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4E9E0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冷却风机</w:t>
                  </w:r>
                </w:p>
              </w:tc>
              <w:tc>
                <w:tcPr>
                  <w:tcW w:w="1397" w:type="pct"/>
                  <w:vAlign w:val="center"/>
                </w:tcPr>
                <w:p w14:paraId="5C0B8B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风量32000</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0FD500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台</w:t>
                  </w:r>
                </w:p>
              </w:tc>
              <w:tc>
                <w:tcPr>
                  <w:tcW w:w="592" w:type="pct"/>
                  <w:vAlign w:val="center"/>
                </w:tcPr>
                <w:p w14:paraId="5B92CCD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D3D0F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snapToGrid w:val="0"/>
                      <w:color w:val="000000" w:themeColor="text1"/>
                      <w:kern w:val="0"/>
                      <w:szCs w:val="21"/>
                      <w14:textFill>
                        <w14:solidFill>
                          <w14:schemeClr w14:val="tx1"/>
                        </w14:solidFill>
                      </w14:textFill>
                    </w:rPr>
                    <w:t>台</w:t>
                  </w:r>
                </w:p>
              </w:tc>
              <w:tc>
                <w:tcPr>
                  <w:tcW w:w="761" w:type="pct"/>
                  <w:vAlign w:val="center"/>
                </w:tcPr>
                <w:p w14:paraId="15F828C2">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5F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EDE50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33CC613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00</w:t>
                  </w:r>
                </w:p>
              </w:tc>
              <w:tc>
                <w:tcPr>
                  <w:tcW w:w="696" w:type="pct"/>
                  <w:vAlign w:val="center"/>
                </w:tcPr>
                <w:p w14:paraId="001BB3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6DD9C1D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5188EC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CC48D2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B35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DA9E2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烘干成品料仓</w:t>
                  </w:r>
                </w:p>
              </w:tc>
              <w:tc>
                <w:tcPr>
                  <w:tcW w:w="1397" w:type="pct"/>
                  <w:vAlign w:val="center"/>
                </w:tcPr>
                <w:p w14:paraId="3B16F5C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容积50m</w:t>
                  </w:r>
                  <w:r>
                    <w:rPr>
                      <w:color w:val="000000" w:themeColor="text1"/>
                      <w:kern w:val="0"/>
                      <w:szCs w:val="21"/>
                      <w:vertAlign w:val="superscript"/>
                      <w14:textFill>
                        <w14:solidFill>
                          <w14:schemeClr w14:val="tx1"/>
                        </w14:solidFill>
                      </w14:textFill>
                    </w:rPr>
                    <w:t>3</w:t>
                  </w:r>
                </w:p>
              </w:tc>
              <w:tc>
                <w:tcPr>
                  <w:tcW w:w="696" w:type="pct"/>
                  <w:vAlign w:val="center"/>
                </w:tcPr>
                <w:p w14:paraId="667F75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8FD5F8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54489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42A49F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934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6FFFF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皮带输送</w:t>
                  </w:r>
                </w:p>
              </w:tc>
              <w:tc>
                <w:tcPr>
                  <w:tcW w:w="1397" w:type="pct"/>
                  <w:vAlign w:val="center"/>
                </w:tcPr>
                <w:p w14:paraId="1EC71F0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输送距离8m</w:t>
                  </w:r>
                </w:p>
              </w:tc>
              <w:tc>
                <w:tcPr>
                  <w:tcW w:w="696" w:type="pct"/>
                  <w:vAlign w:val="center"/>
                </w:tcPr>
                <w:p w14:paraId="20A0EA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C76ED4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399DC2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223BAA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03D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B5BBE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38484CD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4F399DC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EDA80A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FD3B0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452190F">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9BB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5757A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粉碎机</w:t>
                  </w:r>
                </w:p>
              </w:tc>
              <w:tc>
                <w:tcPr>
                  <w:tcW w:w="1397" w:type="pct"/>
                  <w:vAlign w:val="center"/>
                </w:tcPr>
                <w:p w14:paraId="0264965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SFSP66-100B</w:t>
                  </w:r>
                </w:p>
              </w:tc>
              <w:tc>
                <w:tcPr>
                  <w:tcW w:w="696" w:type="pct"/>
                  <w:vAlign w:val="center"/>
                </w:tcPr>
                <w:p w14:paraId="3673090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AD9238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436C4B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E88873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04B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72266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5E24DF5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27EA52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E4B562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5F1AA4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54751A6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EE7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C98466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粉碎机布袋除尘器</w:t>
                  </w:r>
                </w:p>
              </w:tc>
              <w:tc>
                <w:tcPr>
                  <w:tcW w:w="1397" w:type="pct"/>
                  <w:vAlign w:val="center"/>
                </w:tcPr>
                <w:p w14:paraId="5E5A6BB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风量8288-16578</w:t>
                  </w:r>
                </w:p>
                <w:p w14:paraId="60F537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696" w:type="pct"/>
                  <w:vAlign w:val="center"/>
                </w:tcPr>
                <w:p w14:paraId="30FB636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7A36290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9A51E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38ABE09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800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27F895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U型螺旋输送机</w:t>
                  </w:r>
                </w:p>
              </w:tc>
              <w:tc>
                <w:tcPr>
                  <w:tcW w:w="1397" w:type="pct"/>
                  <w:vAlign w:val="center"/>
                </w:tcPr>
                <w:p w14:paraId="100355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LS300</w:t>
                  </w:r>
                </w:p>
              </w:tc>
              <w:tc>
                <w:tcPr>
                  <w:tcW w:w="696" w:type="pct"/>
                  <w:vAlign w:val="center"/>
                </w:tcPr>
                <w:p w14:paraId="44B87C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36BB1C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8E1D89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FC57F0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C49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9686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打包料仓</w:t>
                  </w:r>
                </w:p>
              </w:tc>
              <w:tc>
                <w:tcPr>
                  <w:tcW w:w="1397" w:type="pct"/>
                  <w:vAlign w:val="center"/>
                </w:tcPr>
                <w:p w14:paraId="497F53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容积30m</w:t>
                  </w:r>
                  <w:r>
                    <w:rPr>
                      <w:color w:val="000000" w:themeColor="text1"/>
                      <w:kern w:val="0"/>
                      <w:szCs w:val="21"/>
                      <w:vertAlign w:val="superscript"/>
                      <w14:textFill>
                        <w14:solidFill>
                          <w14:schemeClr w14:val="tx1"/>
                        </w14:solidFill>
                      </w14:textFill>
                    </w:rPr>
                    <w:t>3</w:t>
                  </w:r>
                </w:p>
              </w:tc>
              <w:tc>
                <w:tcPr>
                  <w:tcW w:w="696" w:type="pct"/>
                  <w:vAlign w:val="center"/>
                </w:tcPr>
                <w:p w14:paraId="1D9902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3F9DE4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9A3C51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3B1060EF">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362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6612B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打包机</w:t>
                  </w:r>
                </w:p>
              </w:tc>
              <w:tc>
                <w:tcPr>
                  <w:tcW w:w="1397" w:type="pct"/>
                  <w:vAlign w:val="center"/>
                </w:tcPr>
                <w:p w14:paraId="26D92EC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BCQ-50</w:t>
                  </w:r>
                </w:p>
              </w:tc>
              <w:tc>
                <w:tcPr>
                  <w:tcW w:w="696" w:type="pct"/>
                  <w:vAlign w:val="center"/>
                </w:tcPr>
                <w:p w14:paraId="2DEBB1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57DEA3B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A8C3E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607D5D1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F78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FC3CCC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热风炉1</w:t>
                  </w:r>
                </w:p>
              </w:tc>
              <w:tc>
                <w:tcPr>
                  <w:tcW w:w="1397" w:type="pct"/>
                  <w:vAlign w:val="center"/>
                </w:tcPr>
                <w:p w14:paraId="1C2CF99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800万大卡/h，3m×2m×2.5m</w:t>
                  </w:r>
                </w:p>
              </w:tc>
              <w:tc>
                <w:tcPr>
                  <w:tcW w:w="696" w:type="pct"/>
                  <w:vAlign w:val="center"/>
                </w:tcPr>
                <w:p w14:paraId="4676083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C69234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C85B8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6E925F5">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0FB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5B69A7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热风炉1</w:t>
                  </w:r>
                  <w:r>
                    <w:rPr>
                      <w:color w:val="000000" w:themeColor="text1"/>
                      <w:kern w:val="0"/>
                      <w:szCs w:val="21"/>
                      <w14:textFill>
                        <w14:solidFill>
                          <w14:schemeClr w14:val="tx1"/>
                        </w14:solidFill>
                      </w14:textFill>
                    </w:rPr>
                    <w:t>降尘室</w:t>
                  </w:r>
                </w:p>
              </w:tc>
              <w:tc>
                <w:tcPr>
                  <w:tcW w:w="1397" w:type="pct"/>
                  <w:vAlign w:val="center"/>
                </w:tcPr>
                <w:p w14:paraId="79F0EE0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2m×2m×8m，降尘率≧50%</w:t>
                  </w:r>
                </w:p>
              </w:tc>
              <w:tc>
                <w:tcPr>
                  <w:tcW w:w="696" w:type="pct"/>
                  <w:vAlign w:val="center"/>
                </w:tcPr>
                <w:p w14:paraId="4FD35C4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1183EE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5A37B0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186DA27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52A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97" w:type="pct"/>
                  <w:vAlign w:val="center"/>
                </w:tcPr>
                <w:p w14:paraId="2AA7977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低氮燃烧器</w:t>
                  </w:r>
                </w:p>
              </w:tc>
              <w:tc>
                <w:tcPr>
                  <w:tcW w:w="1397" w:type="pct"/>
                  <w:vAlign w:val="center"/>
                </w:tcPr>
                <w:p w14:paraId="7BD892B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576C983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2台</w:t>
                  </w:r>
                </w:p>
              </w:tc>
              <w:tc>
                <w:tcPr>
                  <w:tcW w:w="592" w:type="pct"/>
                  <w:vAlign w:val="center"/>
                </w:tcPr>
                <w:p w14:paraId="43D9321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90FF53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2台</w:t>
                  </w:r>
                </w:p>
              </w:tc>
              <w:tc>
                <w:tcPr>
                  <w:tcW w:w="761" w:type="pct"/>
                  <w:vAlign w:val="center"/>
                </w:tcPr>
                <w:p w14:paraId="1956096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7F3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pct"/>
                  <w:vAlign w:val="center"/>
                </w:tcPr>
                <w:p w14:paraId="54F2ADF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尿素喷淋设备</w:t>
                  </w:r>
                </w:p>
              </w:tc>
              <w:tc>
                <w:tcPr>
                  <w:tcW w:w="1397" w:type="pct"/>
                  <w:vAlign w:val="center"/>
                </w:tcPr>
                <w:p w14:paraId="06A6820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36B8998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2套</w:t>
                  </w:r>
                </w:p>
              </w:tc>
              <w:tc>
                <w:tcPr>
                  <w:tcW w:w="592" w:type="pct"/>
                  <w:vAlign w:val="center"/>
                </w:tcPr>
                <w:p w14:paraId="5D0862E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EDC71F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2套</w:t>
                  </w:r>
                </w:p>
              </w:tc>
              <w:tc>
                <w:tcPr>
                  <w:tcW w:w="761" w:type="pct"/>
                  <w:vAlign w:val="center"/>
                </w:tcPr>
                <w:p w14:paraId="07DE177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E34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ECC39D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旋风除尘器</w:t>
                  </w:r>
                </w:p>
              </w:tc>
              <w:tc>
                <w:tcPr>
                  <w:tcW w:w="1397" w:type="pct"/>
                  <w:vAlign w:val="center"/>
                </w:tcPr>
                <w:p w14:paraId="626F142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2m×6m</w:t>
                  </w:r>
                </w:p>
              </w:tc>
              <w:tc>
                <w:tcPr>
                  <w:tcW w:w="696" w:type="pct"/>
                  <w:vAlign w:val="center"/>
                </w:tcPr>
                <w:p w14:paraId="65D1EBE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1C787E2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D80566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74384CF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7D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E49D7D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喷淋塔水膜除尘器</w:t>
                  </w:r>
                </w:p>
              </w:tc>
              <w:tc>
                <w:tcPr>
                  <w:tcW w:w="1397" w:type="pct"/>
                  <w:vAlign w:val="center"/>
                </w:tcPr>
                <w:p w14:paraId="78B627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BTC-60</w:t>
                  </w:r>
                </w:p>
              </w:tc>
              <w:tc>
                <w:tcPr>
                  <w:tcW w:w="696" w:type="pct"/>
                  <w:vAlign w:val="center"/>
                </w:tcPr>
                <w:p w14:paraId="0066EB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3CBF9F8">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D4B51B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F88278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83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9CCF77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热风炉2</w:t>
                  </w:r>
                </w:p>
              </w:tc>
              <w:tc>
                <w:tcPr>
                  <w:tcW w:w="1397" w:type="pct"/>
                  <w:vAlign w:val="center"/>
                </w:tcPr>
                <w:p w14:paraId="6D016B0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300万大卡/h，2.5m×1</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5m×2m</w:t>
                  </w:r>
                </w:p>
              </w:tc>
              <w:tc>
                <w:tcPr>
                  <w:tcW w:w="696" w:type="pct"/>
                  <w:vAlign w:val="center"/>
                </w:tcPr>
                <w:p w14:paraId="3D8962A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0C3EFCF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E91105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4C1FD151">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9BE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6449E91">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钠碱法</w:t>
                  </w:r>
                  <w:r>
                    <w:rPr>
                      <w:rFonts w:hint="eastAsia"/>
                      <w:color w:val="000000" w:themeColor="text1"/>
                      <w:kern w:val="0"/>
                      <w:szCs w:val="21"/>
                      <w14:textFill>
                        <w14:solidFill>
                          <w14:schemeClr w14:val="tx1"/>
                        </w14:solidFill>
                      </w14:textFill>
                    </w:rPr>
                    <w:t>脱硫</w:t>
                  </w:r>
                </w:p>
              </w:tc>
              <w:tc>
                <w:tcPr>
                  <w:tcW w:w="1397" w:type="pct"/>
                  <w:vAlign w:val="center"/>
                </w:tcPr>
                <w:p w14:paraId="174D430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96" w:type="pct"/>
                  <w:vAlign w:val="center"/>
                </w:tcPr>
                <w:p w14:paraId="14C5CC2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1套</w:t>
                  </w:r>
                </w:p>
              </w:tc>
              <w:tc>
                <w:tcPr>
                  <w:tcW w:w="592" w:type="pct"/>
                  <w:vAlign w:val="center"/>
                </w:tcPr>
                <w:p w14:paraId="09C20D5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8878CB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1套</w:t>
                  </w:r>
                </w:p>
              </w:tc>
              <w:tc>
                <w:tcPr>
                  <w:tcW w:w="761" w:type="pct"/>
                  <w:vAlign w:val="center"/>
                </w:tcPr>
                <w:p w14:paraId="7C305E7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4F0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1A97B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收集池提升泵</w:t>
                  </w:r>
                </w:p>
              </w:tc>
              <w:tc>
                <w:tcPr>
                  <w:tcW w:w="1397" w:type="pct"/>
                  <w:vAlign w:val="center"/>
                </w:tcPr>
                <w:p w14:paraId="10700B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WQ80-50-15-</w:t>
                  </w:r>
                  <w:r>
                    <w:rPr>
                      <w:color w:val="000000" w:themeColor="text1"/>
                      <w:kern w:val="0"/>
                      <w:szCs w:val="21"/>
                      <w14:textFill>
                        <w14:solidFill>
                          <w14:schemeClr w14:val="tx1"/>
                        </w14:solidFill>
                      </w14:textFill>
                    </w:rPr>
                    <w:cr/>
                  </w:r>
                  <w:r>
                    <w:rPr>
                      <w:color w:val="000000" w:themeColor="text1"/>
                      <w:kern w:val="0"/>
                      <w:szCs w:val="21"/>
                      <w14:textFill>
                        <w14:solidFill>
                          <w14:schemeClr w14:val="tx1"/>
                        </w14:solidFill>
                      </w14:textFill>
                    </w:rPr>
                    <w:t>.5</w:t>
                  </w:r>
                </w:p>
              </w:tc>
              <w:tc>
                <w:tcPr>
                  <w:tcW w:w="696" w:type="pct"/>
                  <w:vAlign w:val="center"/>
                </w:tcPr>
                <w:p w14:paraId="74070A4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3934577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6E16B3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3E5EF5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066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A69BE8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固液分离机</w:t>
                  </w:r>
                </w:p>
              </w:tc>
              <w:tc>
                <w:tcPr>
                  <w:tcW w:w="1397" w:type="pct"/>
                  <w:vAlign w:val="center"/>
                </w:tcPr>
                <w:p w14:paraId="78A07A9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一台栅隙0.7mm，一台栅隙0.5mm</w:t>
                  </w:r>
                </w:p>
              </w:tc>
              <w:tc>
                <w:tcPr>
                  <w:tcW w:w="696" w:type="pct"/>
                  <w:vAlign w:val="center"/>
                </w:tcPr>
                <w:p w14:paraId="345582C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8481AE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629C86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525360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8DD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C86F3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调节池提升泵</w:t>
                  </w:r>
                </w:p>
              </w:tc>
              <w:tc>
                <w:tcPr>
                  <w:tcW w:w="1397" w:type="pct"/>
                  <w:vAlign w:val="center"/>
                </w:tcPr>
                <w:p w14:paraId="4AE4DDF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5651B5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72C230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43706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5EC3598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769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D67126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潜水搅拌机</w:t>
                  </w:r>
                </w:p>
              </w:tc>
              <w:tc>
                <w:tcPr>
                  <w:tcW w:w="1397" w:type="pct"/>
                  <w:vAlign w:val="center"/>
                </w:tcPr>
                <w:p w14:paraId="651CB9F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1A967E9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214B200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58693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70933A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AE7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A00FDF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叠螺压滤机</w:t>
                  </w:r>
                </w:p>
              </w:tc>
              <w:tc>
                <w:tcPr>
                  <w:tcW w:w="1397" w:type="pct"/>
                  <w:vAlign w:val="center"/>
                </w:tcPr>
                <w:p w14:paraId="5F428C6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DL-402</w:t>
                  </w:r>
                </w:p>
              </w:tc>
              <w:tc>
                <w:tcPr>
                  <w:tcW w:w="696" w:type="pct"/>
                  <w:vAlign w:val="center"/>
                </w:tcPr>
                <w:p w14:paraId="176D89E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B0CE7D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499E6A6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44273B0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B9F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3FFFA2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中间池1提升泵</w:t>
                  </w:r>
                </w:p>
              </w:tc>
              <w:tc>
                <w:tcPr>
                  <w:tcW w:w="1397" w:type="pct"/>
                  <w:vAlign w:val="center"/>
                </w:tcPr>
                <w:p w14:paraId="7B88C8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7494F1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06DFE6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FE3936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58DA45D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0A7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533F3C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中间池1潜水搅拌机</w:t>
                  </w:r>
                </w:p>
              </w:tc>
              <w:tc>
                <w:tcPr>
                  <w:tcW w:w="1397" w:type="pct"/>
                  <w:vAlign w:val="center"/>
                </w:tcPr>
                <w:p w14:paraId="63ECA55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389EFE8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E27C5E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424D1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2AD864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13C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7C35E2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强氧化气浮一体机</w:t>
                  </w:r>
                </w:p>
              </w:tc>
              <w:tc>
                <w:tcPr>
                  <w:tcW w:w="1397" w:type="pct"/>
                  <w:vAlign w:val="center"/>
                </w:tcPr>
                <w:p w14:paraId="01ED6DE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10×3.0×3.0m</w:t>
                  </w:r>
                </w:p>
              </w:tc>
              <w:tc>
                <w:tcPr>
                  <w:tcW w:w="696" w:type="pct"/>
                  <w:vAlign w:val="center"/>
                </w:tcPr>
                <w:p w14:paraId="0AC1193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2871A82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B1CCA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0682804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89F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CDEE4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气液混合泵</w:t>
                  </w:r>
                </w:p>
              </w:tc>
              <w:tc>
                <w:tcPr>
                  <w:tcW w:w="1397" w:type="pct"/>
                  <w:vAlign w:val="center"/>
                </w:tcPr>
                <w:p w14:paraId="31B182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CDL16-4</w:t>
                  </w:r>
                </w:p>
              </w:tc>
              <w:tc>
                <w:tcPr>
                  <w:tcW w:w="696" w:type="pct"/>
                  <w:vAlign w:val="center"/>
                </w:tcPr>
                <w:p w14:paraId="54928F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B00E7F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F31DE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A936946">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924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1D8F47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PAC加药装置</w:t>
                  </w:r>
                </w:p>
              </w:tc>
              <w:tc>
                <w:tcPr>
                  <w:tcW w:w="1397" w:type="pct"/>
                  <w:vAlign w:val="center"/>
                </w:tcPr>
                <w:p w14:paraId="1AB543B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V=3m³，配搅拌机1台</w:t>
                  </w:r>
                </w:p>
              </w:tc>
              <w:tc>
                <w:tcPr>
                  <w:tcW w:w="696" w:type="pct"/>
                  <w:vAlign w:val="center"/>
                </w:tcPr>
                <w:p w14:paraId="48950E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49291D2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40ABB4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5D4D02A2">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D71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030DCC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PAM加药装置</w:t>
                  </w:r>
                </w:p>
              </w:tc>
              <w:tc>
                <w:tcPr>
                  <w:tcW w:w="1397" w:type="pct"/>
                  <w:vAlign w:val="center"/>
                </w:tcPr>
                <w:p w14:paraId="09D46A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V=3m³，配搅拌机1台</w:t>
                  </w:r>
                </w:p>
              </w:tc>
              <w:tc>
                <w:tcPr>
                  <w:tcW w:w="696" w:type="pct"/>
                  <w:vAlign w:val="center"/>
                </w:tcPr>
                <w:p w14:paraId="2434777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1B51A9D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2513B2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616E9260">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538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04D797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石灰投加装置</w:t>
                  </w:r>
                </w:p>
              </w:tc>
              <w:tc>
                <w:tcPr>
                  <w:tcW w:w="1397" w:type="pct"/>
                  <w:vAlign w:val="center"/>
                </w:tcPr>
                <w:p w14:paraId="3BC0BB2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投加量25kg/h</w:t>
                  </w:r>
                </w:p>
              </w:tc>
              <w:tc>
                <w:tcPr>
                  <w:tcW w:w="696" w:type="pct"/>
                  <w:vAlign w:val="center"/>
                </w:tcPr>
                <w:p w14:paraId="0B36745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6528367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EC928A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429594DA">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DEA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C5734A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中间池2提升泵</w:t>
                  </w:r>
                </w:p>
              </w:tc>
              <w:tc>
                <w:tcPr>
                  <w:tcW w:w="1397" w:type="pct"/>
                  <w:vAlign w:val="center"/>
                </w:tcPr>
                <w:p w14:paraId="462A0C2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RMW80-160</w:t>
                  </w:r>
                </w:p>
              </w:tc>
              <w:tc>
                <w:tcPr>
                  <w:tcW w:w="696" w:type="pct"/>
                  <w:vAlign w:val="center"/>
                </w:tcPr>
                <w:p w14:paraId="6283D7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1C8F6F6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B6B0F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2229ECA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443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67BE3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IC厌氧塔</w:t>
                  </w:r>
                </w:p>
              </w:tc>
              <w:tc>
                <w:tcPr>
                  <w:tcW w:w="1397" w:type="pct"/>
                  <w:vAlign w:val="center"/>
                </w:tcPr>
                <w:p w14:paraId="2F33292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Ф12.0×18.0m</w:t>
                  </w:r>
                </w:p>
              </w:tc>
              <w:tc>
                <w:tcPr>
                  <w:tcW w:w="696" w:type="pct"/>
                  <w:vAlign w:val="center"/>
                </w:tcPr>
                <w:p w14:paraId="268633D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33FD0AD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4F4F06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CA9581E">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32C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032813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厌氧塔循环泵</w:t>
                  </w:r>
                </w:p>
              </w:tc>
              <w:tc>
                <w:tcPr>
                  <w:tcW w:w="1397" w:type="pct"/>
                  <w:vAlign w:val="center"/>
                </w:tcPr>
                <w:p w14:paraId="5402D5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RML80-125</w:t>
                  </w:r>
                </w:p>
              </w:tc>
              <w:tc>
                <w:tcPr>
                  <w:tcW w:w="696" w:type="pct"/>
                  <w:vAlign w:val="center"/>
                </w:tcPr>
                <w:p w14:paraId="0CDBBAA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台</w:t>
                  </w:r>
                </w:p>
              </w:tc>
              <w:tc>
                <w:tcPr>
                  <w:tcW w:w="592" w:type="pct"/>
                  <w:vAlign w:val="center"/>
                </w:tcPr>
                <w:p w14:paraId="0353485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5BC5D15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台</w:t>
                  </w:r>
                </w:p>
              </w:tc>
              <w:tc>
                <w:tcPr>
                  <w:tcW w:w="761" w:type="pct"/>
                  <w:vAlign w:val="center"/>
                </w:tcPr>
                <w:p w14:paraId="31DD1918">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23E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B92A28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水解池搅拌系统</w:t>
                  </w:r>
                </w:p>
              </w:tc>
              <w:tc>
                <w:tcPr>
                  <w:tcW w:w="1397" w:type="pct"/>
                  <w:vAlign w:val="center"/>
                </w:tcPr>
                <w:p w14:paraId="5E1D395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QJB2.2/8-320/3</w:t>
                  </w:r>
                </w:p>
              </w:tc>
              <w:tc>
                <w:tcPr>
                  <w:tcW w:w="696" w:type="pct"/>
                  <w:vAlign w:val="center"/>
                </w:tcPr>
                <w:p w14:paraId="160A59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4D02660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CAF47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30F766E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E43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EE50E7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旋混曝气器</w:t>
                  </w:r>
                </w:p>
              </w:tc>
              <w:tc>
                <w:tcPr>
                  <w:tcW w:w="1397" w:type="pct"/>
                  <w:vAlign w:val="center"/>
                </w:tcPr>
                <w:p w14:paraId="7439F61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DN260</w:t>
                  </w:r>
                </w:p>
              </w:tc>
              <w:tc>
                <w:tcPr>
                  <w:tcW w:w="696" w:type="pct"/>
                  <w:vAlign w:val="center"/>
                </w:tcPr>
                <w:p w14:paraId="0BA636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w:t>
                  </w:r>
                  <w:r>
                    <w:rPr>
                      <w:rFonts w:hint="eastAsia"/>
                      <w:color w:val="000000" w:themeColor="text1"/>
                      <w:kern w:val="0"/>
                      <w:szCs w:val="21"/>
                      <w14:textFill>
                        <w14:solidFill>
                          <w14:schemeClr w14:val="tx1"/>
                        </w14:solidFill>
                      </w14:textFill>
                    </w:rPr>
                    <w:t>套</w:t>
                  </w:r>
                </w:p>
              </w:tc>
              <w:tc>
                <w:tcPr>
                  <w:tcW w:w="592" w:type="pct"/>
                  <w:vAlign w:val="center"/>
                </w:tcPr>
                <w:p w14:paraId="5C87334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E4AB17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w:t>
                  </w:r>
                  <w:r>
                    <w:rPr>
                      <w:rFonts w:hint="eastAsia"/>
                      <w:color w:val="000000" w:themeColor="text1"/>
                      <w:kern w:val="0"/>
                      <w:szCs w:val="21"/>
                      <w14:textFill>
                        <w14:solidFill>
                          <w14:schemeClr w14:val="tx1"/>
                        </w14:solidFill>
                      </w14:textFill>
                    </w:rPr>
                    <w:t>套</w:t>
                  </w:r>
                </w:p>
              </w:tc>
              <w:tc>
                <w:tcPr>
                  <w:tcW w:w="761" w:type="pct"/>
                  <w:vAlign w:val="center"/>
                </w:tcPr>
                <w:p w14:paraId="68FB0A57">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0E7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5CEC57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硝化液回流泵</w:t>
                  </w:r>
                </w:p>
              </w:tc>
              <w:tc>
                <w:tcPr>
                  <w:tcW w:w="1397" w:type="pct"/>
                  <w:vAlign w:val="center"/>
                </w:tcPr>
                <w:p w14:paraId="211F550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RMW100-100</w:t>
                  </w:r>
                </w:p>
              </w:tc>
              <w:tc>
                <w:tcPr>
                  <w:tcW w:w="696" w:type="pct"/>
                  <w:vAlign w:val="center"/>
                </w:tcPr>
                <w:p w14:paraId="5392A0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10B078E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00649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614C40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5136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A85F8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鼓风机</w:t>
                  </w:r>
                </w:p>
              </w:tc>
              <w:tc>
                <w:tcPr>
                  <w:tcW w:w="1397" w:type="pct"/>
                  <w:vAlign w:val="center"/>
                </w:tcPr>
                <w:p w14:paraId="452643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BR250</w:t>
                  </w:r>
                </w:p>
              </w:tc>
              <w:tc>
                <w:tcPr>
                  <w:tcW w:w="696" w:type="pct"/>
                  <w:vAlign w:val="center"/>
                </w:tcPr>
                <w:p w14:paraId="11ACDC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7B9CFF4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FD1490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7A910D6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84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E8135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斜管填料及支架</w:t>
                  </w:r>
                </w:p>
              </w:tc>
              <w:tc>
                <w:tcPr>
                  <w:tcW w:w="1397" w:type="pct"/>
                  <w:vAlign w:val="center"/>
                </w:tcPr>
                <w:p w14:paraId="33FAECA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Ф50</w:t>
                  </w:r>
                </w:p>
              </w:tc>
              <w:tc>
                <w:tcPr>
                  <w:tcW w:w="696" w:type="pct"/>
                  <w:vAlign w:val="center"/>
                </w:tcPr>
                <w:p w14:paraId="3A2570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54m²</w:t>
                  </w:r>
                </w:p>
              </w:tc>
              <w:tc>
                <w:tcPr>
                  <w:tcW w:w="592" w:type="pct"/>
                  <w:vAlign w:val="center"/>
                </w:tcPr>
                <w:p w14:paraId="497115E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308CE38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54m²</w:t>
                  </w:r>
                </w:p>
              </w:tc>
              <w:tc>
                <w:tcPr>
                  <w:tcW w:w="761" w:type="pct"/>
                  <w:vAlign w:val="center"/>
                </w:tcPr>
                <w:p w14:paraId="0E2AC364">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2C3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38BE31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污泥</w:t>
                  </w:r>
                  <w:r>
                    <w:rPr>
                      <w:rFonts w:hint="eastAsia"/>
                      <w:color w:val="000000" w:themeColor="text1"/>
                      <w:kern w:val="0"/>
                      <w:szCs w:val="21"/>
                      <w14:textFill>
                        <w14:solidFill>
                          <w14:schemeClr w14:val="tx1"/>
                        </w14:solidFill>
                      </w14:textFill>
                    </w:rPr>
                    <w:t>回流</w:t>
                  </w:r>
                  <w:r>
                    <w:rPr>
                      <w:color w:val="000000" w:themeColor="text1"/>
                      <w:kern w:val="0"/>
                      <w:szCs w:val="21"/>
                      <w14:textFill>
                        <w14:solidFill>
                          <w14:schemeClr w14:val="tx1"/>
                        </w14:solidFill>
                      </w14:textFill>
                    </w:rPr>
                    <w:t>泵</w:t>
                  </w:r>
                </w:p>
              </w:tc>
              <w:tc>
                <w:tcPr>
                  <w:tcW w:w="1397" w:type="pct"/>
                  <w:vAlign w:val="center"/>
                </w:tcPr>
                <w:p w14:paraId="77029F3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RMW65-125</w:t>
                  </w:r>
                </w:p>
              </w:tc>
              <w:tc>
                <w:tcPr>
                  <w:tcW w:w="696" w:type="pct"/>
                  <w:vAlign w:val="center"/>
                </w:tcPr>
                <w:p w14:paraId="17A0ABF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8EA91F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CE2A4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4306EC15">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07CF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ED4621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活性炭投加装置</w:t>
                  </w:r>
                </w:p>
              </w:tc>
              <w:tc>
                <w:tcPr>
                  <w:tcW w:w="1397" w:type="pct"/>
                  <w:vAlign w:val="center"/>
                </w:tcPr>
                <w:p w14:paraId="4BF63F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投加量25kg/h</w:t>
                  </w:r>
                </w:p>
              </w:tc>
              <w:tc>
                <w:tcPr>
                  <w:tcW w:w="696" w:type="pct"/>
                  <w:vAlign w:val="center"/>
                </w:tcPr>
                <w:p w14:paraId="3464E3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691239C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61446E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0EF4B26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FEB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E9281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反应池提升泵</w:t>
                  </w:r>
                </w:p>
              </w:tc>
              <w:tc>
                <w:tcPr>
                  <w:tcW w:w="1397" w:type="pct"/>
                  <w:vAlign w:val="center"/>
                </w:tcPr>
                <w:p w14:paraId="5FABC8C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RMW80-100</w:t>
                  </w:r>
                </w:p>
              </w:tc>
              <w:tc>
                <w:tcPr>
                  <w:tcW w:w="696" w:type="pct"/>
                  <w:vAlign w:val="center"/>
                </w:tcPr>
                <w:p w14:paraId="60F4979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63600B1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389A03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19ADAC7">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7F31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AECD92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微气泡反应</w:t>
                  </w:r>
                </w:p>
                <w:p w14:paraId="2B67B6E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沉淀一体机</w:t>
                  </w:r>
                </w:p>
              </w:tc>
              <w:tc>
                <w:tcPr>
                  <w:tcW w:w="1397" w:type="pct"/>
                  <w:vAlign w:val="center"/>
                </w:tcPr>
                <w:p w14:paraId="3AEE72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10×3.0×3.0m</w:t>
                  </w:r>
                </w:p>
              </w:tc>
              <w:tc>
                <w:tcPr>
                  <w:tcW w:w="696" w:type="pct"/>
                  <w:vAlign w:val="center"/>
                </w:tcPr>
                <w:p w14:paraId="680E869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24C5D1B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0814B4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48E8EABB">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2D6F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AD54D0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气液混合泵</w:t>
                  </w:r>
                </w:p>
              </w:tc>
              <w:tc>
                <w:tcPr>
                  <w:tcW w:w="1397" w:type="pct"/>
                  <w:vAlign w:val="center"/>
                </w:tcPr>
                <w:p w14:paraId="238B71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CDL16-4</w:t>
                  </w:r>
                </w:p>
              </w:tc>
              <w:tc>
                <w:tcPr>
                  <w:tcW w:w="696" w:type="pct"/>
                  <w:vAlign w:val="center"/>
                </w:tcPr>
                <w:p w14:paraId="529594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4C896E0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1DB1D8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628C94FD">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429E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C9772D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螺杆泵</w:t>
                  </w:r>
                </w:p>
              </w:tc>
              <w:tc>
                <w:tcPr>
                  <w:tcW w:w="1397" w:type="pct"/>
                  <w:vAlign w:val="center"/>
                </w:tcPr>
                <w:p w14:paraId="0ABC1A4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G40-1</w:t>
                  </w:r>
                </w:p>
              </w:tc>
              <w:tc>
                <w:tcPr>
                  <w:tcW w:w="696" w:type="pct"/>
                  <w:vAlign w:val="center"/>
                </w:tcPr>
                <w:p w14:paraId="346AC58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592" w:type="pct"/>
                  <w:vAlign w:val="center"/>
                </w:tcPr>
                <w:p w14:paraId="54DB78E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0F73DA5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r>
                    <w:rPr>
                      <w:snapToGrid w:val="0"/>
                      <w:color w:val="000000" w:themeColor="text1"/>
                      <w:kern w:val="0"/>
                      <w:szCs w:val="21"/>
                      <w14:textFill>
                        <w14:solidFill>
                          <w14:schemeClr w14:val="tx1"/>
                        </w14:solidFill>
                      </w14:textFill>
                    </w:rPr>
                    <w:t>台</w:t>
                  </w:r>
                </w:p>
              </w:tc>
              <w:tc>
                <w:tcPr>
                  <w:tcW w:w="761" w:type="pct"/>
                  <w:vAlign w:val="center"/>
                </w:tcPr>
                <w:p w14:paraId="04B13103">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6C15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D4EDDA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板框压滤机</w:t>
                  </w:r>
                </w:p>
              </w:tc>
              <w:tc>
                <w:tcPr>
                  <w:tcW w:w="1397" w:type="pct"/>
                  <w:vAlign w:val="center"/>
                </w:tcPr>
                <w:p w14:paraId="2BFA00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r>
                    <w:rPr>
                      <w:snapToGrid w:val="0"/>
                      <w:color w:val="000000" w:themeColor="text1"/>
                      <w:kern w:val="0"/>
                      <w:szCs w:val="21"/>
                      <w14:textFill>
                        <w14:solidFill>
                          <w14:schemeClr w14:val="tx1"/>
                        </w14:solidFill>
                      </w14:textFill>
                    </w:rPr>
                    <w:t>m</w:t>
                  </w:r>
                  <w:r>
                    <w:rPr>
                      <w:snapToGrid w:val="0"/>
                      <w:color w:val="000000" w:themeColor="text1"/>
                      <w:kern w:val="0"/>
                      <w:szCs w:val="21"/>
                      <w:vertAlign w:val="superscript"/>
                      <w14:textFill>
                        <w14:solidFill>
                          <w14:schemeClr w14:val="tx1"/>
                        </w14:solidFill>
                      </w14:textFill>
                    </w:rPr>
                    <w:t>2</w:t>
                  </w:r>
                </w:p>
              </w:tc>
              <w:tc>
                <w:tcPr>
                  <w:tcW w:w="696" w:type="pct"/>
                  <w:vAlign w:val="center"/>
                </w:tcPr>
                <w:p w14:paraId="22CCDE4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592" w:type="pct"/>
                  <w:vAlign w:val="center"/>
                </w:tcPr>
                <w:p w14:paraId="3179971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7753F1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snapToGrid w:val="0"/>
                      <w:color w:val="000000" w:themeColor="text1"/>
                      <w:kern w:val="0"/>
                      <w:szCs w:val="21"/>
                      <w14:textFill>
                        <w14:solidFill>
                          <w14:schemeClr w14:val="tx1"/>
                        </w14:solidFill>
                      </w14:textFill>
                    </w:rPr>
                    <w:t>台</w:t>
                  </w:r>
                </w:p>
              </w:tc>
              <w:tc>
                <w:tcPr>
                  <w:tcW w:w="761" w:type="pct"/>
                  <w:vAlign w:val="center"/>
                </w:tcPr>
                <w:p w14:paraId="251975CC">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3221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97" w:type="pct"/>
                  <w:vAlign w:val="center"/>
                </w:tcPr>
                <w:p w14:paraId="334DEF8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电气控制系统</w:t>
                  </w:r>
                </w:p>
              </w:tc>
              <w:tc>
                <w:tcPr>
                  <w:tcW w:w="1397" w:type="pct"/>
                  <w:vAlign w:val="center"/>
                </w:tcPr>
                <w:p w14:paraId="19E32F6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DK-Ⅱ</w:t>
                  </w:r>
                </w:p>
              </w:tc>
              <w:tc>
                <w:tcPr>
                  <w:tcW w:w="696" w:type="pct"/>
                  <w:vAlign w:val="center"/>
                </w:tcPr>
                <w:p w14:paraId="5363504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592" w:type="pct"/>
                  <w:vAlign w:val="center"/>
                </w:tcPr>
                <w:p w14:paraId="7D4D65F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454" w:type="pct"/>
                  <w:vAlign w:val="center"/>
                </w:tcPr>
                <w:p w14:paraId="606A13B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套</w:t>
                  </w:r>
                </w:p>
              </w:tc>
              <w:tc>
                <w:tcPr>
                  <w:tcW w:w="761" w:type="pct"/>
                  <w:vAlign w:val="center"/>
                </w:tcPr>
                <w:p w14:paraId="06D1BC01">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r>
            <w:tr w14:paraId="10CE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8" w:type="pct"/>
                  <w:gridSpan w:val="5"/>
                  <w:shd w:val="clear" w:color="auto" w:fill="BEBEBE"/>
                  <w:vAlign w:val="center"/>
                </w:tcPr>
                <w:p w14:paraId="5CCA6FE7">
                  <w:pPr>
                    <w:widowControl/>
                    <w:jc w:val="center"/>
                    <w:rPr>
                      <w:color w:val="000000" w:themeColor="text1"/>
                      <w:kern w:val="0"/>
                      <w:szCs w:val="21"/>
                      <w:highlight w:val="lightGray"/>
                      <w14:textFill>
                        <w14:solidFill>
                          <w14:schemeClr w14:val="tx1"/>
                        </w14:solidFill>
                      </w14:textFill>
                    </w:rPr>
                  </w:pPr>
                  <w:r>
                    <w:rPr>
                      <w:rFonts w:hint="eastAsia"/>
                      <w:b/>
                      <w:bCs/>
                      <w:color w:val="000000" w:themeColor="text1"/>
                      <w:szCs w:val="21"/>
                      <w14:textFill>
                        <w14:solidFill>
                          <w14:schemeClr w14:val="tx1"/>
                        </w14:solidFill>
                      </w14:textFill>
                    </w:rPr>
                    <w:t xml:space="preserve">             液态水溶肥生产线</w:t>
                  </w:r>
                </w:p>
              </w:tc>
              <w:tc>
                <w:tcPr>
                  <w:tcW w:w="761" w:type="pct"/>
                  <w:shd w:val="clear" w:color="auto" w:fill="BEBEBE"/>
                  <w:vAlign w:val="center"/>
                </w:tcPr>
                <w:p w14:paraId="3054D6E7">
                  <w:pPr>
                    <w:widowControl/>
                    <w:jc w:val="center"/>
                    <w:rPr>
                      <w:b/>
                      <w:bCs/>
                      <w:color w:val="000000" w:themeColor="text1"/>
                      <w:szCs w:val="21"/>
                      <w14:textFill>
                        <w14:solidFill>
                          <w14:schemeClr w14:val="tx1"/>
                        </w14:solidFill>
                      </w14:textFill>
                    </w:rPr>
                  </w:pPr>
                </w:p>
              </w:tc>
            </w:tr>
            <w:tr w14:paraId="7168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0CBC7D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发酵罐</w:t>
                  </w:r>
                </w:p>
              </w:tc>
              <w:tc>
                <w:tcPr>
                  <w:tcW w:w="1397" w:type="pct"/>
                  <w:vAlign w:val="center"/>
                </w:tcPr>
                <w:p w14:paraId="7AF3BF2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6T圆罐（直径1.8m，高2.5m）</w:t>
                  </w:r>
                </w:p>
              </w:tc>
              <w:tc>
                <w:tcPr>
                  <w:tcW w:w="696" w:type="pct"/>
                  <w:vAlign w:val="center"/>
                </w:tcPr>
                <w:p w14:paraId="794384D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9DFFD6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FB40F0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29E5C7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尾菜废水发酵处理</w:t>
                  </w:r>
                </w:p>
              </w:tc>
            </w:tr>
            <w:tr w14:paraId="56D0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8327F9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乳化搅拌罐</w:t>
                  </w:r>
                </w:p>
              </w:tc>
              <w:tc>
                <w:tcPr>
                  <w:tcW w:w="1397" w:type="pct"/>
                  <w:vAlign w:val="center"/>
                </w:tcPr>
                <w:p w14:paraId="499713B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2.5T</w:t>
                  </w:r>
                </w:p>
              </w:tc>
              <w:tc>
                <w:tcPr>
                  <w:tcW w:w="696" w:type="pct"/>
                  <w:vAlign w:val="center"/>
                </w:tcPr>
                <w:p w14:paraId="14D953E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69F9B2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A12159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FEE54A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物料搅拌</w:t>
                  </w:r>
                </w:p>
              </w:tc>
            </w:tr>
            <w:tr w14:paraId="7AFB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853AD8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储存罐</w:t>
                  </w:r>
                </w:p>
              </w:tc>
              <w:tc>
                <w:tcPr>
                  <w:tcW w:w="1397" w:type="pct"/>
                  <w:vAlign w:val="center"/>
                </w:tcPr>
                <w:p w14:paraId="48E893C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5T</w:t>
                  </w:r>
                </w:p>
              </w:tc>
              <w:tc>
                <w:tcPr>
                  <w:tcW w:w="696" w:type="pct"/>
                  <w:vAlign w:val="center"/>
                </w:tcPr>
                <w:p w14:paraId="73B9085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3434B6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014E0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BBF2F8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储存成品</w:t>
                  </w:r>
                </w:p>
              </w:tc>
            </w:tr>
            <w:tr w14:paraId="67C0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7EB8AE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电子秤</w:t>
                  </w:r>
                </w:p>
              </w:tc>
              <w:tc>
                <w:tcPr>
                  <w:tcW w:w="1397" w:type="pct"/>
                  <w:vAlign w:val="center"/>
                </w:tcPr>
                <w:p w14:paraId="477D960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150kg磅秤</w:t>
                  </w:r>
                </w:p>
              </w:tc>
              <w:tc>
                <w:tcPr>
                  <w:tcW w:w="696" w:type="pct"/>
                  <w:vAlign w:val="center"/>
                </w:tcPr>
                <w:p w14:paraId="0DB7C09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6D3FAD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8ED290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364F82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肥料分装</w:t>
                  </w:r>
                </w:p>
              </w:tc>
            </w:tr>
            <w:tr w14:paraId="2127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6B233A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手持打码机</w:t>
                  </w:r>
                </w:p>
              </w:tc>
              <w:tc>
                <w:tcPr>
                  <w:tcW w:w="1397" w:type="pct"/>
                  <w:vAlign w:val="center"/>
                </w:tcPr>
                <w:p w14:paraId="4B25AA0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ZM-750</w:t>
                  </w:r>
                </w:p>
              </w:tc>
              <w:tc>
                <w:tcPr>
                  <w:tcW w:w="696" w:type="pct"/>
                  <w:vAlign w:val="center"/>
                </w:tcPr>
                <w:p w14:paraId="5B9773A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4175A7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5F2BB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F0C57F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包装打码</w:t>
                  </w:r>
                </w:p>
              </w:tc>
            </w:tr>
            <w:tr w14:paraId="749F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844D3F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电加热蒸汽发生器</w:t>
                  </w:r>
                </w:p>
              </w:tc>
              <w:tc>
                <w:tcPr>
                  <w:tcW w:w="1397" w:type="pct"/>
                  <w:vAlign w:val="center"/>
                </w:tcPr>
                <w:p w14:paraId="257364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LDZ（k）0.05-0.4</w:t>
                  </w:r>
                </w:p>
              </w:tc>
              <w:tc>
                <w:tcPr>
                  <w:tcW w:w="696" w:type="pct"/>
                  <w:vAlign w:val="center"/>
                </w:tcPr>
                <w:p w14:paraId="70E5629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30F5656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5887FE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C30909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发酵加热</w:t>
                  </w:r>
                </w:p>
              </w:tc>
            </w:tr>
            <w:tr w14:paraId="186B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56B1A1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污水潜水泵</w:t>
                  </w:r>
                </w:p>
              </w:tc>
              <w:tc>
                <w:tcPr>
                  <w:tcW w:w="1397" w:type="pct"/>
                  <w:vAlign w:val="center"/>
                </w:tcPr>
                <w:p w14:paraId="278EC5A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65WQ20</w:t>
                  </w:r>
                </w:p>
              </w:tc>
              <w:tc>
                <w:tcPr>
                  <w:tcW w:w="696" w:type="pct"/>
                  <w:vAlign w:val="center"/>
                </w:tcPr>
                <w:p w14:paraId="6B8D19C1">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137240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3B4AC50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6B9DC7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抽尾菜废水</w:t>
                  </w:r>
                </w:p>
              </w:tc>
            </w:tr>
            <w:tr w14:paraId="1403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961B48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卧式多级离心泵</w:t>
                  </w:r>
                </w:p>
              </w:tc>
              <w:tc>
                <w:tcPr>
                  <w:tcW w:w="1397" w:type="pct"/>
                  <w:vAlign w:val="center"/>
                </w:tcPr>
                <w:p w14:paraId="19593442">
                  <w:pPr>
                    <w:pStyle w:val="2"/>
                    <w:spacing w:after="0"/>
                    <w:ind w:left="0" w:leftChars="0" w:firstLine="0" w:firstLine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CMF2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30TA-W-G-BQBE</w:t>
                  </w:r>
                  <w:r>
                    <w:rPr>
                      <w:rFonts w:hint="eastAsia"/>
                      <w:color w:val="000000" w:themeColor="text1"/>
                      <w:szCs w:val="21"/>
                      <w14:textFill>
                        <w14:solidFill>
                          <w14:schemeClr w14:val="tx1"/>
                        </w14:solidFill>
                      </w14:textFill>
                    </w:rPr>
                    <w:t xml:space="preserve">                                                                                                                                                                                                                                                                                                                                                                                         </w:t>
                  </w:r>
                </w:p>
              </w:tc>
              <w:tc>
                <w:tcPr>
                  <w:tcW w:w="696" w:type="pct"/>
                  <w:vAlign w:val="center"/>
                </w:tcPr>
                <w:p w14:paraId="2F24C9E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801F4B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54" w:type="pct"/>
                  <w:vAlign w:val="center"/>
                </w:tcPr>
                <w:p w14:paraId="07AF739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61" w:type="pct"/>
                  <w:vAlign w:val="center"/>
                </w:tcPr>
                <w:p w14:paraId="3F119D4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抽发酵液和复配肥料</w:t>
                  </w:r>
                </w:p>
              </w:tc>
            </w:tr>
            <w:tr w14:paraId="1A30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457B9D1">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种子液发酵罐</w:t>
                  </w:r>
                </w:p>
              </w:tc>
              <w:tc>
                <w:tcPr>
                  <w:tcW w:w="1397" w:type="pct"/>
                  <w:vAlign w:val="center"/>
                </w:tcPr>
                <w:p w14:paraId="2EEB7FA9">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Φ500/Φ500×5/3×2320</w:t>
                  </w:r>
                </w:p>
              </w:tc>
              <w:tc>
                <w:tcPr>
                  <w:tcW w:w="696" w:type="pct"/>
                  <w:vAlign w:val="center"/>
                </w:tcPr>
                <w:p w14:paraId="67618EC7">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F5C2960">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F12DB03">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71A6F8B">
                  <w:pPr>
                    <w:pStyle w:val="2"/>
                    <w:spacing w:after="0"/>
                    <w:ind w:left="0" w:leftChars="0" w:firstLine="0" w:firstLineChars="0"/>
                    <w:jc w:val="center"/>
                    <w:rPr>
                      <w:rFonts w:eastAsia="方正仿宋_GB231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w:t>
                  </w:r>
                </w:p>
              </w:tc>
            </w:tr>
            <w:tr w14:paraId="6E5F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29851A6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太阳能热水器</w:t>
                  </w:r>
                </w:p>
              </w:tc>
              <w:tc>
                <w:tcPr>
                  <w:tcW w:w="1397" w:type="pct"/>
                  <w:vAlign w:val="center"/>
                </w:tcPr>
                <w:p w14:paraId="0BA4E8C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40B7A44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150C63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72575A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1C359AD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热水加热</w:t>
                  </w:r>
                </w:p>
              </w:tc>
            </w:tr>
            <w:tr w14:paraId="356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D90169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空气能热水器</w:t>
                  </w:r>
                </w:p>
              </w:tc>
              <w:tc>
                <w:tcPr>
                  <w:tcW w:w="1397" w:type="pct"/>
                  <w:vAlign w:val="center"/>
                </w:tcPr>
                <w:p w14:paraId="4F95546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R410A</w:t>
                  </w:r>
                </w:p>
              </w:tc>
              <w:tc>
                <w:tcPr>
                  <w:tcW w:w="696" w:type="pct"/>
                  <w:vAlign w:val="center"/>
                </w:tcPr>
                <w:p w14:paraId="3FBB1744">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311409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84DABC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F8673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热水加热</w:t>
                  </w:r>
                </w:p>
              </w:tc>
            </w:tr>
            <w:tr w14:paraId="19F5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C52C0D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热水罐</w:t>
                  </w:r>
                </w:p>
              </w:tc>
              <w:tc>
                <w:tcPr>
                  <w:tcW w:w="1397" w:type="pct"/>
                  <w:vAlign w:val="center"/>
                </w:tcPr>
                <w:p w14:paraId="5F1577A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5T</w:t>
                  </w:r>
                </w:p>
              </w:tc>
              <w:tc>
                <w:tcPr>
                  <w:tcW w:w="696" w:type="pct"/>
                  <w:vAlign w:val="center"/>
                </w:tcPr>
                <w:p w14:paraId="4F4F177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0DBD67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57DCCE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97526A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种子液发酵罐灭菌用</w:t>
                  </w:r>
                </w:p>
              </w:tc>
            </w:tr>
            <w:tr w14:paraId="5FEF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18CA2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灌装机</w:t>
                  </w:r>
                </w:p>
              </w:tc>
              <w:tc>
                <w:tcPr>
                  <w:tcW w:w="1397" w:type="pct"/>
                  <w:vAlign w:val="center"/>
                </w:tcPr>
                <w:p w14:paraId="1F8298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p>
              </w:tc>
              <w:tc>
                <w:tcPr>
                  <w:tcW w:w="696" w:type="pct"/>
                  <w:vAlign w:val="center"/>
                </w:tcPr>
                <w:p w14:paraId="4CD0402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0CBEBF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94BBA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3FBD146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灌装用</w:t>
                  </w:r>
                </w:p>
              </w:tc>
            </w:tr>
            <w:tr w14:paraId="1D94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BEBEBE"/>
                  <w:vAlign w:val="center"/>
                </w:tcPr>
                <w:p w14:paraId="168C1A70">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固态水溶肥生产线</w:t>
                  </w:r>
                </w:p>
              </w:tc>
            </w:tr>
            <w:tr w14:paraId="2733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191696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3248E09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螺旋出料，2*3m</w:t>
                  </w:r>
                </w:p>
              </w:tc>
              <w:tc>
                <w:tcPr>
                  <w:tcW w:w="696" w:type="pct"/>
                  <w:vAlign w:val="center"/>
                </w:tcPr>
                <w:p w14:paraId="4484F9EF">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5C9E9E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34E3D6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7C2400D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024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C2D0FA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49E0FC3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皮带出料，2*3m</w:t>
                  </w:r>
                </w:p>
              </w:tc>
              <w:tc>
                <w:tcPr>
                  <w:tcW w:w="696" w:type="pct"/>
                  <w:vAlign w:val="center"/>
                </w:tcPr>
                <w:p w14:paraId="61A195CD">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80B03D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631D0D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8B1CC6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3563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6468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铲车投料仓</w:t>
                  </w:r>
                </w:p>
              </w:tc>
              <w:tc>
                <w:tcPr>
                  <w:tcW w:w="1397" w:type="pct"/>
                  <w:vAlign w:val="center"/>
                </w:tcPr>
                <w:p w14:paraId="5A22D2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2*4m</w:t>
                  </w:r>
                </w:p>
              </w:tc>
              <w:tc>
                <w:tcPr>
                  <w:tcW w:w="696" w:type="pct"/>
                  <w:vAlign w:val="center"/>
                </w:tcPr>
                <w:p w14:paraId="3F71057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143354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4EB2432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7A3F70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w:t>
                  </w:r>
                </w:p>
              </w:tc>
            </w:tr>
            <w:tr w14:paraId="2A2E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pct"/>
                  <w:vAlign w:val="center"/>
                </w:tcPr>
                <w:p w14:paraId="4E92D1D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扑粉机</w:t>
                  </w:r>
                </w:p>
              </w:tc>
              <w:tc>
                <w:tcPr>
                  <w:tcW w:w="1397" w:type="pct"/>
                  <w:vAlign w:val="center"/>
                </w:tcPr>
                <w:p w14:paraId="269C10A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073EC043">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7E12EBC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54" w:type="pct"/>
                  <w:vAlign w:val="center"/>
                </w:tcPr>
                <w:p w14:paraId="1E708B3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61" w:type="pct"/>
                  <w:vAlign w:val="center"/>
                </w:tcPr>
                <w:p w14:paraId="7416E8D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扑粉</w:t>
                  </w:r>
                </w:p>
              </w:tc>
            </w:tr>
            <w:tr w14:paraId="0ED5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5985A1F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双轴搅拌机</w:t>
                  </w:r>
                </w:p>
              </w:tc>
              <w:tc>
                <w:tcPr>
                  <w:tcW w:w="1397" w:type="pct"/>
                  <w:vAlign w:val="center"/>
                </w:tcPr>
                <w:p w14:paraId="235C05E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500型，加长款</w:t>
                  </w:r>
                </w:p>
              </w:tc>
              <w:tc>
                <w:tcPr>
                  <w:tcW w:w="696" w:type="pct"/>
                  <w:vAlign w:val="center"/>
                </w:tcPr>
                <w:p w14:paraId="3B2B5F52">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D9515B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50ED4E1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E4C0C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搅拌</w:t>
                  </w:r>
                </w:p>
              </w:tc>
            </w:tr>
            <w:tr w14:paraId="25A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05FE79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双轴搅拌机</w:t>
                  </w:r>
                </w:p>
              </w:tc>
              <w:tc>
                <w:tcPr>
                  <w:tcW w:w="1397" w:type="pct"/>
                  <w:vAlign w:val="center"/>
                </w:tcPr>
                <w:p w14:paraId="5DEB090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500型</w:t>
                  </w:r>
                </w:p>
              </w:tc>
              <w:tc>
                <w:tcPr>
                  <w:tcW w:w="696" w:type="pct"/>
                  <w:vAlign w:val="center"/>
                </w:tcPr>
                <w:p w14:paraId="0FD63E9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EDC728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536DE1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75D56FC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搅拌</w:t>
                  </w:r>
                </w:p>
              </w:tc>
            </w:tr>
            <w:tr w14:paraId="4428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E6B75F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3B8FF89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11m</w:t>
                  </w:r>
                </w:p>
              </w:tc>
              <w:tc>
                <w:tcPr>
                  <w:tcW w:w="696" w:type="pct"/>
                  <w:vAlign w:val="center"/>
                </w:tcPr>
                <w:p w14:paraId="145F7910">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36DBE3D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54" w:type="pct"/>
                  <w:vAlign w:val="center"/>
                </w:tcPr>
                <w:p w14:paraId="75585B4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61" w:type="pct"/>
                  <w:vAlign w:val="center"/>
                </w:tcPr>
                <w:p w14:paraId="35217B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5958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17F41F8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10370B9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12m</w:t>
                  </w:r>
                </w:p>
              </w:tc>
              <w:tc>
                <w:tcPr>
                  <w:tcW w:w="696" w:type="pct"/>
                  <w:vAlign w:val="center"/>
                </w:tcPr>
                <w:p w14:paraId="5B84883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B1B204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92418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3E890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12D8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39902B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皮带机</w:t>
                  </w:r>
                </w:p>
              </w:tc>
              <w:tc>
                <w:tcPr>
                  <w:tcW w:w="1397" w:type="pct"/>
                  <w:vAlign w:val="center"/>
                </w:tcPr>
                <w:p w14:paraId="2793C75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9m</w:t>
                  </w:r>
                </w:p>
              </w:tc>
              <w:tc>
                <w:tcPr>
                  <w:tcW w:w="696" w:type="pct"/>
                  <w:vAlign w:val="center"/>
                </w:tcPr>
                <w:p w14:paraId="5ADAEA8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0BD192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6DD146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43D25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7B36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62FD763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移动皮带机</w:t>
                  </w:r>
                </w:p>
              </w:tc>
              <w:tc>
                <w:tcPr>
                  <w:tcW w:w="1397" w:type="pct"/>
                  <w:vAlign w:val="center"/>
                </w:tcPr>
                <w:p w14:paraId="2C3CB2C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14m</w:t>
                  </w:r>
                </w:p>
              </w:tc>
              <w:tc>
                <w:tcPr>
                  <w:tcW w:w="696" w:type="pct"/>
                  <w:vAlign w:val="center"/>
                </w:tcPr>
                <w:p w14:paraId="115CDBEE">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40D90B7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43CCED4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0746FD0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7CB7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5486AA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转盘翻堆</w:t>
                  </w:r>
                </w:p>
              </w:tc>
              <w:tc>
                <w:tcPr>
                  <w:tcW w:w="1397" w:type="pct"/>
                  <w:vAlign w:val="center"/>
                </w:tcPr>
                <w:p w14:paraId="3787947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017318E9">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2B58DBD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194549F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5389EA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翻堆</w:t>
                  </w:r>
                </w:p>
              </w:tc>
            </w:tr>
            <w:tr w14:paraId="2293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05FF411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筛分机</w:t>
                  </w:r>
                </w:p>
              </w:tc>
              <w:tc>
                <w:tcPr>
                  <w:tcW w:w="1397" w:type="pct"/>
                  <w:vAlign w:val="center"/>
                </w:tcPr>
                <w:p w14:paraId="342AECB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2*6m</w:t>
                  </w:r>
                </w:p>
              </w:tc>
              <w:tc>
                <w:tcPr>
                  <w:tcW w:w="696" w:type="pct"/>
                  <w:vAlign w:val="center"/>
                </w:tcPr>
                <w:p w14:paraId="169D4BAA">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5DFCADC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0D0D3DB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F5B3C2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筛分</w:t>
                  </w:r>
                </w:p>
              </w:tc>
            </w:tr>
            <w:tr w14:paraId="6FD3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7DFE417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回料皮带机</w:t>
                  </w:r>
                </w:p>
              </w:tc>
              <w:tc>
                <w:tcPr>
                  <w:tcW w:w="1397" w:type="pct"/>
                  <w:vAlign w:val="center"/>
                </w:tcPr>
                <w:p w14:paraId="6E3F927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6CE6CAC5">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0E632E8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156EF2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584CB6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输送</w:t>
                  </w:r>
                </w:p>
              </w:tc>
            </w:tr>
            <w:tr w14:paraId="3A8E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AB0E5C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立式粉碎机</w:t>
                  </w:r>
                </w:p>
              </w:tc>
              <w:tc>
                <w:tcPr>
                  <w:tcW w:w="1397" w:type="pct"/>
                  <w:vAlign w:val="center"/>
                </w:tcPr>
                <w:p w14:paraId="3A8A618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60型</w:t>
                  </w:r>
                </w:p>
              </w:tc>
              <w:tc>
                <w:tcPr>
                  <w:tcW w:w="696" w:type="pct"/>
                  <w:vAlign w:val="center"/>
                </w:tcPr>
                <w:p w14:paraId="537CB74B">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1CAEBDD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6A5F775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219020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粉碎</w:t>
                  </w:r>
                </w:p>
              </w:tc>
            </w:tr>
            <w:tr w14:paraId="5BF3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384814A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成品料仓</w:t>
                  </w:r>
                </w:p>
              </w:tc>
              <w:tc>
                <w:tcPr>
                  <w:tcW w:w="1397" w:type="pct"/>
                  <w:vAlign w:val="center"/>
                </w:tcPr>
                <w:p w14:paraId="1174899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容积10m</w:t>
                  </w:r>
                  <w:r>
                    <w:rPr>
                      <w:rFonts w:hint="eastAsia"/>
                      <w:color w:val="000000" w:themeColor="text1"/>
                      <w:szCs w:val="21"/>
                      <w:vertAlign w:val="superscript"/>
                      <w14:textFill>
                        <w14:solidFill>
                          <w14:schemeClr w14:val="tx1"/>
                        </w14:solidFill>
                      </w14:textFill>
                    </w:rPr>
                    <w:t>3</w:t>
                  </w:r>
                </w:p>
              </w:tc>
              <w:tc>
                <w:tcPr>
                  <w:tcW w:w="696" w:type="pct"/>
                  <w:vAlign w:val="center"/>
                </w:tcPr>
                <w:p w14:paraId="1A7A4B1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7F13ABE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78E599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653ED1B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p>
              </w:tc>
            </w:tr>
            <w:tr w14:paraId="1824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903FBF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原料仓</w:t>
                  </w:r>
                </w:p>
              </w:tc>
              <w:tc>
                <w:tcPr>
                  <w:tcW w:w="1397" w:type="pct"/>
                  <w:vAlign w:val="center"/>
                </w:tcPr>
                <w:p w14:paraId="5DC12ED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6.5m</w:t>
                  </w:r>
                  <w:r>
                    <w:rPr>
                      <w:rFonts w:hint="eastAsia"/>
                      <w:color w:val="000000" w:themeColor="text1"/>
                      <w:szCs w:val="21"/>
                      <w:vertAlign w:val="superscript"/>
                      <w14:textFill>
                        <w14:solidFill>
                          <w14:schemeClr w14:val="tx1"/>
                        </w14:solidFill>
                      </w14:textFill>
                    </w:rPr>
                    <w:t>3</w:t>
                  </w:r>
                </w:p>
              </w:tc>
              <w:tc>
                <w:tcPr>
                  <w:tcW w:w="696" w:type="pct"/>
                  <w:vAlign w:val="center"/>
                </w:tcPr>
                <w:p w14:paraId="5218F88C">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5CE3C0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2EC5798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495CE5F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储存</w:t>
                  </w:r>
                </w:p>
              </w:tc>
            </w:tr>
            <w:tr w14:paraId="726F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pct"/>
                  <w:vAlign w:val="center"/>
                </w:tcPr>
                <w:p w14:paraId="44FE93D3">
                  <w:pPr>
                    <w:pStyle w:val="2"/>
                    <w:spacing w:after="0"/>
                    <w:ind w:left="0"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自动包装机</w:t>
                  </w:r>
                </w:p>
              </w:tc>
              <w:tc>
                <w:tcPr>
                  <w:tcW w:w="1397" w:type="pct"/>
                  <w:vAlign w:val="center"/>
                </w:tcPr>
                <w:p w14:paraId="1303F71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96" w:type="pct"/>
                  <w:vAlign w:val="center"/>
                </w:tcPr>
                <w:p w14:paraId="2ED07C36">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92" w:type="pct"/>
                  <w:vAlign w:val="center"/>
                </w:tcPr>
                <w:p w14:paraId="61AE417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54" w:type="pct"/>
                  <w:vAlign w:val="center"/>
                </w:tcPr>
                <w:p w14:paraId="3EE3B13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61" w:type="pct"/>
                  <w:vAlign w:val="center"/>
                </w:tcPr>
                <w:p w14:paraId="5EE0589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w:t>
                  </w:r>
                </w:p>
              </w:tc>
            </w:tr>
          </w:tbl>
          <w:p w14:paraId="7EBF5609">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主要原辅材料</w:t>
            </w:r>
            <w:r>
              <w:rPr>
                <w:rFonts w:hint="eastAsia"/>
                <w:b/>
                <w:bCs/>
                <w:color w:val="000000" w:themeColor="text1"/>
                <w:kern w:val="0"/>
                <w:sz w:val="24"/>
                <w14:textFill>
                  <w14:solidFill>
                    <w14:schemeClr w14:val="tx1"/>
                  </w14:solidFill>
                </w14:textFill>
              </w:rPr>
              <w:t>消耗</w:t>
            </w:r>
          </w:p>
          <w:p w14:paraId="146B992C">
            <w:pPr>
              <w:spacing w:line="360" w:lineRule="auto"/>
              <w:ind w:firstLine="470" w:firstLineChars="196"/>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根据建设单位提供资料，项目</w:t>
            </w:r>
            <w:r>
              <w:rPr>
                <w:color w:val="000000" w:themeColor="text1"/>
                <w:kern w:val="0"/>
                <w:sz w:val="24"/>
                <w14:textFill>
                  <w14:solidFill>
                    <w14:schemeClr w14:val="tx1"/>
                  </w14:solidFill>
                </w14:textFill>
              </w:rPr>
              <w:t>原辅料</w:t>
            </w:r>
            <w:r>
              <w:rPr>
                <w:rFonts w:hint="eastAsia"/>
                <w:color w:val="000000" w:themeColor="text1"/>
                <w:kern w:val="0"/>
                <w:sz w:val="24"/>
                <w14:textFill>
                  <w14:solidFill>
                    <w14:schemeClr w14:val="tx1"/>
                  </w14:solidFill>
                </w14:textFill>
              </w:rPr>
              <w:t>消耗情况见表2-5。</w:t>
            </w:r>
          </w:p>
          <w:p w14:paraId="0843BC3C">
            <w:pPr>
              <w:ind w:firstLine="413" w:firstLineChars="196"/>
              <w:jc w:val="center"/>
              <w:rPr>
                <w:b/>
                <w:bCs/>
                <w:color w:val="000000" w:themeColor="text1"/>
                <w:kern w:val="0"/>
                <w:szCs w:val="21"/>
                <w14:textFill>
                  <w14:solidFill>
                    <w14:schemeClr w14:val="tx1"/>
                  </w14:solidFill>
                </w14:textFill>
              </w:rPr>
            </w:pPr>
            <w:bookmarkStart w:id="26" w:name="表2-3__本项目原辅材料及燃料消耗情况"/>
            <w:bookmarkEnd w:id="26"/>
            <w:r>
              <w:rPr>
                <w:b/>
                <w:bCs/>
                <w:color w:val="000000" w:themeColor="text1"/>
                <w:kern w:val="0"/>
                <w:szCs w:val="21"/>
                <w14:textFill>
                  <w14:solidFill>
                    <w14:schemeClr w14:val="tx1"/>
                  </w14:solidFill>
                </w14:textFill>
              </w:rPr>
              <w:t>表2-5  项目原辅材料消耗情况一览表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162"/>
              <w:gridCol w:w="1041"/>
              <w:gridCol w:w="844"/>
              <w:gridCol w:w="1546"/>
              <w:gridCol w:w="1828"/>
              <w:gridCol w:w="1771"/>
            </w:tblGrid>
            <w:tr w14:paraId="2C41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2E98E29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672" w:type="pct"/>
                  <w:vAlign w:val="center"/>
                </w:tcPr>
                <w:p w14:paraId="411CF368">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名称</w:t>
                  </w:r>
                </w:p>
              </w:tc>
              <w:tc>
                <w:tcPr>
                  <w:tcW w:w="602" w:type="pct"/>
                  <w:vAlign w:val="center"/>
                </w:tcPr>
                <w:p w14:paraId="31207E9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来源</w:t>
                  </w:r>
                </w:p>
              </w:tc>
              <w:tc>
                <w:tcPr>
                  <w:tcW w:w="488" w:type="pct"/>
                  <w:vAlign w:val="center"/>
                </w:tcPr>
                <w:p w14:paraId="55C24E5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性状</w:t>
                  </w:r>
                </w:p>
              </w:tc>
              <w:tc>
                <w:tcPr>
                  <w:tcW w:w="894" w:type="pct"/>
                  <w:vAlign w:val="center"/>
                </w:tcPr>
                <w:p w14:paraId="3E4D24A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改扩建前年消耗量（t）</w:t>
                  </w:r>
                </w:p>
              </w:tc>
              <w:tc>
                <w:tcPr>
                  <w:tcW w:w="1057" w:type="pct"/>
                  <w:vAlign w:val="center"/>
                </w:tcPr>
                <w:p w14:paraId="5CFED453">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改扩建变化量（t）</w:t>
                  </w:r>
                </w:p>
              </w:tc>
              <w:tc>
                <w:tcPr>
                  <w:tcW w:w="1023" w:type="pct"/>
                  <w:vAlign w:val="center"/>
                </w:tcPr>
                <w:p w14:paraId="5F52FA09">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现全厂消耗量（t）</w:t>
                  </w:r>
                </w:p>
              </w:tc>
            </w:tr>
            <w:tr w14:paraId="59DA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000" w:type="pct"/>
                  <w:gridSpan w:val="7"/>
                  <w:shd w:val="clear" w:color="auto" w:fill="BEBEBE"/>
                  <w:vAlign w:val="center"/>
                </w:tcPr>
                <w:p w14:paraId="4ECC26E6">
                  <w:pPr>
                    <w:jc w:val="center"/>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果蔬干生产线（技改后</w:t>
                  </w:r>
                  <w:r>
                    <w:rPr>
                      <w:rFonts w:hint="eastAsia"/>
                      <w:b/>
                      <w:bCs/>
                      <w:color w:val="000000" w:themeColor="text1"/>
                      <w14:textFill>
                        <w14:solidFill>
                          <w14:schemeClr w14:val="tx1"/>
                        </w14:solidFill>
                      </w14:textFill>
                    </w:rPr>
                    <w:t>年产量3100吨）</w:t>
                  </w:r>
                </w:p>
              </w:tc>
            </w:tr>
            <w:tr w14:paraId="75C6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63" w:type="pct"/>
                  <w:vMerge w:val="restart"/>
                  <w:vAlign w:val="center"/>
                </w:tcPr>
                <w:p w14:paraId="606C9C2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672" w:type="pct"/>
                  <w:vMerge w:val="restart"/>
                  <w:vAlign w:val="center"/>
                </w:tcPr>
                <w:p w14:paraId="4B4C41A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果蔬废弃物</w:t>
                  </w:r>
                </w:p>
              </w:tc>
              <w:tc>
                <w:tcPr>
                  <w:tcW w:w="602" w:type="pct"/>
                  <w:vMerge w:val="restart"/>
                  <w:vAlign w:val="center"/>
                </w:tcPr>
                <w:p w14:paraId="7E681BE9">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Merge w:val="restart"/>
                  <w:vAlign w:val="center"/>
                </w:tcPr>
                <w:p w14:paraId="6F556E1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Merge w:val="restart"/>
                  <w:vAlign w:val="center"/>
                </w:tcPr>
                <w:p w14:paraId="684746C7">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1000</w:t>
                  </w:r>
                  <w:r>
                    <w:rPr>
                      <w:color w:val="000000" w:themeColor="text1"/>
                      <w:szCs w:val="21"/>
                      <w14:textFill>
                        <w14:solidFill>
                          <w14:schemeClr w14:val="tx1"/>
                        </w14:solidFill>
                      </w14:textFill>
                    </w:rPr>
                    <w:t>t/d</w:t>
                  </w:r>
                </w:p>
              </w:tc>
              <w:tc>
                <w:tcPr>
                  <w:tcW w:w="1057" w:type="pct"/>
                  <w:vMerge w:val="restart"/>
                  <w:vAlign w:val="center"/>
                </w:tcPr>
                <w:p w14:paraId="0EEFA5C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p>
              </w:tc>
              <w:tc>
                <w:tcPr>
                  <w:tcW w:w="1023" w:type="pct"/>
                  <w:vAlign w:val="center"/>
                </w:tcPr>
                <w:p w14:paraId="1DB39B9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100t/d用于制作蔬菜干</w:t>
                  </w:r>
                </w:p>
              </w:tc>
            </w:tr>
            <w:tr w14:paraId="059F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63" w:type="pct"/>
                  <w:vMerge w:val="continue"/>
                  <w:vAlign w:val="center"/>
                </w:tcPr>
                <w:p w14:paraId="5BCDB53C">
                  <w:pPr>
                    <w:jc w:val="center"/>
                    <w:rPr>
                      <w:color w:val="000000" w:themeColor="text1"/>
                      <w14:textFill>
                        <w14:solidFill>
                          <w14:schemeClr w14:val="tx1"/>
                        </w14:solidFill>
                      </w14:textFill>
                    </w:rPr>
                  </w:pPr>
                </w:p>
              </w:tc>
              <w:tc>
                <w:tcPr>
                  <w:tcW w:w="672" w:type="pct"/>
                  <w:vMerge w:val="continue"/>
                  <w:vAlign w:val="center"/>
                </w:tcPr>
                <w:p w14:paraId="33646A1B">
                  <w:pPr>
                    <w:jc w:val="center"/>
                    <w:rPr>
                      <w:color w:val="000000" w:themeColor="text1"/>
                      <w14:textFill>
                        <w14:solidFill>
                          <w14:schemeClr w14:val="tx1"/>
                        </w14:solidFill>
                      </w14:textFill>
                    </w:rPr>
                  </w:pPr>
                </w:p>
              </w:tc>
              <w:tc>
                <w:tcPr>
                  <w:tcW w:w="602" w:type="pct"/>
                  <w:vMerge w:val="continue"/>
                  <w:vAlign w:val="center"/>
                </w:tcPr>
                <w:p w14:paraId="71535C24">
                  <w:pPr>
                    <w:jc w:val="center"/>
                    <w:rPr>
                      <w:color w:val="000000" w:themeColor="text1"/>
                      <w14:textFill>
                        <w14:solidFill>
                          <w14:schemeClr w14:val="tx1"/>
                        </w14:solidFill>
                      </w14:textFill>
                    </w:rPr>
                  </w:pPr>
                </w:p>
              </w:tc>
              <w:tc>
                <w:tcPr>
                  <w:tcW w:w="488" w:type="pct"/>
                  <w:vMerge w:val="continue"/>
                  <w:vAlign w:val="center"/>
                </w:tcPr>
                <w:p w14:paraId="5CC95E8F">
                  <w:pPr>
                    <w:jc w:val="center"/>
                    <w:rPr>
                      <w:color w:val="000000" w:themeColor="text1"/>
                      <w14:textFill>
                        <w14:solidFill>
                          <w14:schemeClr w14:val="tx1"/>
                        </w14:solidFill>
                      </w14:textFill>
                    </w:rPr>
                  </w:pPr>
                </w:p>
              </w:tc>
              <w:tc>
                <w:tcPr>
                  <w:tcW w:w="894" w:type="pct"/>
                  <w:vMerge w:val="continue"/>
                  <w:vAlign w:val="center"/>
                </w:tcPr>
                <w:p w14:paraId="73008C86">
                  <w:pPr>
                    <w:jc w:val="center"/>
                    <w:rPr>
                      <w:color w:val="000000" w:themeColor="text1"/>
                      <w14:textFill>
                        <w14:solidFill>
                          <w14:schemeClr w14:val="tx1"/>
                        </w14:solidFill>
                      </w14:textFill>
                    </w:rPr>
                  </w:pPr>
                </w:p>
              </w:tc>
              <w:tc>
                <w:tcPr>
                  <w:tcW w:w="1057" w:type="pct"/>
                  <w:vMerge w:val="continue"/>
                  <w:vAlign w:val="center"/>
                </w:tcPr>
                <w:p w14:paraId="41E2E765">
                  <w:pPr>
                    <w:jc w:val="center"/>
                    <w:rPr>
                      <w:bCs/>
                      <w:color w:val="000000" w:themeColor="text1"/>
                      <w:szCs w:val="21"/>
                      <w14:textFill>
                        <w14:solidFill>
                          <w14:schemeClr w14:val="tx1"/>
                        </w14:solidFill>
                      </w14:textFill>
                    </w:rPr>
                  </w:pPr>
                </w:p>
              </w:tc>
              <w:tc>
                <w:tcPr>
                  <w:tcW w:w="1023" w:type="pct"/>
                  <w:vAlign w:val="center"/>
                </w:tcPr>
                <w:p w14:paraId="610C231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900t/d用于制成菜渣后制作有机肥</w:t>
                  </w:r>
                </w:p>
              </w:tc>
            </w:tr>
            <w:tr w14:paraId="0182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453B370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672" w:type="pct"/>
                  <w:vAlign w:val="center"/>
                </w:tcPr>
                <w:p w14:paraId="7CE358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生物质颗粒燃料</w:t>
                  </w:r>
                </w:p>
              </w:tc>
              <w:tc>
                <w:tcPr>
                  <w:tcW w:w="602" w:type="pct"/>
                  <w:vAlign w:val="center"/>
                </w:tcPr>
                <w:p w14:paraId="3B2E9670">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24476C3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471537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11032t/a</w:t>
                  </w:r>
                </w:p>
              </w:tc>
              <w:tc>
                <w:tcPr>
                  <w:tcW w:w="1057" w:type="pct"/>
                  <w:vAlign w:val="center"/>
                </w:tcPr>
                <w:p w14:paraId="5D19AF3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-9929</w:t>
                  </w:r>
                  <w:r>
                    <w:rPr>
                      <w:bCs/>
                      <w:color w:val="000000" w:themeColor="text1"/>
                      <w:szCs w:val="21"/>
                      <w14:textFill>
                        <w14:solidFill>
                          <w14:schemeClr w14:val="tx1"/>
                        </w14:solidFill>
                      </w14:textFill>
                    </w:rPr>
                    <w:t>t/a</w:t>
                  </w:r>
                </w:p>
              </w:tc>
              <w:tc>
                <w:tcPr>
                  <w:tcW w:w="1023" w:type="pct"/>
                  <w:vAlign w:val="center"/>
                </w:tcPr>
                <w:p w14:paraId="7F45B67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1103</w:t>
                  </w:r>
                  <w:r>
                    <w:rPr>
                      <w:bCs/>
                      <w:color w:val="000000" w:themeColor="text1"/>
                      <w:szCs w:val="21"/>
                      <w14:textFill>
                        <w14:solidFill>
                          <w14:schemeClr w14:val="tx1"/>
                        </w14:solidFill>
                      </w14:textFill>
                    </w:rPr>
                    <w:t>t/a</w:t>
                  </w:r>
                </w:p>
              </w:tc>
            </w:tr>
            <w:tr w14:paraId="5604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4FE4562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672" w:type="pct"/>
                  <w:vAlign w:val="center"/>
                </w:tcPr>
                <w:p w14:paraId="07DC61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沼气</w:t>
                  </w:r>
                </w:p>
              </w:tc>
              <w:tc>
                <w:tcPr>
                  <w:tcW w:w="602" w:type="pct"/>
                  <w:vAlign w:val="center"/>
                </w:tcPr>
                <w:p w14:paraId="653C0F7D">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88" w:type="pct"/>
                  <w:vAlign w:val="center"/>
                </w:tcPr>
                <w:p w14:paraId="79F8B1C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气态</w:t>
                  </w:r>
                </w:p>
              </w:tc>
              <w:tc>
                <w:tcPr>
                  <w:tcW w:w="894" w:type="pct"/>
                  <w:vAlign w:val="center"/>
                </w:tcPr>
                <w:p w14:paraId="7CEA03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57" w:type="pct"/>
                  <w:vAlign w:val="center"/>
                </w:tcPr>
                <w:p w14:paraId="28F90CAD">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-5.38万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23" w:type="pct"/>
                  <w:vAlign w:val="center"/>
                </w:tcPr>
                <w:p w14:paraId="023E501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105.59万</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r w14:paraId="3870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09469CD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672" w:type="pct"/>
                  <w:vAlign w:val="center"/>
                </w:tcPr>
                <w:p w14:paraId="589A72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602" w:type="pct"/>
                  <w:vAlign w:val="center"/>
                </w:tcPr>
                <w:p w14:paraId="190CFBD6">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0B757D5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4" w:type="pct"/>
                  <w:vAlign w:val="center"/>
                </w:tcPr>
                <w:p w14:paraId="781E42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7175.555t/a</w:t>
                  </w:r>
                </w:p>
              </w:tc>
              <w:tc>
                <w:tcPr>
                  <w:tcW w:w="1057" w:type="pct"/>
                  <w:vAlign w:val="center"/>
                </w:tcPr>
                <w:p w14:paraId="62D0B0F0">
                  <w:pPr>
                    <w:jc w:val="center"/>
                    <w:rPr>
                      <w:bCs/>
                      <w:color w:val="000000" w:themeColor="text1"/>
                      <w:szCs w:val="21"/>
                      <w:highlight w:val="yellow"/>
                      <w14:textFill>
                        <w14:solidFill>
                          <w14:schemeClr w14:val="tx1"/>
                        </w14:solidFill>
                      </w14:textFill>
                    </w:rPr>
                  </w:pPr>
                  <w:r>
                    <w:rPr>
                      <w:rFonts w:hint="eastAsia"/>
                      <w:color w:val="000000" w:themeColor="text1"/>
                      <w:szCs w:val="21"/>
                      <w:highlight w:val="yellow"/>
                      <w14:textFill>
                        <w14:solidFill>
                          <w14:schemeClr w14:val="tx1"/>
                        </w14:solidFill>
                      </w14:textFill>
                    </w:rPr>
                    <w:t>+</w:t>
                  </w:r>
                  <w:r>
                    <w:rPr>
                      <w:rFonts w:hint="eastAsia"/>
                      <w:color w:val="000000" w:themeColor="text1"/>
                      <w:szCs w:val="21"/>
                      <w:highlight w:val="yellow"/>
                      <w:lang w:val="en-US" w:eastAsia="zh-CN"/>
                      <w14:textFill>
                        <w14:solidFill>
                          <w14:schemeClr w14:val="tx1"/>
                        </w14:solidFill>
                      </w14:textFill>
                    </w:rPr>
                    <w:t>612.6</w:t>
                  </w:r>
                  <w:r>
                    <w:rPr>
                      <w:color w:val="000000" w:themeColor="text1"/>
                      <w:szCs w:val="21"/>
                      <w:highlight w:val="yellow"/>
                      <w14:textFill>
                        <w14:solidFill>
                          <w14:schemeClr w14:val="tx1"/>
                        </w14:solidFill>
                      </w14:textFill>
                    </w:rPr>
                    <w:t>/a</w:t>
                  </w:r>
                </w:p>
              </w:tc>
              <w:tc>
                <w:tcPr>
                  <w:tcW w:w="1023" w:type="pct"/>
                  <w:vAlign w:val="center"/>
                </w:tcPr>
                <w:p w14:paraId="6E5C3017">
                  <w:pPr>
                    <w:jc w:val="center"/>
                    <w:rPr>
                      <w:bCs/>
                      <w:color w:val="000000" w:themeColor="text1"/>
                      <w:szCs w:val="21"/>
                      <w:highlight w:val="yellow"/>
                      <w14:textFill>
                        <w14:solidFill>
                          <w14:schemeClr w14:val="tx1"/>
                        </w14:solidFill>
                      </w14:textFill>
                    </w:rPr>
                  </w:pPr>
                  <w:r>
                    <w:rPr>
                      <w:rFonts w:hint="eastAsia"/>
                      <w:bCs/>
                      <w:color w:val="000000" w:themeColor="text1"/>
                      <w:szCs w:val="21"/>
                      <w:highlight w:val="yellow"/>
                      <w:lang w:val="en-US" w:eastAsia="zh-CN"/>
                      <w14:textFill>
                        <w14:solidFill>
                          <w14:schemeClr w14:val="tx1"/>
                        </w14:solidFill>
                      </w14:textFill>
                    </w:rPr>
                    <w:t>7788.204</w:t>
                  </w:r>
                  <w:r>
                    <w:rPr>
                      <w:color w:val="000000" w:themeColor="text1"/>
                      <w:szCs w:val="21"/>
                      <w:highlight w:val="yellow"/>
                      <w14:textFill>
                        <w14:solidFill>
                          <w14:schemeClr w14:val="tx1"/>
                        </w14:solidFill>
                      </w14:textFill>
                    </w:rPr>
                    <w:t>t/a</w:t>
                  </w:r>
                </w:p>
              </w:tc>
            </w:tr>
            <w:tr w14:paraId="0B34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3CD2433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672" w:type="pct"/>
                  <w:vAlign w:val="center"/>
                </w:tcPr>
                <w:p w14:paraId="555145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602" w:type="pct"/>
                  <w:vAlign w:val="center"/>
                </w:tcPr>
                <w:p w14:paraId="4B3833A9">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51CA443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894" w:type="pct"/>
                  <w:vAlign w:val="center"/>
                </w:tcPr>
                <w:p w14:paraId="78D6C9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582000kwh/a</w:t>
                  </w:r>
                </w:p>
              </w:tc>
              <w:tc>
                <w:tcPr>
                  <w:tcW w:w="1057" w:type="pct"/>
                  <w:vAlign w:val="center"/>
                </w:tcPr>
                <w:p w14:paraId="0F6D1FD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-523800</w:t>
                  </w:r>
                  <w:r>
                    <w:rPr>
                      <w:color w:val="000000" w:themeColor="text1"/>
                      <w:szCs w:val="21"/>
                      <w14:textFill>
                        <w14:solidFill>
                          <w14:schemeClr w14:val="tx1"/>
                        </w14:solidFill>
                      </w14:textFill>
                    </w:rPr>
                    <w:t>kwh/a</w:t>
                  </w:r>
                </w:p>
              </w:tc>
              <w:tc>
                <w:tcPr>
                  <w:tcW w:w="1023" w:type="pct"/>
                  <w:vAlign w:val="center"/>
                </w:tcPr>
                <w:p w14:paraId="2FEB0AE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58200</w:t>
                  </w:r>
                  <w:r>
                    <w:rPr>
                      <w:color w:val="000000" w:themeColor="text1"/>
                      <w:szCs w:val="21"/>
                      <w14:textFill>
                        <w14:solidFill>
                          <w14:schemeClr w14:val="tx1"/>
                        </w14:solidFill>
                      </w14:textFill>
                    </w:rPr>
                    <w:t>kwh/a</w:t>
                  </w:r>
                </w:p>
              </w:tc>
            </w:tr>
            <w:tr w14:paraId="3C66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vAlign w:val="center"/>
                </w:tcPr>
                <w:p w14:paraId="018FCFC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672" w:type="pct"/>
                  <w:vAlign w:val="center"/>
                </w:tcPr>
                <w:p w14:paraId="70AF3F0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脱硫剂</w:t>
                  </w:r>
                </w:p>
              </w:tc>
              <w:tc>
                <w:tcPr>
                  <w:tcW w:w="602" w:type="pct"/>
                  <w:vAlign w:val="center"/>
                </w:tcPr>
                <w:p w14:paraId="70A69586">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43BC168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B0908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16t/a</w:t>
                  </w:r>
                </w:p>
              </w:tc>
              <w:tc>
                <w:tcPr>
                  <w:tcW w:w="1057" w:type="pct"/>
                  <w:vAlign w:val="center"/>
                </w:tcPr>
                <w:p w14:paraId="5AE8999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-14.4</w:t>
                  </w:r>
                  <w:r>
                    <w:rPr>
                      <w:color w:val="000000" w:themeColor="text1"/>
                      <w:szCs w:val="21"/>
                      <w14:textFill>
                        <w14:solidFill>
                          <w14:schemeClr w14:val="tx1"/>
                        </w14:solidFill>
                      </w14:textFill>
                    </w:rPr>
                    <w:t>t/a</w:t>
                  </w:r>
                </w:p>
              </w:tc>
              <w:tc>
                <w:tcPr>
                  <w:tcW w:w="1023" w:type="pct"/>
                  <w:vAlign w:val="center"/>
                </w:tcPr>
                <w:p w14:paraId="4BFDFC3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w:t>
                  </w:r>
                  <w:r>
                    <w:rPr>
                      <w:color w:val="000000" w:themeColor="text1"/>
                      <w:szCs w:val="21"/>
                      <w14:textFill>
                        <w14:solidFill>
                          <w14:schemeClr w14:val="tx1"/>
                        </w14:solidFill>
                      </w14:textFill>
                    </w:rPr>
                    <w:t>t/a</w:t>
                  </w:r>
                </w:p>
              </w:tc>
            </w:tr>
            <w:tr w14:paraId="7BEF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6CE840E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672" w:type="pct"/>
                  <w:vAlign w:val="center"/>
                </w:tcPr>
                <w:p w14:paraId="560002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生物除臭剂</w:t>
                  </w:r>
                </w:p>
              </w:tc>
              <w:tc>
                <w:tcPr>
                  <w:tcW w:w="602" w:type="pct"/>
                  <w:vAlign w:val="center"/>
                </w:tcPr>
                <w:p w14:paraId="4205D59A">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0EC27FD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6286A30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10t/a</w:t>
                  </w:r>
                </w:p>
              </w:tc>
              <w:tc>
                <w:tcPr>
                  <w:tcW w:w="1057" w:type="pct"/>
                  <w:vAlign w:val="center"/>
                </w:tcPr>
                <w:p w14:paraId="0B59E46B">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23" w:type="pct"/>
                  <w:vAlign w:val="center"/>
                </w:tcPr>
                <w:p w14:paraId="2022C06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r>
                    <w:rPr>
                      <w:color w:val="000000" w:themeColor="text1"/>
                      <w:szCs w:val="21"/>
                      <w14:textFill>
                        <w14:solidFill>
                          <w14:schemeClr w14:val="tx1"/>
                        </w14:solidFill>
                      </w14:textFill>
                    </w:rPr>
                    <w:t>t/a</w:t>
                  </w:r>
                </w:p>
              </w:tc>
            </w:tr>
            <w:tr w14:paraId="6C08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000DB75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672" w:type="pct"/>
                  <w:vAlign w:val="center"/>
                </w:tcPr>
                <w:p w14:paraId="181812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w:t>
                  </w:r>
                </w:p>
              </w:tc>
              <w:tc>
                <w:tcPr>
                  <w:tcW w:w="602" w:type="pct"/>
                  <w:vAlign w:val="center"/>
                </w:tcPr>
                <w:p w14:paraId="29375ABE">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C3D21A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8CBEC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7.5t/a</w:t>
                  </w:r>
                </w:p>
              </w:tc>
              <w:tc>
                <w:tcPr>
                  <w:tcW w:w="1057" w:type="pct"/>
                  <w:vAlign w:val="center"/>
                </w:tcPr>
                <w:p w14:paraId="5726422F">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-6.75</w:t>
                  </w:r>
                  <w:r>
                    <w:rPr>
                      <w:bCs/>
                      <w:color w:val="000000" w:themeColor="text1"/>
                      <w:szCs w:val="21"/>
                      <w14:textFill>
                        <w14:solidFill>
                          <w14:schemeClr w14:val="tx1"/>
                        </w14:solidFill>
                      </w14:textFill>
                    </w:rPr>
                    <w:t>t/a</w:t>
                  </w:r>
                </w:p>
              </w:tc>
              <w:tc>
                <w:tcPr>
                  <w:tcW w:w="1023" w:type="pct"/>
                  <w:vAlign w:val="center"/>
                </w:tcPr>
                <w:p w14:paraId="7F02C9B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0.75</w:t>
                  </w:r>
                  <w:r>
                    <w:rPr>
                      <w:bCs/>
                      <w:color w:val="000000" w:themeColor="text1"/>
                      <w:szCs w:val="21"/>
                      <w14:textFill>
                        <w14:solidFill>
                          <w14:schemeClr w14:val="tx1"/>
                        </w14:solidFill>
                      </w14:textFill>
                    </w:rPr>
                    <w:t>t/a</w:t>
                  </w:r>
                </w:p>
              </w:tc>
            </w:tr>
            <w:tr w14:paraId="256B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1533A650">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p>
              </w:tc>
              <w:tc>
                <w:tcPr>
                  <w:tcW w:w="672" w:type="pct"/>
                  <w:vAlign w:val="center"/>
                </w:tcPr>
                <w:p w14:paraId="3784BD9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絮凝剂</w:t>
                  </w:r>
                </w:p>
              </w:tc>
              <w:tc>
                <w:tcPr>
                  <w:tcW w:w="602" w:type="pct"/>
                  <w:vAlign w:val="center"/>
                </w:tcPr>
                <w:p w14:paraId="2E84DD97">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74A77D3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3B9010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150t/a</w:t>
                  </w:r>
                </w:p>
              </w:tc>
              <w:tc>
                <w:tcPr>
                  <w:tcW w:w="1057" w:type="pct"/>
                  <w:vAlign w:val="center"/>
                </w:tcPr>
                <w:p w14:paraId="0DDDFE9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-135</w:t>
                  </w:r>
                  <w:r>
                    <w:rPr>
                      <w:bCs/>
                      <w:color w:val="000000" w:themeColor="text1"/>
                      <w:szCs w:val="21"/>
                      <w14:textFill>
                        <w14:solidFill>
                          <w14:schemeClr w14:val="tx1"/>
                        </w14:solidFill>
                      </w14:textFill>
                    </w:rPr>
                    <w:t>t/a</w:t>
                  </w:r>
                </w:p>
              </w:tc>
              <w:tc>
                <w:tcPr>
                  <w:tcW w:w="1023" w:type="pct"/>
                  <w:vAlign w:val="center"/>
                </w:tcPr>
                <w:p w14:paraId="4263B47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r>
                    <w:rPr>
                      <w:bCs/>
                      <w:color w:val="000000" w:themeColor="text1"/>
                      <w:szCs w:val="21"/>
                      <w14:textFill>
                        <w14:solidFill>
                          <w14:schemeClr w14:val="tx1"/>
                        </w14:solidFill>
                      </w14:textFill>
                    </w:rPr>
                    <w:t>t/a</w:t>
                  </w:r>
                </w:p>
              </w:tc>
            </w:tr>
            <w:tr w14:paraId="4984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3016B49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672" w:type="pct"/>
                  <w:vAlign w:val="center"/>
                </w:tcPr>
                <w:p w14:paraId="1336CD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w:t>
                  </w:r>
                </w:p>
              </w:tc>
              <w:tc>
                <w:tcPr>
                  <w:tcW w:w="602" w:type="pct"/>
                  <w:vAlign w:val="center"/>
                </w:tcPr>
                <w:p w14:paraId="297AF314">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4C3D379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00C288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3t/a</w:t>
                  </w:r>
                </w:p>
              </w:tc>
              <w:tc>
                <w:tcPr>
                  <w:tcW w:w="1057" w:type="pct"/>
                  <w:vAlign w:val="center"/>
                </w:tcPr>
                <w:p w14:paraId="7596DD0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-2.7</w:t>
                  </w:r>
                  <w:r>
                    <w:rPr>
                      <w:bCs/>
                      <w:color w:val="000000" w:themeColor="text1"/>
                      <w:szCs w:val="21"/>
                      <w14:textFill>
                        <w14:solidFill>
                          <w14:schemeClr w14:val="tx1"/>
                        </w14:solidFill>
                      </w14:textFill>
                    </w:rPr>
                    <w:t>t/a</w:t>
                  </w:r>
                </w:p>
              </w:tc>
              <w:tc>
                <w:tcPr>
                  <w:tcW w:w="1023" w:type="pct"/>
                  <w:vAlign w:val="center"/>
                </w:tcPr>
                <w:p w14:paraId="6BA1FC9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0.3</w:t>
                  </w:r>
                  <w:r>
                    <w:rPr>
                      <w:bCs/>
                      <w:color w:val="000000" w:themeColor="text1"/>
                      <w:szCs w:val="21"/>
                      <w14:textFill>
                        <w14:solidFill>
                          <w14:schemeClr w14:val="tx1"/>
                        </w14:solidFill>
                      </w14:textFill>
                    </w:rPr>
                    <w:t>t/a</w:t>
                  </w:r>
                </w:p>
              </w:tc>
            </w:tr>
            <w:tr w14:paraId="681B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3" w:type="pct"/>
                  <w:vAlign w:val="center"/>
                </w:tcPr>
                <w:p w14:paraId="4DF5E5C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w:t>
                  </w:r>
                </w:p>
              </w:tc>
              <w:tc>
                <w:tcPr>
                  <w:tcW w:w="672" w:type="pct"/>
                  <w:vAlign w:val="center"/>
                </w:tcPr>
                <w:p w14:paraId="0C70341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尿素</w:t>
                  </w:r>
                </w:p>
              </w:tc>
              <w:tc>
                <w:tcPr>
                  <w:tcW w:w="602" w:type="pct"/>
                  <w:vAlign w:val="center"/>
                </w:tcPr>
                <w:p w14:paraId="668DD98E">
                  <w:pPr>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5F814A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4" w:type="pct"/>
                  <w:vAlign w:val="center"/>
                </w:tcPr>
                <w:p w14:paraId="197BA90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1.1t/a</w:t>
                  </w:r>
                </w:p>
              </w:tc>
              <w:tc>
                <w:tcPr>
                  <w:tcW w:w="1057" w:type="pct"/>
                  <w:vAlign w:val="center"/>
                </w:tcPr>
                <w:p w14:paraId="399FA39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-0.99</w:t>
                  </w:r>
                  <w:r>
                    <w:rPr>
                      <w:bCs/>
                      <w:color w:val="000000" w:themeColor="text1"/>
                      <w:szCs w:val="21"/>
                      <w14:textFill>
                        <w14:solidFill>
                          <w14:schemeClr w14:val="tx1"/>
                        </w14:solidFill>
                      </w14:textFill>
                    </w:rPr>
                    <w:t>t/a</w:t>
                  </w:r>
                </w:p>
              </w:tc>
              <w:tc>
                <w:tcPr>
                  <w:tcW w:w="1023" w:type="pct"/>
                  <w:vAlign w:val="center"/>
                </w:tcPr>
                <w:p w14:paraId="02A8343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0.11</w:t>
                  </w:r>
                  <w:r>
                    <w:rPr>
                      <w:bCs/>
                      <w:color w:val="000000" w:themeColor="text1"/>
                      <w:szCs w:val="21"/>
                      <w14:textFill>
                        <w14:solidFill>
                          <w14:schemeClr w14:val="tx1"/>
                        </w14:solidFill>
                      </w14:textFill>
                    </w:rPr>
                    <w:t>t/a</w:t>
                  </w:r>
                </w:p>
              </w:tc>
            </w:tr>
            <w:tr w14:paraId="455C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000" w:type="pct"/>
                  <w:gridSpan w:val="7"/>
                  <w:vAlign w:val="center"/>
                </w:tcPr>
                <w:p w14:paraId="4601CE29">
                  <w:pPr>
                    <w:jc w:val="center"/>
                    <w:rPr>
                      <w:bCs/>
                      <w:color w:val="000000" w:themeColor="text1"/>
                      <w:szCs w:val="21"/>
                      <w14:textFill>
                        <w14:solidFill>
                          <w14:schemeClr w14:val="tx1"/>
                        </w14:solidFill>
                      </w14:textFill>
                    </w:rPr>
                  </w:pPr>
                  <w:r>
                    <w:rPr>
                      <w:rFonts w:hint="eastAsia"/>
                      <w:color w:val="000000" w:themeColor="text1"/>
                      <w:sz w:val="20"/>
                      <w:szCs w:val="20"/>
                      <w14:textFill>
                        <w14:solidFill>
                          <w14:schemeClr w14:val="tx1"/>
                        </w14:solidFill>
                      </w14:textFill>
                    </w:rPr>
                    <w:t>根据污水处理设计方提供资料，处理1m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废水产生3.5m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~4.5m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沼气，环评按照处理1m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废水产生4.5m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沼气计，改扩建后处理废水量为23.4644万m</w:t>
                  </w:r>
                  <w:r>
                    <w:rPr>
                      <w:rFonts w:hint="eastAsia"/>
                      <w:color w:val="000000" w:themeColor="text1"/>
                      <w:sz w:val="20"/>
                      <w:szCs w:val="20"/>
                      <w:vertAlign w:val="superscript"/>
                      <w14:textFill>
                        <w14:solidFill>
                          <w14:schemeClr w14:val="tx1"/>
                        </w14:solidFill>
                      </w14:textFill>
                    </w:rPr>
                    <w:t>3</w:t>
                  </w:r>
                  <w:r>
                    <w:rPr>
                      <w:rFonts w:hint="eastAsia"/>
                      <w:color w:val="000000" w:themeColor="text1"/>
                      <w:sz w:val="20"/>
                      <w:szCs w:val="20"/>
                      <w14:textFill>
                        <w14:solidFill>
                          <w14:schemeClr w14:val="tx1"/>
                        </w14:solidFill>
                      </w14:textFill>
                    </w:rPr>
                    <w:t>，计算出改扩建后沼气量为105.59万m</w:t>
                  </w:r>
                  <w:r>
                    <w:rPr>
                      <w:rFonts w:hint="eastAsia"/>
                      <w:color w:val="000000" w:themeColor="text1"/>
                      <w:sz w:val="20"/>
                      <w:szCs w:val="20"/>
                      <w:vertAlign w:val="superscript"/>
                      <w14:textFill>
                        <w14:solidFill>
                          <w14:schemeClr w14:val="tx1"/>
                        </w14:solidFill>
                      </w14:textFill>
                    </w:rPr>
                    <w:t>3</w:t>
                  </w:r>
                </w:p>
              </w:tc>
            </w:tr>
            <w:tr w14:paraId="220A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BEBEBE"/>
                </w:tcPr>
                <w:p w14:paraId="7571631F">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液态水溶肥生产线</w:t>
                  </w:r>
                  <w:r>
                    <w:rPr>
                      <w:rFonts w:hint="eastAsia"/>
                      <w:b/>
                      <w:bCs/>
                      <w:color w:val="000000" w:themeColor="text1"/>
                      <w14:textFill>
                        <w14:solidFill>
                          <w14:schemeClr w14:val="tx1"/>
                        </w14:solidFill>
                      </w14:textFill>
                    </w:rPr>
                    <w:t>（新增生产线一条，设计年产量</w:t>
                  </w:r>
                  <w:r>
                    <w:rPr>
                      <w:rFonts w:hint="eastAsia"/>
                      <w:b/>
                      <w:bCs/>
                      <w:color w:val="000000" w:themeColor="text1"/>
                      <w:lang w:val="en-US" w:eastAsia="zh-CN"/>
                      <w14:textFill>
                        <w14:solidFill>
                          <w14:schemeClr w14:val="tx1"/>
                        </w14:solidFill>
                      </w14:textFill>
                    </w:rPr>
                    <w:t>8000</w:t>
                  </w:r>
                  <w:r>
                    <w:rPr>
                      <w:rFonts w:hint="eastAsia"/>
                      <w:b/>
                      <w:bCs/>
                      <w:color w:val="000000" w:themeColor="text1"/>
                      <w14:textFill>
                        <w14:solidFill>
                          <w14:schemeClr w14:val="tx1"/>
                        </w14:solidFill>
                      </w14:textFill>
                    </w:rPr>
                    <w:t>吨）</w:t>
                  </w:r>
                </w:p>
              </w:tc>
            </w:tr>
            <w:tr w14:paraId="7C2A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20F1478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72" w:type="pct"/>
                  <w:vAlign w:val="center"/>
                </w:tcPr>
                <w:p w14:paraId="6ED84C8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尾菜废水</w:t>
                  </w:r>
                </w:p>
              </w:tc>
              <w:tc>
                <w:tcPr>
                  <w:tcW w:w="602" w:type="pct"/>
                  <w:vAlign w:val="center"/>
                </w:tcPr>
                <w:p w14:paraId="02FA679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 w:val="18"/>
                      <w:szCs w:val="18"/>
                      <w14:textFill>
                        <w14:solidFill>
                          <w14:schemeClr w14:val="tx1"/>
                        </w14:solidFill>
                      </w14:textFill>
                    </w:rPr>
                    <w:t>废水收集池，</w:t>
                  </w:r>
                  <w:r>
                    <w:rPr>
                      <w:color w:val="000000" w:themeColor="text1"/>
                      <w:sz w:val="18"/>
                      <w:szCs w:val="18"/>
                      <w14:textFill>
                        <w14:solidFill>
                          <w14:schemeClr w14:val="tx1"/>
                        </w14:solidFill>
                      </w14:textFill>
                    </w:rPr>
                    <w:t>果蔬废弃物</w:t>
                  </w:r>
                  <w:r>
                    <w:rPr>
                      <w:rFonts w:hint="eastAsia"/>
                      <w:color w:val="000000" w:themeColor="text1"/>
                      <w:sz w:val="18"/>
                      <w:szCs w:val="18"/>
                      <w14:textFill>
                        <w14:solidFill>
                          <w14:schemeClr w14:val="tx1"/>
                        </w14:solidFill>
                      </w14:textFill>
                    </w:rPr>
                    <w:t>脱水</w:t>
                  </w:r>
                </w:p>
              </w:tc>
              <w:tc>
                <w:tcPr>
                  <w:tcW w:w="488" w:type="pct"/>
                  <w:vAlign w:val="center"/>
                </w:tcPr>
                <w:p w14:paraId="57F0BF6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4" w:type="pct"/>
                  <w:vAlign w:val="center"/>
                </w:tcPr>
                <w:p w14:paraId="41B9275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4F30767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000</w:t>
                  </w:r>
                  <w:r>
                    <w:rPr>
                      <w:color w:val="000000" w:themeColor="text1"/>
                      <w:szCs w:val="21"/>
                      <w14:textFill>
                        <w14:solidFill>
                          <w14:schemeClr w14:val="tx1"/>
                        </w14:solidFill>
                      </w14:textFill>
                    </w:rPr>
                    <w:t>t/a</w:t>
                  </w:r>
                </w:p>
              </w:tc>
              <w:tc>
                <w:tcPr>
                  <w:tcW w:w="1023" w:type="pct"/>
                  <w:vAlign w:val="center"/>
                </w:tcPr>
                <w:p w14:paraId="1B563B1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000</w:t>
                  </w:r>
                  <w:r>
                    <w:rPr>
                      <w:color w:val="000000" w:themeColor="text1"/>
                      <w:szCs w:val="21"/>
                      <w14:textFill>
                        <w14:solidFill>
                          <w14:schemeClr w14:val="tx1"/>
                        </w14:solidFill>
                      </w14:textFill>
                    </w:rPr>
                    <w:t>t/a</w:t>
                  </w:r>
                </w:p>
              </w:tc>
            </w:tr>
            <w:tr w14:paraId="468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860903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72" w:type="pct"/>
                  <w:vAlign w:val="center"/>
                </w:tcPr>
                <w:p w14:paraId="7CD43DE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糖蜜</w:t>
                  </w:r>
                </w:p>
              </w:tc>
              <w:tc>
                <w:tcPr>
                  <w:tcW w:w="602" w:type="pct"/>
                  <w:vAlign w:val="center"/>
                </w:tcPr>
                <w:p w14:paraId="5B38A91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052897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4" w:type="pct"/>
                  <w:vAlign w:val="center"/>
                </w:tcPr>
                <w:p w14:paraId="5C933B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78C71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430</w:t>
                  </w:r>
                  <w:r>
                    <w:rPr>
                      <w:color w:val="000000" w:themeColor="text1"/>
                      <w:szCs w:val="21"/>
                      <w14:textFill>
                        <w14:solidFill>
                          <w14:schemeClr w14:val="tx1"/>
                        </w14:solidFill>
                      </w14:textFill>
                    </w:rPr>
                    <w:t>t/a</w:t>
                  </w:r>
                </w:p>
              </w:tc>
              <w:tc>
                <w:tcPr>
                  <w:tcW w:w="1023" w:type="pct"/>
                  <w:vAlign w:val="center"/>
                </w:tcPr>
                <w:p w14:paraId="235BB88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430</w:t>
                  </w:r>
                  <w:r>
                    <w:rPr>
                      <w:color w:val="000000" w:themeColor="text1"/>
                      <w:szCs w:val="21"/>
                      <w14:textFill>
                        <w14:solidFill>
                          <w14:schemeClr w14:val="tx1"/>
                        </w14:solidFill>
                      </w14:textFill>
                    </w:rPr>
                    <w:t>t/a</w:t>
                  </w:r>
                </w:p>
              </w:tc>
            </w:tr>
            <w:tr w14:paraId="4BD2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64B0224D">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72" w:type="pct"/>
                  <w:vAlign w:val="center"/>
                </w:tcPr>
                <w:p w14:paraId="4EED852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冰醋酸</w:t>
                  </w:r>
                </w:p>
              </w:tc>
              <w:tc>
                <w:tcPr>
                  <w:tcW w:w="602" w:type="pct"/>
                  <w:vAlign w:val="center"/>
                </w:tcPr>
                <w:p w14:paraId="3FAD6C4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A5EBCA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液态</w:t>
                  </w:r>
                </w:p>
              </w:tc>
              <w:tc>
                <w:tcPr>
                  <w:tcW w:w="894" w:type="pct"/>
                  <w:vAlign w:val="center"/>
                </w:tcPr>
                <w:p w14:paraId="01FBD6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381E289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w:t>
                  </w:r>
                  <w:r>
                    <w:rPr>
                      <w:color w:val="000000" w:themeColor="text1"/>
                      <w:szCs w:val="21"/>
                      <w14:textFill>
                        <w14:solidFill>
                          <w14:schemeClr w14:val="tx1"/>
                        </w14:solidFill>
                      </w14:textFill>
                    </w:rPr>
                    <w:t>t/a</w:t>
                  </w:r>
                </w:p>
              </w:tc>
              <w:tc>
                <w:tcPr>
                  <w:tcW w:w="1023" w:type="pct"/>
                  <w:vAlign w:val="center"/>
                </w:tcPr>
                <w:p w14:paraId="6BDC578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r>
                    <w:rPr>
                      <w:color w:val="000000" w:themeColor="text1"/>
                      <w:szCs w:val="21"/>
                      <w14:textFill>
                        <w14:solidFill>
                          <w14:schemeClr w14:val="tx1"/>
                        </w14:solidFill>
                      </w14:textFill>
                    </w:rPr>
                    <w:t>t/a</w:t>
                  </w:r>
                </w:p>
              </w:tc>
            </w:tr>
            <w:tr w14:paraId="58B5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1B30B08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72" w:type="pct"/>
                  <w:vAlign w:val="center"/>
                </w:tcPr>
                <w:p w14:paraId="6E38440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元素型营养盐</w:t>
                  </w:r>
                </w:p>
              </w:tc>
              <w:tc>
                <w:tcPr>
                  <w:tcW w:w="602" w:type="pct"/>
                  <w:vAlign w:val="center"/>
                </w:tcPr>
                <w:p w14:paraId="2727AA2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3A09424">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28EF3F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4926EC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00</w:t>
                  </w:r>
                  <w:r>
                    <w:rPr>
                      <w:color w:val="000000" w:themeColor="text1"/>
                      <w:szCs w:val="21"/>
                      <w14:textFill>
                        <w14:solidFill>
                          <w14:schemeClr w14:val="tx1"/>
                        </w14:solidFill>
                      </w14:textFill>
                    </w:rPr>
                    <w:t>t/a</w:t>
                  </w:r>
                </w:p>
              </w:tc>
              <w:tc>
                <w:tcPr>
                  <w:tcW w:w="1023" w:type="pct"/>
                  <w:vAlign w:val="center"/>
                </w:tcPr>
                <w:p w14:paraId="568558F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00</w:t>
                  </w:r>
                  <w:r>
                    <w:rPr>
                      <w:color w:val="000000" w:themeColor="text1"/>
                      <w:szCs w:val="21"/>
                      <w14:textFill>
                        <w14:solidFill>
                          <w14:schemeClr w14:val="tx1"/>
                        </w14:solidFill>
                      </w14:textFill>
                    </w:rPr>
                    <w:t>t/a</w:t>
                  </w:r>
                </w:p>
              </w:tc>
            </w:tr>
            <w:tr w14:paraId="3B5B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06ACB7E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72" w:type="pct"/>
                  <w:vAlign w:val="center"/>
                </w:tcPr>
                <w:p w14:paraId="4F71C2F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聚谷氨酸</w:t>
                  </w:r>
                </w:p>
              </w:tc>
              <w:tc>
                <w:tcPr>
                  <w:tcW w:w="602" w:type="pct"/>
                  <w:vAlign w:val="center"/>
                </w:tcPr>
                <w:p w14:paraId="483937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564F0E4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629B9D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01BBEFE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150</w:t>
                  </w:r>
                  <w:r>
                    <w:rPr>
                      <w:color w:val="000000" w:themeColor="text1"/>
                      <w:szCs w:val="21"/>
                      <w14:textFill>
                        <w14:solidFill>
                          <w14:schemeClr w14:val="tx1"/>
                        </w14:solidFill>
                      </w14:textFill>
                    </w:rPr>
                    <w:t>t/a</w:t>
                  </w:r>
                </w:p>
              </w:tc>
              <w:tc>
                <w:tcPr>
                  <w:tcW w:w="1023" w:type="pct"/>
                  <w:vAlign w:val="center"/>
                </w:tcPr>
                <w:p w14:paraId="2312578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r>
                    <w:rPr>
                      <w:color w:val="000000" w:themeColor="text1"/>
                      <w:szCs w:val="21"/>
                      <w14:textFill>
                        <w14:solidFill>
                          <w14:schemeClr w14:val="tx1"/>
                        </w14:solidFill>
                      </w14:textFill>
                    </w:rPr>
                    <w:t>t/a</w:t>
                  </w:r>
                </w:p>
              </w:tc>
            </w:tr>
            <w:tr w14:paraId="7BA4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736DC13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72" w:type="pct"/>
                  <w:vAlign w:val="center"/>
                </w:tcPr>
                <w:p w14:paraId="71C30F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多生菌脂</w:t>
                  </w:r>
                </w:p>
              </w:tc>
              <w:tc>
                <w:tcPr>
                  <w:tcW w:w="602" w:type="pct"/>
                  <w:vAlign w:val="center"/>
                </w:tcPr>
                <w:p w14:paraId="526F33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57755AF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液态</w:t>
                  </w:r>
                </w:p>
              </w:tc>
              <w:tc>
                <w:tcPr>
                  <w:tcW w:w="894" w:type="pct"/>
                  <w:vAlign w:val="center"/>
                </w:tcPr>
                <w:p w14:paraId="4D937D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78E6E7B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25</w:t>
                  </w:r>
                  <w:r>
                    <w:rPr>
                      <w:color w:val="000000" w:themeColor="text1"/>
                      <w:szCs w:val="21"/>
                      <w14:textFill>
                        <w14:solidFill>
                          <w14:schemeClr w14:val="tx1"/>
                        </w14:solidFill>
                      </w14:textFill>
                    </w:rPr>
                    <w:t>t/a</w:t>
                  </w:r>
                </w:p>
              </w:tc>
              <w:tc>
                <w:tcPr>
                  <w:tcW w:w="1023" w:type="pct"/>
                  <w:vAlign w:val="center"/>
                </w:tcPr>
                <w:p w14:paraId="7828907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r>
                    <w:rPr>
                      <w:color w:val="000000" w:themeColor="text1"/>
                      <w:szCs w:val="21"/>
                      <w14:textFill>
                        <w14:solidFill>
                          <w14:schemeClr w14:val="tx1"/>
                        </w14:solidFill>
                      </w14:textFill>
                    </w:rPr>
                    <w:t>t/a</w:t>
                  </w:r>
                </w:p>
              </w:tc>
            </w:tr>
            <w:tr w14:paraId="47C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3E4C2EB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672" w:type="pct"/>
                  <w:vAlign w:val="center"/>
                </w:tcPr>
                <w:p w14:paraId="5C5165E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微生物菌剂</w:t>
                  </w:r>
                </w:p>
              </w:tc>
              <w:tc>
                <w:tcPr>
                  <w:tcW w:w="602" w:type="pct"/>
                  <w:vAlign w:val="center"/>
                </w:tcPr>
                <w:p w14:paraId="04B692A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3156C2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25213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23BD2CB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60</w:t>
                  </w:r>
                  <w:r>
                    <w:rPr>
                      <w:color w:val="000000" w:themeColor="text1"/>
                      <w:szCs w:val="21"/>
                      <w14:textFill>
                        <w14:solidFill>
                          <w14:schemeClr w14:val="tx1"/>
                        </w14:solidFill>
                      </w14:textFill>
                    </w:rPr>
                    <w:t>t/a</w:t>
                  </w:r>
                </w:p>
              </w:tc>
              <w:tc>
                <w:tcPr>
                  <w:tcW w:w="1023" w:type="pct"/>
                  <w:vAlign w:val="center"/>
                </w:tcPr>
                <w:p w14:paraId="2A05B67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r>
                    <w:rPr>
                      <w:color w:val="000000" w:themeColor="text1"/>
                      <w:szCs w:val="21"/>
                      <w14:textFill>
                        <w14:solidFill>
                          <w14:schemeClr w14:val="tx1"/>
                        </w14:solidFill>
                      </w14:textFill>
                    </w:rPr>
                    <w:t>t/a</w:t>
                  </w:r>
                </w:p>
              </w:tc>
            </w:tr>
            <w:tr w14:paraId="37DA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40048EA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672" w:type="pct"/>
                  <w:vAlign w:val="center"/>
                </w:tcPr>
                <w:p w14:paraId="39427A0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悬浮剂</w:t>
                  </w:r>
                </w:p>
              </w:tc>
              <w:tc>
                <w:tcPr>
                  <w:tcW w:w="602" w:type="pct"/>
                  <w:vAlign w:val="center"/>
                </w:tcPr>
                <w:p w14:paraId="4A7B6A2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52CAEF46">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67CD5A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313DF1B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t/a</w:t>
                  </w:r>
                </w:p>
              </w:tc>
              <w:tc>
                <w:tcPr>
                  <w:tcW w:w="1023" w:type="pct"/>
                  <w:vAlign w:val="center"/>
                </w:tcPr>
                <w:p w14:paraId="5BAFA73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t/a</w:t>
                  </w:r>
                </w:p>
              </w:tc>
            </w:tr>
            <w:tr w14:paraId="1939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C0ABD16">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672" w:type="pct"/>
                  <w:vAlign w:val="center"/>
                </w:tcPr>
                <w:p w14:paraId="1F1C052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包装桶</w:t>
                  </w:r>
                </w:p>
              </w:tc>
              <w:tc>
                <w:tcPr>
                  <w:tcW w:w="602" w:type="pct"/>
                  <w:vAlign w:val="center"/>
                </w:tcPr>
                <w:p w14:paraId="2CFE4F0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73077544">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94" w:type="pct"/>
                  <w:vAlign w:val="center"/>
                </w:tcPr>
                <w:p w14:paraId="2ABDFCD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0DB9DFD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+300000个</w:t>
                  </w:r>
                </w:p>
              </w:tc>
              <w:tc>
                <w:tcPr>
                  <w:tcW w:w="1023" w:type="pct"/>
                  <w:vAlign w:val="center"/>
                </w:tcPr>
                <w:p w14:paraId="60DF0D1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300000个</w:t>
                  </w:r>
                </w:p>
              </w:tc>
            </w:tr>
            <w:tr w14:paraId="021C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04559B4">
                  <w:pPr>
                    <w:pStyle w:val="2"/>
                    <w:spacing w:after="0"/>
                    <w:ind w:left="0" w:leftChars="0"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配比：建设单位提供</w:t>
                  </w:r>
                </w:p>
              </w:tc>
            </w:tr>
            <w:tr w14:paraId="6AF9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210B6ECE">
                  <w:pPr>
                    <w:pStyle w:val="2"/>
                    <w:spacing w:after="0"/>
                    <w:ind w:left="0" w:leftChars="0" w:firstLine="0" w:firstLineChars="0"/>
                    <w:jc w:val="center"/>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固态水溶肥生产线</w:t>
                  </w:r>
                  <w:r>
                    <w:rPr>
                      <w:rFonts w:hint="eastAsia"/>
                      <w:b/>
                      <w:bCs/>
                      <w:color w:val="000000" w:themeColor="text1"/>
                      <w14:textFill>
                        <w14:solidFill>
                          <w14:schemeClr w14:val="tx1"/>
                        </w14:solidFill>
                      </w14:textFill>
                    </w:rPr>
                    <w:t>（新增生产线一条，设计年产量</w:t>
                  </w:r>
                  <w:r>
                    <w:rPr>
                      <w:rFonts w:hint="eastAsia"/>
                      <w:b/>
                      <w:bCs/>
                      <w:color w:val="000000" w:themeColor="text1"/>
                      <w:lang w:val="en-US" w:eastAsia="zh-CN"/>
                      <w14:textFill>
                        <w14:solidFill>
                          <w14:schemeClr w14:val="tx1"/>
                        </w14:solidFill>
                      </w14:textFill>
                    </w:rPr>
                    <w:t>80000</w:t>
                  </w:r>
                  <w:r>
                    <w:rPr>
                      <w:rFonts w:hint="eastAsia"/>
                      <w:b/>
                      <w:bCs/>
                      <w:color w:val="000000" w:themeColor="text1"/>
                      <w14:textFill>
                        <w14:solidFill>
                          <w14:schemeClr w14:val="tx1"/>
                        </w14:solidFill>
                      </w14:textFill>
                    </w:rPr>
                    <w:t>吨</w:t>
                  </w:r>
                  <w:r>
                    <w:rPr>
                      <w:rFonts w:hint="eastAsia"/>
                      <w:b/>
                      <w:bCs/>
                      <w:color w:val="000000" w:themeColor="text1"/>
                      <w:lang w:val="en-US" w:eastAsia="zh-CN"/>
                      <w14:textFill>
                        <w14:solidFill>
                          <w14:schemeClr w14:val="tx1"/>
                        </w14:solidFill>
                      </w14:textFill>
                    </w:rPr>
                    <w:t>/年</w:t>
                  </w:r>
                  <w:r>
                    <w:rPr>
                      <w:rFonts w:hint="eastAsia"/>
                      <w:b/>
                      <w:bCs/>
                      <w:color w:val="000000" w:themeColor="text1"/>
                      <w14:textFill>
                        <w14:solidFill>
                          <w14:schemeClr w14:val="tx1"/>
                        </w14:solidFill>
                      </w14:textFill>
                    </w:rPr>
                    <w:t>）</w:t>
                  </w:r>
                </w:p>
              </w:tc>
            </w:tr>
            <w:tr w14:paraId="72DA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77F2ED6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72" w:type="pct"/>
                  <w:vAlign w:val="center"/>
                </w:tcPr>
                <w:p w14:paraId="43D0479A">
                  <w:pPr>
                    <w:pStyle w:val="2"/>
                    <w:spacing w:after="0"/>
                    <w:ind w:left="0" w:leftChars="0" w:firstLine="0" w:firstLine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菜渣</w:t>
                  </w:r>
                </w:p>
              </w:tc>
              <w:tc>
                <w:tcPr>
                  <w:tcW w:w="602" w:type="pct"/>
                  <w:vAlign w:val="center"/>
                </w:tcPr>
                <w:p w14:paraId="7EB05F12">
                  <w:pPr>
                    <w:pStyle w:val="2"/>
                    <w:spacing w:after="0"/>
                    <w:ind w:left="0" w:leftChars="0"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饲料线</w:t>
                  </w:r>
                </w:p>
              </w:tc>
              <w:tc>
                <w:tcPr>
                  <w:tcW w:w="488" w:type="pct"/>
                  <w:vAlign w:val="center"/>
                </w:tcPr>
                <w:p w14:paraId="0B640692">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32C3038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5A96B5B1">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65534t</w:t>
                  </w:r>
                  <w:r>
                    <w:rPr>
                      <w:color w:val="000000" w:themeColor="text1"/>
                      <w:szCs w:val="21"/>
                      <w14:textFill>
                        <w14:solidFill>
                          <w14:schemeClr w14:val="tx1"/>
                        </w14:solidFill>
                      </w14:textFill>
                    </w:rPr>
                    <w:t>/a</w:t>
                  </w:r>
                </w:p>
              </w:tc>
              <w:tc>
                <w:tcPr>
                  <w:tcW w:w="1023" w:type="pct"/>
                  <w:vAlign w:val="center"/>
                </w:tcPr>
                <w:p w14:paraId="6A6FB0D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65534t</w:t>
                  </w:r>
                  <w:r>
                    <w:rPr>
                      <w:color w:val="000000" w:themeColor="text1"/>
                      <w:szCs w:val="21"/>
                      <w14:textFill>
                        <w14:solidFill>
                          <w14:schemeClr w14:val="tx1"/>
                        </w14:solidFill>
                      </w14:textFill>
                    </w:rPr>
                    <w:t>/a</w:t>
                  </w:r>
                </w:p>
              </w:tc>
            </w:tr>
            <w:tr w14:paraId="24EB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7"/>
                  <w:vAlign w:val="center"/>
                </w:tcPr>
                <w:p w14:paraId="2A45A898">
                  <w:pPr>
                    <w:pStyle w:val="2"/>
                    <w:spacing w:after="0"/>
                    <w:ind w:left="0" w:leftChars="0" w:firstLine="0" w:firstLineChars="0"/>
                    <w:jc w:val="both"/>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用于制作有机肥的81918吨/年菜渣含水率70%，经过发酵挥发后含水率为40%，其中水分挥发量计算为16384吨/年，则实际物料为65534吨/年</w:t>
                  </w:r>
                </w:p>
              </w:tc>
            </w:tr>
            <w:tr w14:paraId="586E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4C33E33">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72" w:type="pct"/>
                  <w:vAlign w:val="center"/>
                </w:tcPr>
                <w:p w14:paraId="2E9E01D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甘蔗叶子</w:t>
                  </w:r>
                </w:p>
              </w:tc>
              <w:tc>
                <w:tcPr>
                  <w:tcW w:w="602" w:type="pct"/>
                  <w:vAlign w:val="center"/>
                </w:tcPr>
                <w:p w14:paraId="67176F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180AC5C9">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479C51AE">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FD2F880">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c>
                <w:tcPr>
                  <w:tcW w:w="1023" w:type="pct"/>
                  <w:vAlign w:val="center"/>
                </w:tcPr>
                <w:p w14:paraId="4DDECE2B">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r>
            <w:tr w14:paraId="42AC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2772F66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672" w:type="pct"/>
                  <w:vAlign w:val="center"/>
                </w:tcPr>
                <w:p w14:paraId="22A2B29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玉米秸秆</w:t>
                  </w:r>
                </w:p>
              </w:tc>
              <w:tc>
                <w:tcPr>
                  <w:tcW w:w="602" w:type="pct"/>
                  <w:vAlign w:val="center"/>
                </w:tcPr>
                <w:p w14:paraId="502DA00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2559726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2D066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4782DD5F">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c>
                <w:tcPr>
                  <w:tcW w:w="1023" w:type="pct"/>
                  <w:vAlign w:val="center"/>
                </w:tcPr>
                <w:p w14:paraId="0F00B4F2">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r>
            <w:tr w14:paraId="53A0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3" w:type="pct"/>
                  <w:vAlign w:val="center"/>
                </w:tcPr>
                <w:p w14:paraId="135A0A15">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72" w:type="pct"/>
                  <w:vAlign w:val="center"/>
                </w:tcPr>
                <w:p w14:paraId="504800C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菊花渣</w:t>
                  </w:r>
                </w:p>
              </w:tc>
              <w:tc>
                <w:tcPr>
                  <w:tcW w:w="602" w:type="pct"/>
                  <w:vAlign w:val="center"/>
                </w:tcPr>
                <w:p w14:paraId="7120E2C7">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477D63A4">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406087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72503674">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c>
                <w:tcPr>
                  <w:tcW w:w="1023" w:type="pct"/>
                  <w:vAlign w:val="center"/>
                </w:tcPr>
                <w:p w14:paraId="06E2823C">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r>
            <w:tr w14:paraId="29C6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00BABC9F">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72" w:type="pct"/>
                  <w:vAlign w:val="center"/>
                </w:tcPr>
                <w:p w14:paraId="30D75E8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椰糠</w:t>
                  </w:r>
                </w:p>
              </w:tc>
              <w:tc>
                <w:tcPr>
                  <w:tcW w:w="602" w:type="pct"/>
                  <w:vAlign w:val="center"/>
                </w:tcPr>
                <w:p w14:paraId="0CB2377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38509D21">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C2388C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701CF9A">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c>
                <w:tcPr>
                  <w:tcW w:w="1023" w:type="pct"/>
                  <w:vAlign w:val="center"/>
                </w:tcPr>
                <w:p w14:paraId="7AFB1E59">
                  <w:pPr>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2055</w:t>
                  </w:r>
                  <w:r>
                    <w:rPr>
                      <w:color w:val="000000" w:themeColor="text1"/>
                      <w:szCs w:val="21"/>
                      <w14:textFill>
                        <w14:solidFill>
                          <w14:schemeClr w14:val="tx1"/>
                        </w14:solidFill>
                      </w14:textFill>
                    </w:rPr>
                    <w:t>t/a</w:t>
                  </w:r>
                </w:p>
              </w:tc>
            </w:tr>
            <w:tr w14:paraId="3E67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64834BEC">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72" w:type="pct"/>
                  <w:vAlign w:val="center"/>
                </w:tcPr>
                <w:p w14:paraId="46B4E518">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微生物菌剂</w:t>
                  </w:r>
                </w:p>
              </w:tc>
              <w:tc>
                <w:tcPr>
                  <w:tcW w:w="602" w:type="pct"/>
                  <w:vAlign w:val="center"/>
                </w:tcPr>
                <w:p w14:paraId="0B30CC6B">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229E1F4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3DA1302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2ACF09B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900</w:t>
                  </w:r>
                  <w:r>
                    <w:rPr>
                      <w:color w:val="000000" w:themeColor="text1"/>
                      <w:szCs w:val="21"/>
                      <w14:textFill>
                        <w14:solidFill>
                          <w14:schemeClr w14:val="tx1"/>
                        </w14:solidFill>
                      </w14:textFill>
                    </w:rPr>
                    <w:t>t/a</w:t>
                  </w:r>
                </w:p>
              </w:tc>
              <w:tc>
                <w:tcPr>
                  <w:tcW w:w="1023" w:type="pct"/>
                  <w:vAlign w:val="center"/>
                </w:tcPr>
                <w:p w14:paraId="125654CA">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+900</w:t>
                  </w:r>
                  <w:r>
                    <w:rPr>
                      <w:color w:val="000000" w:themeColor="text1"/>
                      <w:szCs w:val="21"/>
                      <w14:textFill>
                        <w14:solidFill>
                          <w14:schemeClr w14:val="tx1"/>
                        </w14:solidFill>
                      </w14:textFill>
                    </w:rPr>
                    <w:t>t/a</w:t>
                  </w:r>
                </w:p>
              </w:tc>
            </w:tr>
            <w:tr w14:paraId="2794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1D70F0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672" w:type="pct"/>
                  <w:vAlign w:val="center"/>
                </w:tcPr>
                <w:p w14:paraId="1971FD6B">
                  <w:pPr>
                    <w:pStyle w:val="2"/>
                    <w:spacing w:after="0"/>
                    <w:ind w:left="0" w:leftChars="0" w:firstLine="0" w:firstLineChars="0"/>
                    <w:jc w:val="center"/>
                    <w:rPr>
                      <w:color w:val="000000" w:themeColor="text1"/>
                      <w:szCs w:val="21"/>
                      <w14:textFill>
                        <w14:solidFill>
                          <w14:schemeClr w14:val="tx1"/>
                        </w14:solidFill>
                      </w14:textFill>
                    </w:rPr>
                  </w:pPr>
                  <w:r>
                    <w:rPr>
                      <w:color w:val="000000" w:themeColor="text1"/>
                      <w14:textFill>
                        <w14:solidFill>
                          <w14:schemeClr w14:val="tx1"/>
                        </w14:solidFill>
                      </w14:textFill>
                    </w:rPr>
                    <w:t>多元素矿物配料</w:t>
                  </w:r>
                </w:p>
              </w:tc>
              <w:tc>
                <w:tcPr>
                  <w:tcW w:w="602" w:type="pct"/>
                  <w:vAlign w:val="center"/>
                </w:tcPr>
                <w:p w14:paraId="7B1978F9">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vAlign w:val="center"/>
                </w:tcPr>
                <w:p w14:paraId="20AC69E5">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vAlign w:val="center"/>
                </w:tcPr>
                <w:p w14:paraId="79BA56F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67A6ED42">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2889</w:t>
                  </w:r>
                  <w:r>
                    <w:rPr>
                      <w:color w:val="000000" w:themeColor="text1"/>
                      <w:szCs w:val="21"/>
                      <w14:textFill>
                        <w14:solidFill>
                          <w14:schemeClr w14:val="tx1"/>
                        </w14:solidFill>
                      </w14:textFill>
                    </w:rPr>
                    <w:t>t/a</w:t>
                  </w:r>
                </w:p>
              </w:tc>
              <w:tc>
                <w:tcPr>
                  <w:tcW w:w="1023" w:type="pct"/>
                  <w:vAlign w:val="center"/>
                </w:tcPr>
                <w:p w14:paraId="6682F7F0">
                  <w:pPr>
                    <w:pStyle w:val="2"/>
                    <w:spacing w:after="0"/>
                    <w:ind w:left="0" w:leftChars="0" w:firstLine="0" w:firstLine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+2889</w:t>
                  </w:r>
                  <w:r>
                    <w:rPr>
                      <w:color w:val="000000" w:themeColor="text1"/>
                      <w:szCs w:val="21"/>
                      <w14:textFill>
                        <w14:solidFill>
                          <w14:schemeClr w14:val="tx1"/>
                        </w14:solidFill>
                      </w14:textFill>
                    </w:rPr>
                    <w:t>t/a</w:t>
                  </w:r>
                </w:p>
              </w:tc>
            </w:tr>
            <w:tr w14:paraId="686A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vAlign w:val="center"/>
                </w:tcPr>
                <w:p w14:paraId="56D0D9CC">
                  <w:pPr>
                    <w:pStyle w:val="2"/>
                    <w:spacing w:after="0"/>
                    <w:ind w:left="0" w:lef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672" w:type="pct"/>
                  <w:vAlign w:val="center"/>
                </w:tcPr>
                <w:p w14:paraId="2FA68BAD">
                  <w:pPr>
                    <w:pStyle w:val="2"/>
                    <w:spacing w:after="0"/>
                    <w:ind w:left="0" w:leftChars="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草木灰</w:t>
                  </w:r>
                </w:p>
              </w:tc>
              <w:tc>
                <w:tcPr>
                  <w:tcW w:w="602" w:type="pct"/>
                  <w:vAlign w:val="center"/>
                </w:tcPr>
                <w:p w14:paraId="0660C4DD">
                  <w:pPr>
                    <w:pStyle w:val="2"/>
                    <w:spacing w:after="0"/>
                    <w:ind w:left="0" w:leftChars="0" w:firstLine="0" w:firstLineChars="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w:t>
                  </w:r>
                </w:p>
              </w:tc>
              <w:tc>
                <w:tcPr>
                  <w:tcW w:w="488" w:type="pct"/>
                  <w:shd w:val="clear" w:color="auto" w:fill="auto"/>
                  <w:vAlign w:val="center"/>
                </w:tcPr>
                <w:p w14:paraId="51177620">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固态</w:t>
                  </w:r>
                </w:p>
              </w:tc>
              <w:tc>
                <w:tcPr>
                  <w:tcW w:w="894" w:type="pct"/>
                  <w:shd w:val="clear" w:color="auto" w:fill="auto"/>
                  <w:vAlign w:val="center"/>
                </w:tcPr>
                <w:p w14:paraId="26263F6D">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t/a</w:t>
                  </w:r>
                </w:p>
              </w:tc>
              <w:tc>
                <w:tcPr>
                  <w:tcW w:w="1057" w:type="pct"/>
                  <w:vAlign w:val="center"/>
                </w:tcPr>
                <w:p w14:paraId="77E19930">
                  <w:pPr>
                    <w:pStyle w:val="2"/>
                    <w:spacing w:after="0"/>
                    <w:ind w:left="0" w:leftChars="0"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+2457</w:t>
                  </w:r>
                  <w:r>
                    <w:rPr>
                      <w:color w:val="000000" w:themeColor="text1"/>
                      <w:szCs w:val="21"/>
                      <w14:textFill>
                        <w14:solidFill>
                          <w14:schemeClr w14:val="tx1"/>
                        </w14:solidFill>
                      </w14:textFill>
                    </w:rPr>
                    <w:t>t/a</w:t>
                  </w:r>
                </w:p>
              </w:tc>
              <w:tc>
                <w:tcPr>
                  <w:tcW w:w="1023" w:type="pct"/>
                  <w:vAlign w:val="center"/>
                </w:tcPr>
                <w:p w14:paraId="6D8E4951">
                  <w:pPr>
                    <w:pStyle w:val="2"/>
                    <w:spacing w:after="0"/>
                    <w:ind w:left="0" w:leftChars="0" w:firstLine="0" w:firstLine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+2457</w:t>
                  </w:r>
                  <w:r>
                    <w:rPr>
                      <w:color w:val="000000" w:themeColor="text1"/>
                      <w:szCs w:val="21"/>
                      <w14:textFill>
                        <w14:solidFill>
                          <w14:schemeClr w14:val="tx1"/>
                        </w14:solidFill>
                      </w14:textFill>
                    </w:rPr>
                    <w:t>t/a</w:t>
                  </w:r>
                </w:p>
              </w:tc>
            </w:tr>
            <w:tr w14:paraId="003D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48880EB9">
                  <w:pPr>
                    <w:pStyle w:val="2"/>
                    <w:spacing w:after="0"/>
                    <w:ind w:left="0" w:leftChars="0"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配比：建设单位提供</w:t>
                  </w:r>
                </w:p>
              </w:tc>
            </w:tr>
          </w:tbl>
          <w:p w14:paraId="5DC891B7">
            <w:pPr>
              <w:spacing w:line="360" w:lineRule="auto"/>
              <w:ind w:firstLine="470" w:firstLineChars="196"/>
              <w:rPr>
                <w:b/>
                <w:bCs/>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本次新增主要原辅材料理化性质见表2-6。</w:t>
            </w:r>
          </w:p>
          <w:p w14:paraId="6F4576B0">
            <w:pPr>
              <w:spacing w:line="360" w:lineRule="auto"/>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表2-6  项目主要原辅材料理化性质一览表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433"/>
            </w:tblGrid>
            <w:tr w14:paraId="4509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02" w:type="pct"/>
                  <w:vAlign w:val="center"/>
                </w:tcPr>
                <w:p w14:paraId="465F8BF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物料名称</w:t>
                  </w:r>
                </w:p>
              </w:tc>
              <w:tc>
                <w:tcPr>
                  <w:tcW w:w="4297" w:type="pct"/>
                  <w:vAlign w:val="center"/>
                </w:tcPr>
                <w:p w14:paraId="0B2A72A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理化性质</w:t>
                  </w:r>
                </w:p>
              </w:tc>
            </w:tr>
            <w:tr w14:paraId="6B9B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575655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尾菜废水</w:t>
                  </w:r>
                </w:p>
              </w:tc>
              <w:tc>
                <w:tcPr>
                  <w:tcW w:w="4297" w:type="pct"/>
                  <w:vAlign w:val="center"/>
                </w:tcPr>
                <w:p w14:paraId="63481176">
                  <w:pPr>
                    <w:rPr>
                      <w:color w:val="000000" w:themeColor="text1"/>
                      <w:kern w:val="0"/>
                      <w14:textFill>
                        <w14:solidFill>
                          <w14:schemeClr w14:val="tx1"/>
                        </w14:solidFill>
                      </w14:textFill>
                    </w:rPr>
                  </w:pPr>
                  <w:r>
                    <w:rPr>
                      <w:color w:val="000000" w:themeColor="text1"/>
                      <w14:textFill>
                        <w14:solidFill>
                          <w14:schemeClr w14:val="tx1"/>
                        </w14:solidFill>
                      </w14:textFill>
                    </w:rPr>
                    <w:t>尾菜废水的核心理化特征是高有机物、高悬浮物、高氮磷及一定的酸性，属于典型的高浓度有机废水。</w:t>
                  </w:r>
                </w:p>
              </w:tc>
            </w:tr>
            <w:tr w14:paraId="505E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23A6E62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糖蜜</w:t>
                  </w:r>
                </w:p>
              </w:tc>
              <w:tc>
                <w:tcPr>
                  <w:tcW w:w="4297" w:type="pct"/>
                  <w:vAlign w:val="center"/>
                </w:tcPr>
                <w:p w14:paraId="3F1C0275">
                  <w:pPr>
                    <w:rPr>
                      <w:b/>
                      <w:bCs/>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糖蜜亦称甜蜜素、环己基氨基磺酸钠，白色针状、片状结晶或结晶状粉末。无臭。味甜，其稀溶液的甜度约为蔗糖的30倍，是一种黏稠、黑褐色、呈半流动的物体，是制糖工业的副产品之一，依照制糖原料不同，形成的糖蜜副产品可分为甘蔗糖蜜、甜菜糖蜜和淀粉糖蜜。</w:t>
                  </w:r>
                </w:p>
              </w:tc>
            </w:tr>
            <w:tr w14:paraId="3581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E25D471">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冰醋酸</w:t>
                  </w:r>
                </w:p>
              </w:tc>
              <w:tc>
                <w:tcPr>
                  <w:tcW w:w="4297" w:type="pct"/>
                  <w:vAlign w:val="center"/>
                </w:tcPr>
                <w:p w14:paraId="582AB9F5">
                  <w:pPr>
                    <w:rPr>
                      <w:color w:val="000000" w:themeColor="text1"/>
                      <w:kern w:val="0"/>
                      <w14:textFill>
                        <w14:solidFill>
                          <w14:schemeClr w14:val="tx1"/>
                        </w14:solidFill>
                      </w14:textFill>
                    </w:rPr>
                  </w:pPr>
                  <w:r>
                    <w:rPr>
                      <w:color w:val="000000" w:themeColor="text1"/>
                      <w14:textFill>
                        <w14:solidFill>
                          <w14:schemeClr w14:val="tx1"/>
                        </w14:solidFill>
                      </w14:textFill>
                    </w:rPr>
                    <w:t>冰醋酸为无色透明液体，具有强烈刺激性气味，低温（＜16.6℃）下凝固为冰状晶体（故名）。其熔点为16.6℃，沸点为117.9℃，密度为1.049 g/cm³（20℃）。易溶于水、乙醇、乙醚等极性溶剂，不溶于二硫化碳等非极性溶剂。化学性质上，冰醋酸具有弱酸性（pKa≈4.76），能与碱、活泼金属、金属氧化物及碳酸盐反应生成相应盐类；可与醇类发生酯化反应（可逆）；其羧基中的羟基可被取代，生成酰氯、酸酐、酰胺等衍生物；高温（＞440℃）下分解为甲烷和二氧化碳（或乙烯酮和水）。常温下稳定，不易被氧化或发生加成反应。</w:t>
                  </w:r>
                </w:p>
              </w:tc>
            </w:tr>
            <w:tr w14:paraId="789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07DEE43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元素型营养盐</w:t>
                  </w:r>
                </w:p>
              </w:tc>
              <w:tc>
                <w:tcPr>
                  <w:tcW w:w="4297" w:type="pct"/>
                  <w:vAlign w:val="center"/>
                </w:tcPr>
                <w:p w14:paraId="40D45597">
                  <w:pPr>
                    <w:rPr>
                      <w:color w:val="000000" w:themeColor="text1"/>
                      <w:kern w:val="0"/>
                      <w14:textFill>
                        <w14:solidFill>
                          <w14:schemeClr w14:val="tx1"/>
                        </w14:solidFill>
                      </w14:textFill>
                    </w:rPr>
                  </w:pPr>
                  <w:r>
                    <w:rPr>
                      <w:color w:val="000000" w:themeColor="text1"/>
                      <w14:textFill>
                        <w14:solidFill>
                          <w14:schemeClr w14:val="tx1"/>
                        </w14:solidFill>
                      </w14:textFill>
                    </w:rPr>
                    <w:t>元素型营养盐（如硝酸钾、磷酸二氢钾、氯化钾等）主要为氮、磷、钾等植物必需元素的盐类，多呈白色或无色结晶固体，易溶于水（如20℃时硝酸钾溶解度约31.6g/100mL）；作为强电解质，在水中解离为可被植物吸收的离子（如NO₃⁻、PO₄³⁻、K⁺）；化学性质上，硝酸盐常温稳定但高温或遇还原剂易分解（如硝酸钠分解生成NO₂），磷酸盐在酸碱条件下可水解（如磷酸二氢钾水解为HPO₄²⁻），部分盐（如磷酸铵）有吸湿性，易结块。</w:t>
                  </w:r>
                </w:p>
              </w:tc>
            </w:tr>
            <w:tr w14:paraId="0E48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1CD32C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聚谷氨酸</w:t>
                  </w:r>
                </w:p>
                <w:p w14:paraId="0655774D">
                  <w:pPr>
                    <w:rPr>
                      <w:color w:val="000000" w:themeColor="text1"/>
                      <w:szCs w:val="21"/>
                      <w14:textFill>
                        <w14:solidFill>
                          <w14:schemeClr w14:val="tx1"/>
                        </w14:solidFill>
                      </w14:textFill>
                    </w:rPr>
                  </w:pPr>
                </w:p>
              </w:tc>
              <w:tc>
                <w:tcPr>
                  <w:tcW w:w="4297" w:type="pct"/>
                  <w:vAlign w:val="center"/>
                </w:tcPr>
                <w:p w14:paraId="20E1652D">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 xml:space="preserve">用作增效剂。聚谷氨酸（γ-PGA）是由谷氨酸单体通过γ-酰胺键聚合形成的水溶性高分子聚合物，通常采用微生物发酵工艺制备，外观呈白色或淡黄色粉末状，易溶于水形成高粘度胶体溶液。其分子结构中含有大量羧基官能团，具备优异的螯合性能、保水性及生物降解性，在本项目中主要作为肥料增效剂应用，可与硝酸钾、磷酸二氢钾等元素型营养盐协同作用，减少养分流失并提升植物对氮、磷、钾等元素的吸收效率。化学性质方面，聚谷氨酸在自然环境中可被土壤微生物逐步降解为谷氨酸单体，最终转化为二氧化碳和水，无残留污染风险；在弱酸或弱碱条件下可发生部分水解反应，但水解产物仍具有生物相容性。项目所用聚谷氨酸的纯度为95%以上，年消耗量约120吨，其发酵生产环节的主要副产物为菌体蛋白，经分离干燥后可作为饲料原料实现综合利用，符合循环经济要求。  </w:t>
                  </w:r>
                </w:p>
              </w:tc>
            </w:tr>
            <w:tr w14:paraId="6077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33D7F0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多生菌脂</w:t>
                  </w:r>
                </w:p>
              </w:tc>
              <w:tc>
                <w:tcPr>
                  <w:tcW w:w="4297" w:type="pct"/>
                  <w:vAlign w:val="center"/>
                </w:tcPr>
                <w:p w14:paraId="43C76F8E">
                  <w:pP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用作增效剂。</w:t>
                  </w:r>
                  <w:r>
                    <w:rPr>
                      <w:rFonts w:hint="eastAsia"/>
                      <w:color w:val="000000" w:themeColor="text1"/>
                      <w:szCs w:val="21"/>
                      <w14:textFill>
                        <w14:solidFill>
                          <w14:schemeClr w14:val="tx1"/>
                        </w14:solidFill>
                      </w14:textFill>
                    </w:rPr>
                    <w:t>是由特定微生物代谢产生的脂溶性生物活性物质，通常通过固态发酵工艺制备，外观呈浅褐色膏状或粉末状，具有良好的分散性与兼容性。其分子结构中含有酯键、羟基及活性肽段等官能团，具备突出的界面活性、养分缓释调控能力及抗逆诱导活性。在本项目中作为肥料增效剂，可与聚谷氨酸协同作用，进一步改善土壤团粒结构，增强根系对中微量元素（如钙、镁、锌等）的吸附与转运效率，同时能抑制部分土传病原菌的生长，提升作物抗逆性。环境行为方面，多生菌脂在土壤中可通过微生物酶解作用逐步分解为脂肪酸及小分子肽类，最终矿化为二氧化碳和水，无长期残留风险；在中性至微碱性环境下稳定性较好，遇强酸会发生酯键断裂，但降解产物仍可被土壤微生物利用。项目所用多生菌脂的纯度为90%以上，年消耗量约80吨，其发酵生产过程中的主要副产物为发酵残渣，经腐熟处理后可作为有机肥料原料回用于农田，实现资源循环利用。</w:t>
                  </w:r>
                </w:p>
              </w:tc>
            </w:tr>
            <w:tr w14:paraId="0372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7131FCB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生物菌剂</w:t>
                  </w:r>
                </w:p>
              </w:tc>
              <w:tc>
                <w:tcPr>
                  <w:tcW w:w="4297" w:type="pct"/>
                  <w:vAlign w:val="center"/>
                </w:tcPr>
                <w:p w14:paraId="3050193E">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目标微生物(有效菌)经过工业化生产扩繁后，利用多孔的物质作为吸附剂(如草炭、蛭石)，吸附菌体的发酵液加工制成的活菌制剂。这种菌剂用于拌种或蘸根，具有直接或间接改良土壤、恢复地力、预防土传病害、维持根际微生物区系平衡和降解有毒害物质等作用。农用微生物菌剂恰当使用可以提高农产品产量、改善农产品品质、减少化肥用量、降低成本、改良土壤、保护生态环境。</w:t>
                  </w:r>
                </w:p>
              </w:tc>
            </w:tr>
            <w:tr w14:paraId="56CA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1DF3DFE3">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悬浮剂</w:t>
                  </w:r>
                </w:p>
              </w:tc>
              <w:tc>
                <w:tcPr>
                  <w:tcW w:w="4297" w:type="pct"/>
                  <w:vAlign w:val="center"/>
                </w:tcPr>
                <w:p w14:paraId="464168E9">
                  <w:pPr>
                    <w:spacing w:before="100" w:beforeAutospacing="1" w:after="100" w:afterAutospacing="1"/>
                    <w:rPr>
                      <w:color w:val="000000" w:themeColor="text1"/>
                      <w:kern w:val="0"/>
                      <w:szCs w:val="21"/>
                      <w14:textFill>
                        <w14:solidFill>
                          <w14:schemeClr w14:val="tx1"/>
                        </w14:solidFill>
                      </w14:textFill>
                    </w:rPr>
                  </w:pPr>
                  <w:r>
                    <w:rPr>
                      <w:color w:val="000000" w:themeColor="text1"/>
                      <w14:textFill>
                        <w14:solidFill>
                          <w14:schemeClr w14:val="tx1"/>
                        </w14:solidFill>
                      </w14:textFill>
                    </w:rPr>
                    <w:t>通常为白色至淡黄色粉末或胶体液体，易溶于水，分散性佳，可快速形成均匀胶体溶液，无明显结块；具有适度增稠性，溶液粘度随浓度增加而升高（如0.5%黄原胶溶液粘度达1000-2000 mPa·s），能有效抑制固体颗粒（腐植酸、矿质养分等）沉降分层；在液态有机肥常见的pH 5-8范围内保持稳定（如羧甲基纤维素钠在pH 6-8时</w:t>
                  </w:r>
                  <w:r>
                    <w:rPr>
                      <w:rFonts w:hint="eastAsia"/>
                      <w:color w:val="000000" w:themeColor="text1"/>
                      <w14:textFill>
                        <w14:solidFill>
                          <w14:schemeClr w14:val="tx1"/>
                        </w14:solidFill>
                      </w14:textFill>
                    </w:rPr>
                    <w:t>黏度</w:t>
                  </w:r>
                  <w:r>
                    <w:rPr>
                      <w:color w:val="000000" w:themeColor="text1"/>
                      <w14:textFill>
                        <w14:solidFill>
                          <w14:schemeClr w14:val="tx1"/>
                        </w14:solidFill>
                      </w14:textFill>
                    </w:rPr>
                    <w:t>最高，黄原胶可耐受pH 2-12）；40℃以下储存时</w:t>
                  </w:r>
                  <w:r>
                    <w:rPr>
                      <w:rFonts w:hint="eastAsia"/>
                      <w:color w:val="000000" w:themeColor="text1"/>
                      <w14:textFill>
                        <w14:solidFill>
                          <w14:schemeClr w14:val="tx1"/>
                        </w14:solidFill>
                      </w14:textFill>
                    </w:rPr>
                    <w:t>黏度</w:t>
                  </w:r>
                  <w:r>
                    <w:rPr>
                      <w:color w:val="000000" w:themeColor="text1"/>
                      <w14:textFill>
                        <w14:solidFill>
                          <w14:schemeClr w14:val="tx1"/>
                        </w14:solidFill>
                      </w14:textFill>
                    </w:rPr>
                    <w:t>变化小，不易降解（黄原胶可耐100℃短时间高温）；对钾、钙、镁等金属离子不敏感，不会因离子存在发生絮凝或沉淀；部分天然悬浮剂（黄原胶、瓜尔胶）具有乳化分散作用，可增强有机成分（氨基酸、油脂）均一性；且对有机肥中有益微生物（枯草芽孢杆菌、乳酸菌）无抑制，符合生态要求</w:t>
                  </w:r>
                  <w:r>
                    <w:rPr>
                      <w:rFonts w:hint="eastAsia"/>
                      <w:color w:val="000000" w:themeColor="text1"/>
                      <w14:textFill>
                        <w14:solidFill>
                          <w14:schemeClr w14:val="tx1"/>
                        </w14:solidFill>
                      </w14:textFill>
                    </w:rPr>
                    <w:t>。</w:t>
                  </w:r>
                </w:p>
              </w:tc>
            </w:tr>
            <w:tr w14:paraId="6FA3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68A890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菜渣</w:t>
                  </w:r>
                </w:p>
              </w:tc>
              <w:tc>
                <w:tcPr>
                  <w:tcW w:w="4297" w:type="pct"/>
                  <w:vAlign w:val="center"/>
                </w:tcPr>
                <w:p w14:paraId="709DD683">
                  <w:pPr>
                    <w:spacing w:before="100" w:beforeAutospacing="1" w:after="100" w:afterAutospacing="1"/>
                    <w:rPr>
                      <w:color w:val="000000" w:themeColor="text1"/>
                      <w14:textFill>
                        <w14:solidFill>
                          <w14:schemeClr w14:val="tx1"/>
                        </w14:solidFill>
                      </w14:textFill>
                    </w:rPr>
                  </w:pPr>
                  <w:r>
                    <w:rPr>
                      <w:rFonts w:hint="eastAsia"/>
                      <w:color w:val="000000" w:themeColor="text1"/>
                      <w14:textFill>
                        <w14:solidFill>
                          <w14:schemeClr w14:val="tx1"/>
                        </w14:solidFill>
                      </w14:textFill>
                    </w:rPr>
                    <w:t>饲料生产线产出菜渣，含水率为75%</w:t>
                  </w:r>
                </w:p>
              </w:tc>
            </w:tr>
            <w:tr w14:paraId="35EF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vAlign w:val="center"/>
                </w:tcPr>
                <w:p w14:paraId="5698835B">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多元素矿物配料</w:t>
                  </w:r>
                  <w:r>
                    <w:rPr>
                      <w:rFonts w:hint="eastAsia"/>
                      <w:color w:val="000000" w:themeColor="text1"/>
                      <w:szCs w:val="21"/>
                      <w14:textFill>
                        <w14:solidFill>
                          <w14:schemeClr w14:val="tx1"/>
                        </w14:solidFill>
                      </w14:textFill>
                    </w:rPr>
                    <w:t>（硅钙钾镁肥）</w:t>
                  </w:r>
                </w:p>
              </w:tc>
              <w:tc>
                <w:tcPr>
                  <w:tcW w:w="4297" w:type="pct"/>
                  <w:vAlign w:val="center"/>
                </w:tcPr>
                <w:p w14:paraId="7982664C">
                  <w:pPr>
                    <w:rPr>
                      <w:color w:val="000000" w:themeColor="text1"/>
                      <w14:textFill>
                        <w14:solidFill>
                          <w14:schemeClr w14:val="tx1"/>
                        </w14:solidFill>
                      </w14:textFill>
                    </w:rPr>
                  </w:pPr>
                  <w:r>
                    <w:rPr>
                      <w:color w:val="000000" w:themeColor="text1"/>
                      <w14:textFill>
                        <w14:solidFill>
                          <w14:schemeClr w14:val="tx1"/>
                        </w14:solidFill>
                      </w14:textFill>
                    </w:rPr>
                    <w:t>硅钙钾镁肥是固态肥生产中常用的多元素矿物配料，主要成分为二氧化硅（SiO₂）、氧化钙（CaO）、氧化钾（K₂O）、氧化镁（MgO），通常由钾长石、硅灰石、石灰石、白云石等矿石经高温煅烧（活化矿物）或研磨加工而成，呈颗粒或粉末状。其在固态肥中的作用包括：1. 提供硅、钙、钾、镁等中微量元素，补充作物生长必需的营养；2. 改善土壤结构，增加土壤透气性、保水性及阳离子交换量；3. 增强作物抗倒伏、抗病虫害（如稻瘟病、蚜虫）及抗逆性（干旱、盐碱、低温）；4. 与氮肥、磷肥等协同作用，减少养分固定，提高肥料利用率。此外，其固态形态易于与尿素、磷酸二铵、有机肥等其他固态肥原料混合均匀，不影响成品肥的物理性状（如颗粒强度、流动性），适合规模化生产。</w:t>
                  </w:r>
                </w:p>
              </w:tc>
            </w:tr>
          </w:tbl>
          <w:p w14:paraId="047FA7C6">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、劳动定员及工作制度</w:t>
            </w:r>
          </w:p>
          <w:p w14:paraId="212D81C0">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公司原有员工</w:t>
            </w:r>
            <w:r>
              <w:rPr>
                <w:rFonts w:hint="eastAsia"/>
                <w:color w:val="000000" w:themeColor="text1"/>
                <w:sz w:val="24"/>
                <w14:textFill>
                  <w14:solidFill>
                    <w14:schemeClr w14:val="tx1"/>
                  </w14:solidFill>
                </w14:textFill>
              </w:rPr>
              <w:t>劳动定员47人，</w:t>
            </w:r>
            <w:r>
              <w:rPr>
                <w:rFonts w:hint="eastAsia"/>
                <w:bCs/>
                <w:color w:val="000000" w:themeColor="text1"/>
                <w:sz w:val="24"/>
                <w14:textFill>
                  <w14:solidFill>
                    <w14:schemeClr w14:val="tx1"/>
                  </w14:solidFill>
                </w14:textFill>
              </w:rPr>
              <w:t>每年生产3</w:t>
            </w:r>
            <w:r>
              <w:rPr>
                <w:bCs/>
                <w:color w:val="000000" w:themeColor="text1"/>
                <w:sz w:val="24"/>
                <w14:textFill>
                  <w14:solidFill>
                    <w14:schemeClr w14:val="tx1"/>
                  </w14:solidFill>
                </w14:textFill>
              </w:rPr>
              <w:t>33</w:t>
            </w:r>
            <w:r>
              <w:rPr>
                <w:rFonts w:hint="eastAsia"/>
                <w:bCs/>
                <w:color w:val="000000" w:themeColor="text1"/>
                <w:sz w:val="24"/>
                <w14:textFill>
                  <w14:solidFill>
                    <w14:schemeClr w14:val="tx1"/>
                  </w14:solidFill>
                </w14:textFill>
              </w:rPr>
              <w:t>天，果蔬废弃物</w:t>
            </w:r>
            <w:r>
              <w:rPr>
                <w:rFonts w:hint="eastAsia"/>
                <w:color w:val="000000" w:themeColor="text1"/>
                <w:sz w:val="24"/>
                <w14:textFill>
                  <w14:solidFill>
                    <w14:schemeClr w14:val="tx1"/>
                  </w14:solidFill>
                </w14:textFill>
              </w:rPr>
              <w:t>卸料系统、破碎压榨生产线</w:t>
            </w:r>
            <w:r>
              <w:rPr>
                <w:color w:val="000000" w:themeColor="text1"/>
                <w:sz w:val="24"/>
                <w14:textFill>
                  <w14:solidFill>
                    <w14:schemeClr w14:val="tx1"/>
                  </w14:solidFill>
                </w14:textFill>
              </w:rPr>
              <w:t>每天工作8小时，</w:t>
            </w:r>
            <w:r>
              <w:rPr>
                <w:rFonts w:hint="eastAsia"/>
                <w:color w:val="000000" w:themeColor="text1"/>
                <w:sz w:val="24"/>
                <w14:textFill>
                  <w14:solidFill>
                    <w14:schemeClr w14:val="tx1"/>
                  </w14:solidFill>
                </w14:textFill>
              </w:rPr>
              <w:t>尾渣烘干生产线每天20个小时，生产废水处理生产线每天24个小时。厂区住宿人数5人，在厂区就餐人数中餐37人，晚餐10人。</w:t>
            </w:r>
          </w:p>
          <w:p w14:paraId="1AAFD809">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改扩建</w:t>
            </w:r>
            <w:r>
              <w:rPr>
                <w:rFonts w:hint="eastAsia"/>
                <w:color w:val="000000" w:themeColor="text1"/>
                <w:kern w:val="0"/>
                <w:sz w:val="24"/>
                <w14:textFill>
                  <w14:solidFill>
                    <w14:schemeClr w14:val="tx1"/>
                  </w14:solidFill>
                </w14:textFill>
              </w:rPr>
              <w:t>新增劳动定员6</w:t>
            </w:r>
            <w:r>
              <w:rPr>
                <w:color w:val="000000" w:themeColor="text1"/>
                <w:kern w:val="0"/>
                <w:sz w:val="24"/>
                <w14:textFill>
                  <w14:solidFill>
                    <w14:schemeClr w14:val="tx1"/>
                  </w14:solidFill>
                </w14:textFill>
              </w:rPr>
              <w:t>人，</w:t>
            </w:r>
            <w:r>
              <w:rPr>
                <w:rFonts w:hint="eastAsia"/>
                <w:color w:val="000000" w:themeColor="text1"/>
                <w:kern w:val="0"/>
                <w:sz w:val="24"/>
                <w14:textFill>
                  <w14:solidFill>
                    <w14:schemeClr w14:val="tx1"/>
                  </w14:solidFill>
                </w14:textFill>
              </w:rPr>
              <w:t>劳动制度为1班制，</w:t>
            </w:r>
            <w:r>
              <w:rPr>
                <w:color w:val="000000" w:themeColor="text1"/>
                <w:kern w:val="0"/>
                <w:sz w:val="24"/>
                <w14:textFill>
                  <w14:solidFill>
                    <w14:schemeClr w14:val="tx1"/>
                  </w14:solidFill>
                </w14:textFill>
              </w:rPr>
              <w:t>每班</w:t>
            </w:r>
            <w:r>
              <w:rPr>
                <w:rFonts w:hint="eastAsia"/>
                <w:color w:val="000000" w:themeColor="text1"/>
                <w:kern w:val="0"/>
                <w:sz w:val="24"/>
                <w14:textFill>
                  <w14:solidFill>
                    <w14:schemeClr w14:val="tx1"/>
                  </w14:solidFill>
                </w14:textFill>
              </w:rPr>
              <w:t>生产8</w:t>
            </w:r>
            <w:r>
              <w:rPr>
                <w:color w:val="000000" w:themeColor="text1"/>
                <w:kern w:val="0"/>
                <w:sz w:val="24"/>
                <w14:textFill>
                  <w14:solidFill>
                    <w14:schemeClr w14:val="tx1"/>
                  </w14:solidFill>
                </w14:textFill>
              </w:rPr>
              <w:t>小时</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年工作日</w:t>
            </w:r>
            <w:r>
              <w:rPr>
                <w:rFonts w:hint="eastAsia"/>
                <w:color w:val="000000" w:themeColor="text1"/>
                <w:kern w:val="0"/>
                <w:sz w:val="24"/>
                <w14:textFill>
                  <w14:solidFill>
                    <w14:schemeClr w14:val="tx1"/>
                  </w14:solidFill>
                </w14:textFill>
              </w:rPr>
              <w:t>333</w:t>
            </w:r>
            <w:r>
              <w:rPr>
                <w:color w:val="000000" w:themeColor="text1"/>
                <w:kern w:val="0"/>
                <w:sz w:val="24"/>
                <w14:textFill>
                  <w14:solidFill>
                    <w14:schemeClr w14:val="tx1"/>
                  </w14:solidFill>
                </w14:textFill>
              </w:rPr>
              <w:t>天</w:t>
            </w:r>
            <w:r>
              <w:rPr>
                <w:rFonts w:hint="eastAsia"/>
                <w:color w:val="000000" w:themeColor="text1"/>
                <w:kern w:val="0"/>
                <w:sz w:val="24"/>
                <w14:textFill>
                  <w14:solidFill>
                    <w14:schemeClr w14:val="tx1"/>
                  </w14:solidFill>
                </w14:textFill>
              </w:rPr>
              <w:t>。在厂区就餐中餐6人，不在厂区晚餐，不在厂区住宿。</w:t>
            </w:r>
          </w:p>
          <w:p w14:paraId="1BD0BC5D">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全厂劳动定员53人，</w:t>
            </w:r>
            <w:r>
              <w:rPr>
                <w:rFonts w:hint="eastAsia"/>
                <w:color w:val="000000" w:themeColor="text1"/>
                <w:sz w:val="24"/>
                <w14:textFill>
                  <w14:solidFill>
                    <w14:schemeClr w14:val="tx1"/>
                  </w14:solidFill>
                </w14:textFill>
              </w:rPr>
              <w:t>厂区住宿的人数5人，在厂区就餐人数中餐43人，晚餐10人。</w:t>
            </w:r>
          </w:p>
          <w:p w14:paraId="4C5172D8">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7、施工计划</w:t>
            </w:r>
          </w:p>
          <w:p w14:paraId="72F5B8D5">
            <w:pPr>
              <w:spacing w:line="360" w:lineRule="auto"/>
              <w:ind w:firstLine="470" w:firstLineChars="196"/>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项目目前三通一平已完毕，其余尚未建设。拟2026年2月开工建设，2026年8月施工结束，施工期共计6个月。</w:t>
            </w:r>
          </w:p>
          <w:p w14:paraId="3B89B679">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8、水量平衡</w:t>
            </w:r>
          </w:p>
          <w:p w14:paraId="4C484D6D">
            <w:pPr>
              <w:numPr>
                <w:ilvl w:val="0"/>
                <w:numId w:val="9"/>
              </w:num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果蔬压榨废水：</w:t>
            </w:r>
          </w:p>
          <w:p w14:paraId="055E5F0D">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根据竣工验收报告，</w:t>
            </w:r>
            <w:r>
              <w:rPr>
                <w:color w:val="000000" w:themeColor="text1"/>
                <w:sz w:val="24"/>
                <w14:textFill>
                  <w14:solidFill>
                    <w14:schemeClr w14:val="tx1"/>
                  </w14:solidFill>
                </w14:textFill>
              </w:rPr>
              <w:t>果蔬压榨废水产生量约为</w:t>
            </w:r>
            <w:r>
              <w:rPr>
                <w:rFonts w:hint="eastAsia"/>
                <w:color w:val="000000" w:themeColor="text1"/>
                <w:sz w:val="24"/>
                <w14:textFill>
                  <w14:solidFill>
                    <w14:schemeClr w14:val="tx1"/>
                  </w14:solidFill>
                </w14:textFill>
              </w:rPr>
              <w:t>700</w:t>
            </w:r>
            <w:r>
              <w:rPr>
                <w:color w:val="000000" w:themeColor="text1"/>
                <w:sz w:val="24"/>
                <w14:textFill>
                  <w14:solidFill>
                    <w14:schemeClr w14:val="tx1"/>
                  </w14:solidFill>
                </w14:textFill>
              </w:rPr>
              <w:t>t/d</w:t>
            </w:r>
            <w:r>
              <w:rPr>
                <w:rFonts w:hint="eastAsia"/>
                <w:color w:val="000000" w:themeColor="text1"/>
                <w:sz w:val="24"/>
                <w14:textFill>
                  <w14:solidFill>
                    <w14:schemeClr w14:val="tx1"/>
                  </w14:solidFill>
                </w14:textFill>
              </w:rPr>
              <w:t>，233100m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w:t>
            </w:r>
          </w:p>
          <w:p w14:paraId="6B594E1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粉碎分选环节渗滤出来和压榨环节被压榨出来，此部分的废水浓度较高，经过生产废水处理系统处理后排入寻甸县污水处理厂。</w:t>
            </w:r>
          </w:p>
          <w:p w14:paraId="6D8A82F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扩建后抽取部分尾菜废水进入液态肥制作工段，根据建设单位提供，抽取尾菜压榨废水量为</w:t>
            </w:r>
            <w:r>
              <w:rPr>
                <w:rFonts w:hint="eastAsia"/>
                <w:color w:val="000000" w:themeColor="text1"/>
                <w:sz w:val="24"/>
                <w:lang w:val="en-US" w:eastAsia="zh-CN"/>
                <w14:textFill>
                  <w14:solidFill>
                    <w14:schemeClr w14:val="tx1"/>
                  </w14:solidFill>
                </w14:textFill>
              </w:rPr>
              <w:t>18.02</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14:paraId="0C5F4B8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扩建后全厂尾菜废水684.985m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/d，22.8100万m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/a经过生产废水处理系统处理后排入寻甸县污水处理厂。</w:t>
            </w:r>
          </w:p>
          <w:p w14:paraId="3AF3281E">
            <w:pPr>
              <w:spacing w:line="360" w:lineRule="auto"/>
              <w:ind w:firstLine="482" w:firstLineChars="200"/>
              <w:rPr>
                <w:b/>
                <w:bCs/>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车辆清洗用排水</w:t>
            </w:r>
          </w:p>
          <w:p w14:paraId="18F05EE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项目设有车辆洗消间，主要是对运输果蔬废弃物的车辆卸料后进行清洗，清洗不添加洗涤剂。根据实际运行情况，洗车用水量约10m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/d，3330m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/a；废水量为8m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/d，2664m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D07ED8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扩建后无变化。</w:t>
            </w:r>
          </w:p>
          <w:p w14:paraId="41824D03">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（3）车间地面清洗用排水</w:t>
            </w:r>
          </w:p>
          <w:p w14:paraId="0F62F0DF">
            <w:pPr>
              <w:spacing w:before="48" w:beforeLines="20"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现有项目</w:t>
            </w:r>
            <w:r>
              <w:rPr>
                <w:color w:val="000000" w:themeColor="text1"/>
                <w:sz w:val="24"/>
                <w14:textFill>
                  <w14:solidFill>
                    <w14:schemeClr w14:val="tx1"/>
                  </w14:solidFill>
                </w14:textFill>
              </w:rPr>
              <w:t>实际运行情况，项目地面清洁用水量约3m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/d，999m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/a；废水产生量约2.4m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/d，799.2m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74A63B7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扩建车间新增的需要清洁的面积约1880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根据建设单位提供资料,车间清洁用水约2</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天，则</w:t>
            </w:r>
            <w:r>
              <w:rPr>
                <w:color w:val="000000" w:themeColor="text1"/>
                <w:spacing w:val="-5"/>
                <w:sz w:val="24"/>
                <w14:textFill>
                  <w14:solidFill>
                    <w14:schemeClr w14:val="tx1"/>
                  </w14:solidFill>
                </w14:textFill>
              </w:rPr>
              <w:t>项目</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用水量约</w:t>
            </w:r>
            <w:r>
              <w:rPr>
                <w:rFonts w:hint="eastAsia"/>
                <w:color w:val="000000" w:themeColor="text1"/>
                <w:sz w:val="24"/>
                <w14:textFill>
                  <w14:solidFill>
                    <w14:schemeClr w14:val="tx1"/>
                  </w14:solidFill>
                </w14:textFill>
              </w:rPr>
              <w:t>3.76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1252.08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。废水</w:t>
            </w:r>
            <w:r>
              <w:rPr>
                <w:color w:val="000000" w:themeColor="text1"/>
                <w:sz w:val="24"/>
                <w14:textFill>
                  <w14:solidFill>
                    <w14:schemeClr w14:val="tx1"/>
                  </w14:solidFill>
                </w14:textFill>
              </w:rPr>
              <w:t>产生量按80%计，则</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废水产生量约</w:t>
            </w:r>
            <w:r>
              <w:rPr>
                <w:rFonts w:hint="eastAsia"/>
                <w:color w:val="000000" w:themeColor="text1"/>
                <w:sz w:val="24"/>
                <w14:textFill>
                  <w14:solidFill>
                    <w14:schemeClr w14:val="tx1"/>
                  </w14:solidFill>
                </w14:textFill>
              </w:rPr>
              <w:t>3.01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1001.66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0D69FA51">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则全厂</w:t>
            </w:r>
            <w:r>
              <w:rPr>
                <w:color w:val="000000" w:themeColor="text1"/>
                <w:spacing w:val="-5"/>
                <w:sz w:val="24"/>
                <w14:textFill>
                  <w14:solidFill>
                    <w14:schemeClr w14:val="tx1"/>
                  </w14:solidFill>
                </w14:textFill>
              </w:rPr>
              <w:t>项目</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用水量约</w:t>
            </w:r>
            <w:r>
              <w:rPr>
                <w:rFonts w:hint="eastAsia"/>
                <w:color w:val="000000" w:themeColor="text1"/>
                <w:sz w:val="24"/>
                <w14:textFill>
                  <w14:solidFill>
                    <w14:schemeClr w14:val="tx1"/>
                  </w14:solidFill>
                </w14:textFill>
              </w:rPr>
              <w:t>6.76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2251.08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。废水</w:t>
            </w:r>
            <w:r>
              <w:rPr>
                <w:color w:val="000000" w:themeColor="text1"/>
                <w:sz w:val="24"/>
                <w14:textFill>
                  <w14:solidFill>
                    <w14:schemeClr w14:val="tx1"/>
                  </w14:solidFill>
                </w14:textFill>
              </w:rPr>
              <w:t>产生量按80%计，则</w:t>
            </w:r>
            <w:r>
              <w:rPr>
                <w:rFonts w:hint="eastAsia"/>
                <w:color w:val="000000" w:themeColor="text1"/>
                <w:sz w:val="24"/>
                <w14:textFill>
                  <w14:solidFill>
                    <w14:schemeClr w14:val="tx1"/>
                  </w14:solidFill>
                </w14:textFill>
              </w:rPr>
              <w:t>地面清洁</w:t>
            </w:r>
            <w:r>
              <w:rPr>
                <w:color w:val="000000" w:themeColor="text1"/>
                <w:spacing w:val="-5"/>
                <w:sz w:val="24"/>
                <w14:textFill>
                  <w14:solidFill>
                    <w14:schemeClr w14:val="tx1"/>
                  </w14:solidFill>
                </w14:textFill>
              </w:rPr>
              <w:t>废水产生量约</w:t>
            </w:r>
            <w:r>
              <w:rPr>
                <w:rFonts w:hint="eastAsia"/>
                <w:color w:val="000000" w:themeColor="text1"/>
                <w:sz w:val="24"/>
                <w14:textFill>
                  <w14:solidFill>
                    <w14:schemeClr w14:val="tx1"/>
                  </w14:solidFill>
                </w14:textFill>
              </w:rPr>
              <w:t>5.41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1800.86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07DACA3B">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水膜喷淋湿法脱硫用水</w:t>
            </w:r>
          </w:p>
          <w:p w14:paraId="6042E494">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现有项目</w:t>
            </w:r>
            <w:r>
              <w:rPr>
                <w:color w:val="000000" w:themeColor="text1"/>
                <w:sz w:val="24"/>
                <w14:textFill>
                  <w14:solidFill>
                    <w14:schemeClr w14:val="tx1"/>
                  </w14:solidFill>
                </w14:textFill>
              </w:rPr>
              <w:t>实际运行情况，</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bCs/>
                <w:color w:val="000000" w:themeColor="text1"/>
                <w:sz w:val="24"/>
                <w14:textFill>
                  <w14:solidFill>
                    <w14:schemeClr w14:val="tx1"/>
                  </w14:solidFill>
                </w14:textFill>
              </w:rPr>
              <w:t>0.04m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51B75345">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扩建后根据建设单位提供：因蔬菜压榨脱水后90%的果蔬渣将不再进入烘干程序，运至有机肥发酵车间制作有机肥，则烘干所用生物质燃料也将减少90%，烘干废气减少90%。因此本项目脱硫用水也将按照90%进行削减，即扩建后全厂脱硫用水产排情况为：</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rFonts w:hint="eastAsia"/>
                <w:bCs/>
                <w:color w:val="000000" w:themeColor="text1"/>
                <w:sz w:val="24"/>
                <w14:textFill>
                  <w14:solidFill>
                    <w14:schemeClr w14:val="tx1"/>
                  </w14:solidFill>
                </w14:textFill>
              </w:rPr>
              <w:t>0.004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76C855BB">
            <w:pPr>
              <w:spacing w:before="48" w:beforeLines="2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（5）尿素喷淋用水</w:t>
            </w:r>
          </w:p>
          <w:p w14:paraId="200A623B">
            <w:pPr>
              <w:spacing w:before="48" w:beforeLines="20"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实际运行情况</w:t>
            </w:r>
            <w:r>
              <w:rPr>
                <w:bCs/>
                <w:color w:val="000000" w:themeColor="text1"/>
                <w:sz w:val="24"/>
                <w14:textFill>
                  <w14:solidFill>
                    <w14:schemeClr w14:val="tx1"/>
                  </w14:solidFill>
                </w14:textFill>
              </w:rPr>
              <w:t>，尿素喷淋的用水量为0.03m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w:t>
            </w:r>
            <w:r>
              <w:rPr>
                <w:rFonts w:hint="eastAsia"/>
                <w:bCs/>
                <w:color w:val="000000" w:themeColor="text1"/>
                <w:sz w:val="24"/>
                <w14:textFill>
                  <w14:solidFill>
                    <w14:schemeClr w14:val="tx1"/>
                  </w14:solidFill>
                </w14:textFill>
              </w:rPr>
              <w:t>汽化</w:t>
            </w:r>
            <w:r>
              <w:rPr>
                <w:bCs/>
                <w:color w:val="000000" w:themeColor="text1"/>
                <w:sz w:val="24"/>
                <w14:textFill>
                  <w14:solidFill>
                    <w14:schemeClr w14:val="tx1"/>
                  </w14:solidFill>
                </w14:textFill>
              </w:rPr>
              <w:t>外排，无废水产生。</w:t>
            </w:r>
          </w:p>
          <w:p w14:paraId="790D243F">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扩建后根据建设单位提供：因蔬菜压榨脱水后90%的果蔬渣将不再进入烘干程序，运至有机肥发酵车间制作有机肥，则烘干所用生物质燃料也将减少90%，烘干废气减少90%。因此本项目脱硝尿素喷淋用水也将按照90%进行削减，即扩建后全厂脱硝尿素喷淋用水产排情况为：</w:t>
            </w:r>
            <w:r>
              <w:rPr>
                <w:bCs/>
                <w:color w:val="000000" w:themeColor="text1"/>
                <w:sz w:val="24"/>
                <w14:textFill>
                  <w14:solidFill>
                    <w14:schemeClr w14:val="tx1"/>
                  </w14:solidFill>
                </w14:textFill>
              </w:rPr>
              <w:t>尿素喷淋的用水量为0.0</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w:t>
            </w:r>
            <w:r>
              <w:rPr>
                <w:rFonts w:hint="eastAsia"/>
                <w:bCs/>
                <w:color w:val="000000" w:themeColor="text1"/>
                <w:sz w:val="24"/>
                <w14:textFill>
                  <w14:solidFill>
                    <w14:schemeClr w14:val="tx1"/>
                  </w14:solidFill>
                </w14:textFill>
              </w:rPr>
              <w:t>汽化</w:t>
            </w:r>
            <w:r>
              <w:rPr>
                <w:bCs/>
                <w:color w:val="000000" w:themeColor="text1"/>
                <w:sz w:val="24"/>
                <w14:textFill>
                  <w14:solidFill>
                    <w14:schemeClr w14:val="tx1"/>
                  </w14:solidFill>
                </w14:textFill>
              </w:rPr>
              <w:t>外排，无废水产生。</w:t>
            </w:r>
          </w:p>
          <w:p w14:paraId="4CB57C1F">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（6）生活办公用排水</w:t>
            </w:r>
          </w:p>
          <w:p w14:paraId="52848EC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根据实际运行情况，厨房用水量约0.48m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/d，159.84m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/a，厨房废水量约0.384m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/d，127.872m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/a。住宿人员办公生活用水总量约0.45m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/d，149.85m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/a，非住宿人员办公用水量为0.84m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/d，279.72m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/a，则员工办公生活总用水量为1.29m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/d，429.57m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/a，办公生活废水量为1.032m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/d，343.656m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B88B47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新增劳动定员6人，年工作</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33</w:t>
            </w:r>
            <w:r>
              <w:rPr>
                <w:rFonts w:hint="eastAsia"/>
                <w:bCs/>
                <w:color w:val="000000" w:themeColor="text1"/>
                <w:sz w:val="24"/>
                <w14:textFill>
                  <w14:solidFill>
                    <w14:schemeClr w14:val="tx1"/>
                  </w14:solidFill>
                </w14:textFill>
              </w:rPr>
              <w:t>天。其中在</w:t>
            </w:r>
            <w:r>
              <w:rPr>
                <w:rFonts w:hint="eastAsia"/>
                <w:color w:val="000000" w:themeColor="text1"/>
                <w:sz w:val="24"/>
                <w14:textFill>
                  <w14:solidFill>
                    <w14:schemeClr w14:val="tx1"/>
                  </w14:solidFill>
                </w14:textFill>
              </w:rPr>
              <w:t>厂区住宿的人数0人，在厂区就餐人数中餐6人，晚餐0人。</w:t>
            </w:r>
            <w:r>
              <w:rPr>
                <w:color w:val="000000" w:themeColor="text1"/>
                <w:sz w:val="24"/>
                <w14:textFill>
                  <w14:solidFill>
                    <w14:schemeClr w14:val="tx1"/>
                  </w14:solidFill>
                </w14:textFill>
              </w:rPr>
              <w:t>员工用水主要为</w:t>
            </w:r>
            <w:r>
              <w:rPr>
                <w:rFonts w:hint="eastAsia"/>
                <w:color w:val="000000" w:themeColor="text1"/>
                <w:sz w:val="24"/>
                <w14:textFill>
                  <w14:solidFill>
                    <w14:schemeClr w14:val="tx1"/>
                  </w14:solidFill>
                </w14:textFill>
              </w:rPr>
              <w:t>办公、餐厨</w:t>
            </w:r>
            <w:r>
              <w:rPr>
                <w:color w:val="000000" w:themeColor="text1"/>
                <w:sz w:val="24"/>
                <w14:textFill>
                  <w14:solidFill>
                    <w14:schemeClr w14:val="tx1"/>
                  </w14:solidFill>
                </w14:textFill>
              </w:rPr>
              <w:t>用水，</w:t>
            </w:r>
            <w:r>
              <w:rPr>
                <w:rFonts w:hint="eastAsia"/>
                <w:color w:val="000000" w:themeColor="text1"/>
                <w:sz w:val="24"/>
                <w14:textFill>
                  <w14:solidFill>
                    <w14:schemeClr w14:val="tx1"/>
                  </w14:solidFill>
                </w14:textFill>
              </w:rPr>
              <w:t>来自周边自来水供水管网，</w:t>
            </w:r>
            <w:r>
              <w:rPr>
                <w:color w:val="000000" w:themeColor="text1"/>
                <w:sz w:val="24"/>
                <w14:textFill>
                  <w14:solidFill>
                    <w14:schemeClr w14:val="tx1"/>
                  </w14:solidFill>
                </w14:textFill>
              </w:rPr>
              <w:t>根据《云南省地方标准用水定额》（DB53/T168-2019）亚热带区（Ⅱ区）农村居民生活用水</w:t>
            </w:r>
            <w:r>
              <w:rPr>
                <w:rFonts w:hint="eastAsia"/>
                <w:color w:val="000000" w:themeColor="text1"/>
                <w:sz w:val="24"/>
                <w14:textFill>
                  <w14:solidFill>
                    <w14:schemeClr w14:val="tx1"/>
                  </w14:solidFill>
                </w14:textFill>
              </w:rPr>
              <w:t>定额</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0L/（人·d），</w:t>
            </w:r>
            <w:r>
              <w:rPr>
                <w:rFonts w:hint="eastAsia"/>
                <w:color w:val="000000" w:themeColor="text1"/>
                <w:sz w:val="24"/>
                <w14:textFill>
                  <w14:solidFill>
                    <w14:schemeClr w14:val="tx1"/>
                  </w14:solidFill>
                </w14:textFill>
              </w:rPr>
              <w:t>其中</w:t>
            </w:r>
            <w:r>
              <w:rPr>
                <w:color w:val="000000" w:themeColor="text1"/>
                <w:sz w:val="24"/>
                <w14:textFill>
                  <w14:solidFill>
                    <w14:schemeClr w14:val="tx1"/>
                  </w14:solidFill>
                </w14:textFill>
              </w:rPr>
              <w:t>厨房用水</w:t>
            </w:r>
            <w:r>
              <w:rPr>
                <w:rFonts w:hint="eastAsia"/>
                <w:color w:val="000000" w:themeColor="text1"/>
                <w:sz w:val="24"/>
                <w14:textFill>
                  <w14:solidFill>
                    <w14:schemeClr w14:val="tx1"/>
                  </w14:solidFill>
                </w14:textFill>
              </w:rPr>
              <w:t>定额</w:t>
            </w:r>
            <w:r>
              <w:rPr>
                <w:color w:val="000000" w:themeColor="text1"/>
                <w:sz w:val="24"/>
                <w14:textFill>
                  <w14:solidFill>
                    <w14:schemeClr w14:val="tx1"/>
                  </w14:solidFill>
                </w14:textFill>
              </w:rPr>
              <w:t>为10L/（人·d）</w:t>
            </w:r>
            <w:r>
              <w:rPr>
                <w:rFonts w:hint="eastAsia"/>
                <w:color w:val="000000" w:themeColor="text1"/>
                <w:sz w:val="24"/>
                <w14:textFill>
                  <w14:solidFill>
                    <w14:schemeClr w14:val="tx1"/>
                  </w14:solidFill>
                </w14:textFill>
              </w:rPr>
              <w:t>，非住宿人员办公用水定额</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0L/（人·d）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则厨房用水量约0.</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19.98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非住宿人员办公用水量为0.12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39.96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废水量按用水量的80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w:t>
            </w:r>
            <w:r>
              <w:rPr>
                <w:color w:val="000000" w:themeColor="text1"/>
                <w:sz w:val="24"/>
                <w14:textFill>
                  <w14:solidFill>
                    <w14:schemeClr w14:val="tx1"/>
                  </w14:solidFill>
                </w14:textFill>
              </w:rPr>
              <w:t>则厨房</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量约0.</w:t>
            </w:r>
            <w:r>
              <w:rPr>
                <w:rFonts w:hint="eastAsia"/>
                <w:color w:val="000000" w:themeColor="text1"/>
                <w:sz w:val="24"/>
                <w14:textFill>
                  <w14:solidFill>
                    <w14:schemeClr w14:val="tx1"/>
                  </w14:solidFill>
                </w14:textFill>
              </w:rPr>
              <w:t>048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15.98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非住宿人员办公生活污水量为0.096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31.968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生活</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总产生量</w:t>
            </w:r>
            <w:r>
              <w:rPr>
                <w:rFonts w:hint="eastAsia"/>
                <w:color w:val="000000" w:themeColor="text1"/>
                <w:sz w:val="24"/>
                <w14:textFill>
                  <w14:solidFill>
                    <w14:schemeClr w14:val="tx1"/>
                  </w14:solidFill>
                </w14:textFill>
              </w:rPr>
              <w:t>为0.144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47.952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6587F7C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全厂</w:t>
            </w:r>
            <w:r>
              <w:rPr>
                <w:color w:val="000000" w:themeColor="text1"/>
                <w:sz w:val="24"/>
                <w14:textFill>
                  <w14:solidFill>
                    <w14:schemeClr w14:val="tx1"/>
                  </w14:solidFill>
                </w14:textFill>
              </w:rPr>
              <w:t>厨房用水量约</w:t>
            </w:r>
            <w:r>
              <w:rPr>
                <w:rFonts w:hint="eastAsia"/>
                <w:color w:val="000000" w:themeColor="text1"/>
                <w:sz w:val="24"/>
                <w14:textFill>
                  <w14:solidFill>
                    <w14:schemeClr w14:val="tx1"/>
                  </w14:solidFill>
                </w14:textFill>
              </w:rPr>
              <w:t>0.54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179.82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非住宿人员办公用水量为0.936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311.688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住宿人员办公生活用水总量约0.45m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/d，149.85m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废水量按用水量的80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w:t>
            </w:r>
            <w:r>
              <w:rPr>
                <w:color w:val="000000" w:themeColor="text1"/>
                <w:sz w:val="24"/>
                <w14:textFill>
                  <w14:solidFill>
                    <w14:schemeClr w14:val="tx1"/>
                  </w14:solidFill>
                </w14:textFill>
              </w:rPr>
              <w:t>则厨房</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量约0.</w:t>
            </w:r>
            <w:r>
              <w:rPr>
                <w:rFonts w:hint="eastAsia"/>
                <w:color w:val="000000" w:themeColor="text1"/>
                <w:sz w:val="24"/>
                <w14:textFill>
                  <w14:solidFill>
                    <w14:schemeClr w14:val="tx1"/>
                  </w14:solidFill>
                </w14:textFill>
              </w:rPr>
              <w:t>432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143.856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非</w:t>
            </w:r>
            <w:r>
              <w:rPr>
                <w:color w:val="000000" w:themeColor="text1"/>
                <w:sz w:val="24"/>
                <w14:textFill>
                  <w14:solidFill>
                    <w14:schemeClr w14:val="tx1"/>
                  </w14:solidFill>
                </w14:textFill>
              </w:rPr>
              <w:t>住宿人员</w:t>
            </w:r>
            <w:r>
              <w:rPr>
                <w:rFonts w:hint="eastAsia"/>
                <w:color w:val="000000" w:themeColor="text1"/>
                <w:sz w:val="24"/>
                <w14:textFill>
                  <w14:solidFill>
                    <w14:schemeClr w14:val="tx1"/>
                  </w14:solidFill>
                </w14:textFill>
              </w:rPr>
              <w:t>办公生活污水量为0.0768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255.744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住宿人员办公生活用水总量约</w:t>
            </w:r>
            <w:r>
              <w:rPr>
                <w:rFonts w:hint="eastAsia"/>
                <w:color w:val="000000" w:themeColor="text1"/>
                <w:sz w:val="24"/>
                <w14:textFill>
                  <w14:solidFill>
                    <w14:schemeClr w14:val="tx1"/>
                  </w14:solidFill>
                </w14:textFill>
              </w:rPr>
              <w:t>0.36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w:t>
            </w:r>
            <w:r>
              <w:rPr>
                <w:rFonts w:hint="eastAsia"/>
                <w:color w:val="000000" w:themeColor="text1"/>
                <w:sz w:val="24"/>
                <w14:textFill>
                  <w14:solidFill>
                    <w14:schemeClr w14:val="tx1"/>
                  </w14:solidFill>
                </w14:textFill>
              </w:rPr>
              <w:t>19.88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生活</w:t>
            </w:r>
            <w:r>
              <w:rPr>
                <w:rFonts w:hint="eastAsia"/>
                <w:color w:val="000000" w:themeColor="text1"/>
                <w:sz w:val="24"/>
                <w14:textFill>
                  <w14:solidFill>
                    <w14:schemeClr w14:val="tx1"/>
                  </w14:solidFill>
                </w14:textFill>
              </w:rPr>
              <w:t>污水</w:t>
            </w:r>
            <w:r>
              <w:rPr>
                <w:color w:val="000000" w:themeColor="text1"/>
                <w:sz w:val="24"/>
                <w14:textFill>
                  <w14:solidFill>
                    <w14:schemeClr w14:val="tx1"/>
                  </w14:solidFill>
                </w14:textFill>
              </w:rPr>
              <w:t>总产生量</w:t>
            </w:r>
            <w:r>
              <w:rPr>
                <w:rFonts w:hint="eastAsia"/>
                <w:color w:val="000000" w:themeColor="text1"/>
                <w:sz w:val="24"/>
                <w14:textFill>
                  <w14:solidFill>
                    <w14:schemeClr w14:val="tx1"/>
                  </w14:solidFill>
                </w14:textFill>
              </w:rPr>
              <w:t>为1.926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641.358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。排放量为1.541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513.086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3ABA73F3">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（7）冲厕用排水</w:t>
            </w:r>
          </w:p>
          <w:p w14:paraId="147763EC">
            <w:pPr>
              <w:spacing w:before="48" w:beforeLines="20"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按照实际运行情况，冲厕用水量约1.645m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/d，547.785m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/a。冲厕废水产生量约1.316m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/d，438.228m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04A23E7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扩建后新增6人。</w:t>
            </w:r>
            <w:r>
              <w:rPr>
                <w:color w:val="000000" w:themeColor="text1"/>
                <w:sz w:val="24"/>
                <w14:textFill>
                  <w14:solidFill>
                    <w14:schemeClr w14:val="tx1"/>
                  </w14:solidFill>
                </w14:textFill>
              </w:rPr>
              <w:t>根据《云南省地方标准 用水定额》（DB53/T168-201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公厕用水量为7L/（人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次）</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按平均每人每天5次计，则冲厕用水量约0.21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69.93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废水产生量按用水量的80%计，则</w:t>
            </w:r>
            <w:r>
              <w:rPr>
                <w:rFonts w:hint="eastAsia"/>
                <w:color w:val="000000" w:themeColor="text1"/>
                <w:sz w:val="24"/>
                <w14:textFill>
                  <w14:solidFill>
                    <w14:schemeClr w14:val="tx1"/>
                  </w14:solidFill>
                </w14:textFill>
              </w:rPr>
              <w:t>冲厕</w:t>
            </w:r>
            <w:r>
              <w:rPr>
                <w:color w:val="000000" w:themeColor="text1"/>
                <w:sz w:val="24"/>
                <w14:textFill>
                  <w14:solidFill>
                    <w14:schemeClr w14:val="tx1"/>
                  </w14:solidFill>
                </w14:textFill>
              </w:rPr>
              <w:t>废水产生量</w:t>
            </w:r>
            <w:r>
              <w:rPr>
                <w:rFonts w:hint="eastAsia"/>
                <w:color w:val="000000" w:themeColor="text1"/>
                <w:sz w:val="24"/>
                <w14:textFill>
                  <w14:solidFill>
                    <w14:schemeClr w14:val="tx1"/>
                  </w14:solidFill>
                </w14:textFill>
              </w:rPr>
              <w:t>约0.168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55.944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r>
              <w:rPr>
                <w:rFonts w:hint="eastAsia"/>
                <w:color w:val="000000" w:themeColor="text1"/>
                <w:sz w:val="24"/>
                <w14:textFill>
                  <w14:solidFill>
                    <w14:schemeClr w14:val="tx1"/>
                  </w14:solidFill>
                </w14:textFill>
              </w:rPr>
              <w:t>。</w:t>
            </w:r>
          </w:p>
          <w:p w14:paraId="5B2F5155">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全厂</w:t>
            </w:r>
            <w:r>
              <w:rPr>
                <w:bCs/>
                <w:color w:val="000000" w:themeColor="text1"/>
                <w:sz w:val="24"/>
                <w14:textFill>
                  <w14:solidFill>
                    <w14:schemeClr w14:val="tx1"/>
                  </w14:solidFill>
                </w14:textFill>
              </w:rPr>
              <w:t>冲厕用水量约</w:t>
            </w:r>
            <w:r>
              <w:rPr>
                <w:rFonts w:hint="eastAsia"/>
                <w:bCs/>
                <w:color w:val="000000" w:themeColor="text1"/>
                <w:sz w:val="24"/>
                <w14:textFill>
                  <w14:solidFill>
                    <w14:schemeClr w14:val="tx1"/>
                  </w14:solidFill>
                </w14:textFill>
              </w:rPr>
              <w:t>1.855</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617.72</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w:t>
            </w:r>
            <w:r>
              <w:rPr>
                <w:rFonts w:hint="eastAsia"/>
                <w:bCs/>
                <w:color w:val="000000" w:themeColor="text1"/>
                <w:sz w:val="24"/>
                <w14:textFill>
                  <w14:solidFill>
                    <w14:schemeClr w14:val="tx1"/>
                  </w14:solidFill>
                </w14:textFill>
              </w:rPr>
              <w:t>1.484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w:t>
            </w:r>
            <w:r>
              <w:rPr>
                <w:rFonts w:hint="eastAsia"/>
                <w:bCs/>
                <w:color w:val="000000" w:themeColor="text1"/>
                <w:sz w:val="24"/>
                <w14:textFill>
                  <w14:solidFill>
                    <w14:schemeClr w14:val="tx1"/>
                  </w14:solidFill>
                </w14:textFill>
              </w:rPr>
              <w:t>94.17</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2E5CB8C1">
            <w:pPr>
              <w:spacing w:before="48" w:beforeLines="2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（8）绿化用水</w:t>
            </w:r>
          </w:p>
          <w:p w14:paraId="28E4525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项目绿化面积约为</w:t>
            </w:r>
            <w:r>
              <w:rPr>
                <w:color w:val="000000" w:themeColor="text1"/>
                <w:sz w:val="24"/>
                <w14:textFill>
                  <w14:solidFill>
                    <w14:schemeClr w14:val="tx1"/>
                  </w14:solidFill>
                </w14:textFill>
              </w:rPr>
              <w:t>300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，晴天每天浇一次水，根据实际运行情况并结合寻甸县</w:t>
            </w:r>
            <w:r>
              <w:rPr>
                <w:color w:val="000000" w:themeColor="text1"/>
                <w:kern w:val="0"/>
                <w:sz w:val="24"/>
                <w14:textFill>
                  <w14:solidFill>
                    <w14:schemeClr w14:val="tx1"/>
                  </w14:solidFill>
                </w14:textFill>
              </w:rPr>
              <w:t>多年气象参数，寻甸县</w:t>
            </w:r>
            <w:r>
              <w:rPr>
                <w:bCs/>
                <w:color w:val="000000" w:themeColor="text1"/>
                <w:sz w:val="24"/>
                <w14:textFill>
                  <w14:solidFill>
                    <w14:schemeClr w14:val="tx1"/>
                  </w14:solidFill>
                </w14:textFill>
              </w:rPr>
              <w:t>年均雨天约141天，晴天约224天。则项目晴天绿化用水约0.9m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/d，201.6m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/a，采用新鲜水，全部消耗，无废水产生。</w:t>
            </w:r>
          </w:p>
          <w:p w14:paraId="01BB77F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扩建后无新增绿化面积，无变化。</w:t>
            </w:r>
          </w:p>
          <w:p w14:paraId="0680F72E">
            <w:pPr>
              <w:numPr>
                <w:ilvl w:val="0"/>
                <w:numId w:val="10"/>
              </w:num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发酵渗滤液</w:t>
            </w:r>
          </w:p>
          <w:p w14:paraId="2883CA3A">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项目发酵工段在发酵反应过程中会产生渗滤液，其产生量依据发酵原料处理规模及行业排放系数核算。参考《发酵工业废水治理工程技术规范》（HJ 2042-2014）及同类发酵项目实际运行数据，发酵渗滤液产生系数为0.06 m³/吨原料（即每处理1吨发酵原料产生0.05~0.07 m³渗滤液，取均值0.06 m³/吨）。项目现有发酵工段日均处理原料量为</w:t>
            </w:r>
            <w:r>
              <w:rPr>
                <w:rFonts w:hint="eastAsia"/>
                <w:color w:val="000000" w:themeColor="text1"/>
                <w:sz w:val="24"/>
                <w:lang w:val="en-US" w:eastAsia="zh-CN"/>
                <w14:textFill>
                  <w14:solidFill>
                    <w14:schemeClr w14:val="tx1"/>
                  </w14:solidFill>
                </w14:textFill>
              </w:rPr>
              <w:t>196.8</w:t>
            </w:r>
            <w:r>
              <w:rPr>
                <w:rFonts w:hint="eastAsia"/>
                <w:color w:val="000000" w:themeColor="text1"/>
                <w:sz w:val="24"/>
                <w14:textFill>
                  <w14:solidFill>
                    <w14:schemeClr w14:val="tx1"/>
                  </w14:solidFill>
                </w14:textFill>
              </w:rPr>
              <w:t>吨，则现有发酵渗滤液日产生量为</w:t>
            </w:r>
            <w:r>
              <w:rPr>
                <w:rFonts w:hint="eastAsia"/>
                <w:color w:val="000000" w:themeColor="text1"/>
                <w:sz w:val="24"/>
                <w:lang w:val="en-US" w:eastAsia="zh-CN"/>
                <w14:textFill>
                  <w14:solidFill>
                    <w14:schemeClr w14:val="tx1"/>
                  </w14:solidFill>
                </w14:textFill>
              </w:rPr>
              <w:t>196.8</w:t>
            </w:r>
            <w:r>
              <w:rPr>
                <w:rFonts w:hint="eastAsia"/>
                <w:color w:val="000000" w:themeColor="text1"/>
                <w:sz w:val="24"/>
                <w14:textFill>
                  <w14:solidFill>
                    <w14:schemeClr w14:val="tx1"/>
                  </w14:solidFill>
                </w14:textFill>
              </w:rPr>
              <w:t>×0.06=</w:t>
            </w:r>
            <w:r>
              <w:rPr>
                <w:rFonts w:hint="eastAsia"/>
                <w:color w:val="000000" w:themeColor="text1"/>
                <w:sz w:val="24"/>
                <w:lang w:val="en-US" w:eastAsia="zh-CN"/>
                <w14:textFill>
                  <w14:solidFill>
                    <w14:schemeClr w14:val="tx1"/>
                  </w14:solidFill>
                </w14:textFill>
              </w:rPr>
              <w:t>11.808</w:t>
            </w:r>
            <w:r>
              <w:rPr>
                <w:rFonts w:hint="eastAsia"/>
                <w:color w:val="000000" w:themeColor="text1"/>
                <w:sz w:val="24"/>
                <w14:textFill>
                  <w14:solidFill>
                    <w14:schemeClr w14:val="tx1"/>
                  </w14:solidFill>
                </w14:textFill>
              </w:rPr>
              <w:t>m³/d，年产生量为</w:t>
            </w:r>
            <w:r>
              <w:rPr>
                <w:rFonts w:hint="eastAsia"/>
                <w:color w:val="000000" w:themeColor="text1"/>
                <w:sz w:val="24"/>
                <w:lang w:val="en-US" w:eastAsia="zh-CN"/>
                <w14:textFill>
                  <w14:solidFill>
                    <w14:schemeClr w14:val="tx1"/>
                  </w14:solidFill>
                </w14:textFill>
              </w:rPr>
              <w:t>11.808</w:t>
            </w:r>
            <w:r>
              <w:rPr>
                <w:rFonts w:hint="eastAsia"/>
                <w:color w:val="000000" w:themeColor="text1"/>
                <w:sz w:val="24"/>
                <w14:textFill>
                  <w14:solidFill>
                    <w14:schemeClr w14:val="tx1"/>
                  </w14:solidFill>
                </w14:textFill>
              </w:rPr>
              <w:t>×333=</w:t>
            </w:r>
            <w:r>
              <w:rPr>
                <w:rFonts w:hint="eastAsia"/>
                <w:color w:val="000000" w:themeColor="text1"/>
                <w:sz w:val="24"/>
                <w:lang w:val="en-US" w:eastAsia="zh-CN"/>
                <w14:textFill>
                  <w14:solidFill>
                    <w14:schemeClr w14:val="tx1"/>
                  </w14:solidFill>
                </w14:textFill>
              </w:rPr>
              <w:t>3932.06</w:t>
            </w:r>
            <w:r>
              <w:rPr>
                <w:rFonts w:hint="eastAsia"/>
                <w:color w:val="000000" w:themeColor="text1"/>
                <w:sz w:val="24"/>
                <w14:textFill>
                  <w14:solidFill>
                    <w14:schemeClr w14:val="tx1"/>
                  </w14:solidFill>
                </w14:textFill>
              </w:rPr>
              <w:t>m³/a（按年运行333天计）。该渗滤液中主要污染物包括CODcr、BOD</w:t>
            </w:r>
            <w:r>
              <w:rPr>
                <w:rFonts w:hint="eastAsia"/>
                <w:color w:val="000000" w:themeColor="text1"/>
                <w:sz w:val="24"/>
                <w:vertAlign w:val="superscript"/>
                <w14:textFill>
                  <w14:solidFill>
                    <w14:schemeClr w14:val="tx1"/>
                  </w14:solidFill>
                </w14:textFill>
              </w:rPr>
              <w:t>5</w:t>
            </w:r>
            <w:r>
              <w:rPr>
                <w:rFonts w:hint="eastAsia"/>
                <w:color w:val="000000" w:themeColor="text1"/>
                <w:sz w:val="24"/>
                <w14:textFill>
                  <w14:solidFill>
                    <w14:schemeClr w14:val="tx1"/>
                  </w14:solidFill>
                </w14:textFill>
              </w:rPr>
              <w:t>、氨氮、SS、总磷，经类比同类项目监测结果，其浓度范围为</w:t>
            </w:r>
            <w:r>
              <w:rPr>
                <w:rFonts w:hint="eastAsia"/>
                <w:bCs/>
                <w:color w:val="000000" w:themeColor="text1"/>
                <w:kern w:val="0"/>
                <w:sz w:val="24"/>
                <w14:textFill>
                  <w14:solidFill>
                    <w14:schemeClr w14:val="tx1"/>
                  </w14:solidFill>
                </w14:textFill>
              </w:rPr>
              <w:t>生产过程中产生的渗滤液COD产生浓度为6000mg/L、NH</w:t>
            </w:r>
            <w:r>
              <w:rPr>
                <w:rFonts w:hint="eastAsia"/>
                <w:bCs/>
                <w:color w:val="000000" w:themeColor="text1"/>
                <w:kern w:val="0"/>
                <w:sz w:val="24"/>
                <w:vertAlign w:val="subscript"/>
                <w14:textFill>
                  <w14:solidFill>
                    <w14:schemeClr w14:val="tx1"/>
                  </w14:solidFill>
                </w14:textFill>
              </w:rPr>
              <w:t>3</w:t>
            </w:r>
            <w:r>
              <w:rPr>
                <w:rFonts w:hint="eastAsia"/>
                <w:bCs/>
                <w:color w:val="000000" w:themeColor="text1"/>
                <w:kern w:val="0"/>
                <w:sz w:val="24"/>
                <w14:textFill>
                  <w14:solidFill>
                    <w14:schemeClr w14:val="tx1"/>
                  </w14:solidFill>
                </w14:textFill>
              </w:rPr>
              <w:t>-N产生浓度为600mg/L</w:t>
            </w:r>
            <w:r>
              <w:rPr>
                <w:rFonts w:hint="eastAsia"/>
                <w:color w:val="000000" w:themeColor="text1"/>
                <w:sz w:val="24"/>
                <w14:textFill>
                  <w14:solidFill>
                    <w14:schemeClr w14:val="tx1"/>
                  </w14:solidFill>
                </w14:textFill>
              </w:rPr>
              <w:t>、BOD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4000~5500 mg/L、氨氮 280~450 mg/L、SS 1000~1600 mg/L、总磷 45~70 mg/L，污染物浓度较高，进入渗滤液收集池（</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）后需经预处理后接入全厂综合废水处理系统。</w:t>
            </w:r>
          </w:p>
          <w:p w14:paraId="6ACB35DF">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发酵过程中用于制作有机肥的81918吨/年菜渣含水率70%，经过发酵挥发后含水率为40%，其中水分挥发量计算为16384吨/年。</w:t>
            </w:r>
          </w:p>
          <w:p w14:paraId="3A8258F2">
            <w:pPr>
              <w:numPr>
                <w:ilvl w:val="0"/>
                <w:numId w:val="10"/>
              </w:num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液态肥灌装设备清洗废水</w:t>
            </w:r>
          </w:p>
          <w:p w14:paraId="2032F6B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液态肥灌装设备清洗废水主要来源于灌装生产线的灌装机、输送管道、储料罐体等设施的日常清洗作业。项目配备液态肥灌装设备1套，根据生产工艺规程，每日生产前需进行1次预清洗（去除设备内残留杂质），单次预清洗用水量约0.3 m³；每日生产结束后进行1次全面拆解清洗（含管道冲洗、罐体浸泡清洗），单次用水量约0.8 m³；此外，每完成8批次液态肥灌装（每批次灌装量3吨）需进行1次在线冲洗，每日平均完成16批次灌装，故在线冲洗次数为2次，单次在线冲洗用水量约0.2 m³。设备清洗用水计算公式为：日使用量=预清洗用水量+全面清洗用水量+在线冲洗用水量。代入参数得：0.3×1 + 0.8×1 + 0.2×2 = 0.3+0.8+0.4=1.5 m³/d。按年运行333天计算，年使用量为1.5×333=499.5 m³/a。经过蒸发损耗等，</w:t>
            </w:r>
            <w:r>
              <w:rPr>
                <w:bCs/>
                <w:color w:val="000000" w:themeColor="text1"/>
                <w:sz w:val="24"/>
                <w14:textFill>
                  <w14:solidFill>
                    <w14:schemeClr w14:val="tx1"/>
                  </w14:solidFill>
                </w14:textFill>
              </w:rPr>
              <w:t>废水量按用水量的80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w:t>
            </w:r>
            <w:r>
              <w:rPr>
                <w:rFonts w:hint="eastAsia"/>
                <w:bCs/>
                <w:color w:val="000000" w:themeColor="text1"/>
                <w:sz w:val="24"/>
                <w14:textFill>
                  <w14:solidFill>
                    <w14:schemeClr w14:val="tx1"/>
                  </w14:solidFill>
                </w14:textFill>
              </w:rPr>
              <w:t>，废水量为1.2</w:t>
            </w:r>
            <w:r>
              <w:rPr>
                <w:rFonts w:hint="eastAsia"/>
                <w:color w:val="000000" w:themeColor="text1"/>
                <w:sz w:val="24"/>
                <w14:textFill>
                  <w14:solidFill>
                    <w14:schemeClr w14:val="tx1"/>
                  </w14:solidFill>
                </w14:textFill>
              </w:rPr>
              <w:t xml:space="preserve"> m³/d，399.6m³/a。经类比同类型液态肥生产项目的清洗废水监测结果，该废水中主要污染物浓度范围为CODcr 700~1100 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350~550 mg/L、SS 250~450 mg/L、总磷 15~30 mg/L，收集后接入厂区污水处理系统处理。</w:t>
            </w:r>
          </w:p>
          <w:p w14:paraId="47B11802">
            <w:pPr>
              <w:numPr>
                <w:ilvl w:val="0"/>
                <w:numId w:val="10"/>
              </w:numPr>
              <w:spacing w:line="360" w:lineRule="auto"/>
              <w:ind w:firstLine="482" w:firstLineChars="200"/>
              <w:rPr>
                <w:b/>
                <w:bCs/>
                <w:color w:val="000000" w:themeColor="text1"/>
                <w:sz w:val="24"/>
                <w:highlight w:val="yellow"/>
                <w14:textFill>
                  <w14:solidFill>
                    <w14:schemeClr w14:val="tx1"/>
                  </w14:solidFill>
                </w14:textFill>
              </w:rPr>
            </w:pPr>
            <w:r>
              <w:rPr>
                <w:rFonts w:hint="eastAsia"/>
                <w:b/>
                <w:bCs/>
                <w:color w:val="000000" w:themeColor="text1"/>
                <w:sz w:val="24"/>
                <w:highlight w:val="yellow"/>
                <w:lang w:eastAsia="zh-CN"/>
                <w14:textFill>
                  <w14:solidFill>
                    <w14:schemeClr w14:val="tx1"/>
                  </w14:solidFill>
                </w14:textFill>
              </w:rPr>
              <w:t>生物除臭喷淋设施</w:t>
            </w:r>
            <w:r>
              <w:rPr>
                <w:b/>
                <w:bCs/>
                <w:color w:val="000000" w:themeColor="text1"/>
                <w:sz w:val="24"/>
                <w:highlight w:val="yellow"/>
                <w14:textFill>
                  <w14:solidFill>
                    <w14:schemeClr w14:val="tx1"/>
                  </w14:solidFill>
                </w14:textFill>
              </w:rPr>
              <w:t>补水</w:t>
            </w:r>
          </w:p>
          <w:p w14:paraId="0E85EBEA">
            <w:pPr>
              <w:spacing w:line="360" w:lineRule="auto"/>
              <w:ind w:firstLine="480" w:firstLineChars="200"/>
              <w:jc w:val="left"/>
              <w:rPr>
                <w:color w:val="000000" w:themeColor="text1"/>
                <w:sz w:val="24"/>
                <w:highlight w:val="yellow"/>
                <w14:textFill>
                  <w14:solidFill>
                    <w14:schemeClr w14:val="tx1"/>
                  </w14:solidFill>
                </w14:textFill>
              </w:rPr>
            </w:pPr>
            <w:r>
              <w:rPr>
                <w:rFonts w:hint="eastAsia"/>
                <w:b w:val="0"/>
                <w:bCs w:val="0"/>
                <w:color w:val="000000" w:themeColor="text1"/>
                <w:sz w:val="24"/>
                <w:highlight w:val="yellow"/>
                <w:lang w:eastAsia="zh-CN"/>
                <w14:textFill>
                  <w14:solidFill>
                    <w14:schemeClr w14:val="tx1"/>
                  </w14:solidFill>
                </w14:textFill>
              </w:rPr>
              <w:t>生物除臭喷淋设施</w:t>
            </w:r>
            <w:r>
              <w:rPr>
                <w:b w:val="0"/>
                <w:bCs w:val="0"/>
                <w:color w:val="000000" w:themeColor="text1"/>
                <w:sz w:val="24"/>
                <w:highlight w:val="yellow"/>
                <w14:textFill>
                  <w14:solidFill>
                    <w14:schemeClr w14:val="tx1"/>
                  </w14:solidFill>
                </w14:textFill>
              </w:rPr>
              <w:t>装</w:t>
            </w:r>
            <w:r>
              <w:rPr>
                <w:color w:val="000000" w:themeColor="text1"/>
                <w:sz w:val="24"/>
                <w:highlight w:val="yellow"/>
                <w14:textFill>
                  <w14:solidFill>
                    <w14:schemeClr w14:val="tx1"/>
                  </w14:solidFill>
                </w14:textFill>
              </w:rPr>
              <w:t>置循环水量为5m</w:t>
            </w:r>
            <w:r>
              <w:rPr>
                <w:color w:val="000000" w:themeColor="text1"/>
                <w:sz w:val="24"/>
                <w:highlight w:val="yellow"/>
                <w:vertAlign w:val="superscript"/>
                <w14:textFill>
                  <w14:solidFill>
                    <w14:schemeClr w14:val="tx1"/>
                  </w14:solidFill>
                </w14:textFill>
              </w:rPr>
              <w:t>3</w:t>
            </w:r>
            <w:r>
              <w:rPr>
                <w:color w:val="000000" w:themeColor="text1"/>
                <w:sz w:val="24"/>
                <w:highlight w:val="yellow"/>
                <w14:textFill>
                  <w14:solidFill>
                    <w14:schemeClr w14:val="tx1"/>
                  </w14:solidFill>
                </w14:textFill>
              </w:rPr>
              <w:t>，</w:t>
            </w:r>
            <w:r>
              <w:rPr>
                <w:rFonts w:hint="eastAsia"/>
                <w:color w:val="000000" w:themeColor="text1"/>
                <w:sz w:val="24"/>
                <w:highlight w:val="yellow"/>
                <w14:textFill>
                  <w14:solidFill>
                    <w14:schemeClr w14:val="tx1"/>
                  </w14:solidFill>
                </w14:textFill>
              </w:rPr>
              <w:t>日损耗量按照10%计，则</w:t>
            </w:r>
            <w:r>
              <w:rPr>
                <w:color w:val="000000" w:themeColor="text1"/>
                <w:sz w:val="24"/>
                <w:highlight w:val="yellow"/>
                <w14:textFill>
                  <w14:solidFill>
                    <w14:schemeClr w14:val="tx1"/>
                  </w14:solidFill>
                </w14:textFill>
              </w:rPr>
              <w:t>补水量为</w:t>
            </w:r>
            <w:r>
              <w:rPr>
                <w:rFonts w:hint="eastAsia"/>
                <w:color w:val="000000" w:themeColor="text1"/>
                <w:sz w:val="24"/>
                <w:highlight w:val="yellow"/>
                <w14:textFill>
                  <w14:solidFill>
                    <w14:schemeClr w14:val="tx1"/>
                  </w14:solidFill>
                </w14:textFill>
              </w:rPr>
              <w:t>166.5</w:t>
            </w:r>
            <w:r>
              <w:rPr>
                <w:color w:val="000000" w:themeColor="text1"/>
                <w:sz w:val="24"/>
                <w:highlight w:val="yellow"/>
                <w14:textFill>
                  <w14:solidFill>
                    <w14:schemeClr w14:val="tx1"/>
                  </w14:solidFill>
                </w14:textFill>
              </w:rPr>
              <w:t>m</w:t>
            </w:r>
            <w:r>
              <w:rPr>
                <w:color w:val="000000" w:themeColor="text1"/>
                <w:sz w:val="24"/>
                <w:highlight w:val="yellow"/>
                <w:vertAlign w:val="superscript"/>
                <w14:textFill>
                  <w14:solidFill>
                    <w14:schemeClr w14:val="tx1"/>
                  </w14:solidFill>
                </w14:textFill>
              </w:rPr>
              <w:t>3</w:t>
            </w:r>
            <w:r>
              <w:rPr>
                <w:color w:val="000000" w:themeColor="text1"/>
                <w:sz w:val="24"/>
                <w:highlight w:val="yellow"/>
                <w14:textFill>
                  <w14:solidFill>
                    <w14:schemeClr w14:val="tx1"/>
                  </w14:solidFill>
                </w14:textFill>
              </w:rPr>
              <w:t>/a，0.5m</w:t>
            </w:r>
            <w:r>
              <w:rPr>
                <w:color w:val="000000" w:themeColor="text1"/>
                <w:sz w:val="24"/>
                <w:highlight w:val="yellow"/>
                <w:vertAlign w:val="superscript"/>
                <w14:textFill>
                  <w14:solidFill>
                    <w14:schemeClr w14:val="tx1"/>
                  </w14:solidFill>
                </w14:textFill>
              </w:rPr>
              <w:t>3</w:t>
            </w:r>
            <w:r>
              <w:rPr>
                <w:color w:val="000000" w:themeColor="text1"/>
                <w:sz w:val="24"/>
                <w:highlight w:val="yellow"/>
                <w14:textFill>
                  <w14:solidFill>
                    <w14:schemeClr w14:val="tx1"/>
                  </w14:solidFill>
                </w14:textFill>
              </w:rPr>
              <w:t>/d</w:t>
            </w:r>
            <w:r>
              <w:rPr>
                <w:rFonts w:hint="eastAsia"/>
                <w:color w:val="000000" w:themeColor="text1"/>
                <w:sz w:val="24"/>
                <w:highlight w:val="yellow"/>
                <w14:textFill>
                  <w14:solidFill>
                    <w14:schemeClr w14:val="tx1"/>
                  </w14:solidFill>
                </w14:textFill>
              </w:rPr>
              <w:t>。</w:t>
            </w:r>
          </w:p>
          <w:p w14:paraId="3E667E97">
            <w:pPr>
              <w:snapToGrid w:val="0"/>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2-7</w:t>
            </w:r>
            <w:r>
              <w:rPr>
                <w:b/>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扩建后</w:t>
            </w:r>
            <w:r>
              <w:rPr>
                <w:b/>
                <w:color w:val="000000" w:themeColor="text1"/>
                <w:szCs w:val="21"/>
                <w14:textFill>
                  <w14:solidFill>
                    <w14:schemeClr w14:val="tx1"/>
                  </w14:solidFill>
                </w14:textFill>
              </w:rPr>
              <w:t xml:space="preserve">项目用水和废水产生量汇总表   </w:t>
            </w:r>
            <w:r>
              <w:rPr>
                <w:b/>
                <w:bCs/>
                <w:color w:val="000000" w:themeColor="text1"/>
                <w:szCs w:val="21"/>
                <w14:textFill>
                  <w14:solidFill>
                    <w14:schemeClr w14:val="tx1"/>
                  </w14:solidFill>
                </w14:textFill>
              </w:rPr>
              <w:t>单位：m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w:t>
            </w:r>
          </w:p>
          <w:tbl>
            <w:tblPr>
              <w:tblStyle w:val="23"/>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9"/>
              <w:gridCol w:w="652"/>
              <w:gridCol w:w="484"/>
              <w:gridCol w:w="652"/>
              <w:gridCol w:w="585"/>
              <w:gridCol w:w="518"/>
              <w:gridCol w:w="652"/>
              <w:gridCol w:w="652"/>
              <w:gridCol w:w="652"/>
              <w:gridCol w:w="518"/>
              <w:gridCol w:w="652"/>
              <w:gridCol w:w="518"/>
              <w:gridCol w:w="518"/>
              <w:gridCol w:w="853"/>
            </w:tblGrid>
            <w:tr w14:paraId="6A62D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3" w:hRule="atLeast"/>
              </w:trPr>
              <w:tc>
                <w:tcPr>
                  <w:tcW w:w="419" w:type="pct"/>
                  <w:vAlign w:val="center"/>
                </w:tcPr>
                <w:p w14:paraId="13B3159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水量</w:t>
                  </w:r>
                </w:p>
              </w:tc>
              <w:tc>
                <w:tcPr>
                  <w:tcW w:w="368" w:type="pct"/>
                  <w:vAlign w:val="center"/>
                </w:tcPr>
                <w:p w14:paraId="2CD0E77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果蔬废弃物</w:t>
                  </w:r>
                </w:p>
              </w:tc>
              <w:tc>
                <w:tcPr>
                  <w:tcW w:w="270" w:type="pct"/>
                  <w:vAlign w:val="center"/>
                </w:tcPr>
                <w:p w14:paraId="3D532950">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车辆清洗</w:t>
                  </w:r>
                </w:p>
              </w:tc>
              <w:tc>
                <w:tcPr>
                  <w:tcW w:w="368" w:type="pct"/>
                  <w:vAlign w:val="center"/>
                </w:tcPr>
                <w:p w14:paraId="7DC85FF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车间地面清洗</w:t>
                  </w:r>
                </w:p>
              </w:tc>
              <w:tc>
                <w:tcPr>
                  <w:tcW w:w="329" w:type="pct"/>
                  <w:vAlign w:val="center"/>
                </w:tcPr>
                <w:p w14:paraId="0B2046B8">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水膜喷淋湿法脱硫用水</w:t>
                  </w:r>
                </w:p>
              </w:tc>
              <w:tc>
                <w:tcPr>
                  <w:tcW w:w="290" w:type="pct"/>
                  <w:vAlign w:val="center"/>
                </w:tcPr>
                <w:p w14:paraId="7C7E11B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尿素喷淋用水</w:t>
                  </w:r>
                </w:p>
              </w:tc>
              <w:tc>
                <w:tcPr>
                  <w:tcW w:w="368" w:type="pct"/>
                  <w:vAlign w:val="center"/>
                </w:tcPr>
                <w:p w14:paraId="0A1EAC67">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厨房</w:t>
                  </w:r>
                </w:p>
                <w:p w14:paraId="00ECC43F">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368" w:type="pct"/>
                  <w:vAlign w:val="center"/>
                </w:tcPr>
                <w:p w14:paraId="664AD35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生活</w:t>
                  </w:r>
                </w:p>
                <w:p w14:paraId="49E2A8C9">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办公</w:t>
                  </w:r>
                </w:p>
              </w:tc>
              <w:tc>
                <w:tcPr>
                  <w:tcW w:w="368" w:type="pct"/>
                  <w:vAlign w:val="center"/>
                </w:tcPr>
                <w:p w14:paraId="252AAC0F">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冲厕</w:t>
                  </w:r>
                </w:p>
                <w:p w14:paraId="45EE1EB6">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290" w:type="pct"/>
                  <w:vAlign w:val="center"/>
                </w:tcPr>
                <w:p w14:paraId="6E11BF2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绿化用水</w:t>
                  </w:r>
                </w:p>
              </w:tc>
              <w:tc>
                <w:tcPr>
                  <w:tcW w:w="368" w:type="pct"/>
                  <w:vAlign w:val="center"/>
                </w:tcPr>
                <w:p w14:paraId="1FC9DBEC">
                  <w:pPr>
                    <w:spacing w:before="48" w:beforeLines="2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发酵渗滤液</w:t>
                  </w:r>
                </w:p>
              </w:tc>
              <w:tc>
                <w:tcPr>
                  <w:tcW w:w="290" w:type="pct"/>
                  <w:vAlign w:val="center"/>
                </w:tcPr>
                <w:p w14:paraId="76F5BF77">
                  <w:pPr>
                    <w:spacing w:before="48" w:beforeLines="2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设备清洗</w:t>
                  </w:r>
                </w:p>
              </w:tc>
              <w:tc>
                <w:tcPr>
                  <w:tcW w:w="448" w:type="pct"/>
                  <w:vAlign w:val="center"/>
                </w:tcPr>
                <w:p w14:paraId="75EDCDE9">
                  <w:pPr>
                    <w:spacing w:before="48" w:beforeLines="20"/>
                    <w:jc w:val="center"/>
                    <w:rPr>
                      <w:rFonts w:hint="eastAsia" w:eastAsia="宋体"/>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生物除臭喷淋设施</w:t>
                  </w:r>
                  <w:r>
                    <w:rPr>
                      <w:rFonts w:hint="eastAsia"/>
                      <w:b/>
                      <w:bCs/>
                      <w:color w:val="000000" w:themeColor="text1"/>
                      <w:sz w:val="18"/>
                      <w:szCs w:val="18"/>
                      <w:lang w:val="en-US" w:eastAsia="zh-CN"/>
                      <w14:textFill>
                        <w14:solidFill>
                          <w14:schemeClr w14:val="tx1"/>
                        </w14:solidFill>
                      </w14:textFill>
                    </w:rPr>
                    <w:t>补水</w:t>
                  </w:r>
                </w:p>
              </w:tc>
              <w:tc>
                <w:tcPr>
                  <w:tcW w:w="448" w:type="pct"/>
                  <w:vAlign w:val="center"/>
                </w:tcPr>
                <w:p w14:paraId="555FC769">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合计</w:t>
                  </w:r>
                </w:p>
              </w:tc>
            </w:tr>
            <w:tr w14:paraId="0E9E5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419" w:type="pct"/>
                  <w:vAlign w:val="center"/>
                </w:tcPr>
                <w:p w14:paraId="12893B3E">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w:t>
                  </w:r>
                </w:p>
                <w:p w14:paraId="3EFC01DC">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20" name="直接连接符 13"/>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3" o:spid="_x0000_s1026" o:spt="20" style="position:absolute;left:0pt;margin-left:324pt;margin-top:12.6pt;height:31.2pt;width:0.05pt;z-index:251665408;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DKhUrW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368" w:type="pct"/>
                  <w:vAlign w:val="center"/>
                </w:tcPr>
                <w:p w14:paraId="769DE7F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70" w:type="pct"/>
                  <w:vAlign w:val="center"/>
                </w:tcPr>
                <w:p w14:paraId="2867A51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368" w:type="pct"/>
                  <w:vAlign w:val="center"/>
                </w:tcPr>
                <w:p w14:paraId="4ABE65E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6.76</w:t>
                  </w:r>
                </w:p>
              </w:tc>
              <w:tc>
                <w:tcPr>
                  <w:tcW w:w="329" w:type="pct"/>
                  <w:vAlign w:val="center"/>
                </w:tcPr>
                <w:p w14:paraId="6A44BDA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54</w:t>
                  </w:r>
                </w:p>
              </w:tc>
              <w:tc>
                <w:tcPr>
                  <w:tcW w:w="290" w:type="pct"/>
                  <w:vAlign w:val="center"/>
                </w:tcPr>
                <w:p w14:paraId="5D75656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3</w:t>
                  </w:r>
                </w:p>
              </w:tc>
              <w:tc>
                <w:tcPr>
                  <w:tcW w:w="368" w:type="pct"/>
                  <w:vAlign w:val="center"/>
                </w:tcPr>
                <w:p w14:paraId="6A9DFCCD">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54</w:t>
                  </w:r>
                </w:p>
              </w:tc>
              <w:tc>
                <w:tcPr>
                  <w:tcW w:w="368" w:type="pct"/>
                  <w:vAlign w:val="center"/>
                </w:tcPr>
                <w:p w14:paraId="304F4D71">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.386</w:t>
                  </w:r>
                </w:p>
              </w:tc>
              <w:tc>
                <w:tcPr>
                  <w:tcW w:w="368" w:type="pct"/>
                  <w:vAlign w:val="center"/>
                </w:tcPr>
                <w:p w14:paraId="2E576057">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1.645</w:t>
                  </w:r>
                </w:p>
              </w:tc>
              <w:tc>
                <w:tcPr>
                  <w:tcW w:w="290" w:type="pct"/>
                  <w:vAlign w:val="center"/>
                </w:tcPr>
                <w:p w14:paraId="6C86B76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368" w:type="pct"/>
                  <w:vAlign w:val="center"/>
                </w:tcPr>
                <w:p w14:paraId="35EF37F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290" w:type="pct"/>
                  <w:vAlign w:val="center"/>
                </w:tcPr>
                <w:p w14:paraId="1BD147B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48" w:type="pct"/>
                  <w:vAlign w:val="center"/>
                </w:tcPr>
                <w:p w14:paraId="4D51E09B">
                  <w:pPr>
                    <w:spacing w:before="48" w:beforeLines="2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0.5</w:t>
                  </w:r>
                </w:p>
              </w:tc>
              <w:tc>
                <w:tcPr>
                  <w:tcW w:w="448" w:type="pct"/>
                  <w:vAlign w:val="center"/>
                </w:tcPr>
                <w:p w14:paraId="3DFD5BA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23.288</w:t>
                  </w:r>
                  <w:r>
                    <w:rPr>
                      <w:color w:val="000000" w:themeColor="text1"/>
                      <w:sz w:val="18"/>
                      <w:szCs w:val="18"/>
                      <w14:textFill>
                        <w14:solidFill>
                          <w14:schemeClr w14:val="tx1"/>
                        </w14:solidFill>
                      </w14:textFill>
                    </w:rPr>
                    <w:t>（晴天），</w:t>
                  </w:r>
                </w:p>
                <w:p w14:paraId="0329206D">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22.388</w:t>
                  </w:r>
                  <w:r>
                    <w:rPr>
                      <w:color w:val="000000" w:themeColor="text1"/>
                      <w:sz w:val="18"/>
                      <w:szCs w:val="18"/>
                      <w14:textFill>
                        <w14:solidFill>
                          <w14:schemeClr w14:val="tx1"/>
                        </w14:solidFill>
                      </w14:textFill>
                    </w:rPr>
                    <w:t>（雨天）</w:t>
                  </w:r>
                </w:p>
              </w:tc>
            </w:tr>
            <w:tr w14:paraId="665AB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419" w:type="pct"/>
                  <w:vAlign w:val="center"/>
                </w:tcPr>
                <w:p w14:paraId="7280B739">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用水量（t/a）</w:t>
                  </w:r>
                </w:p>
              </w:tc>
              <w:tc>
                <w:tcPr>
                  <w:tcW w:w="368" w:type="pct"/>
                  <w:vAlign w:val="center"/>
                </w:tcPr>
                <w:p w14:paraId="641E77B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70" w:type="pct"/>
                  <w:vAlign w:val="center"/>
                </w:tcPr>
                <w:p w14:paraId="16D45E8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3330</w:t>
                  </w:r>
                </w:p>
              </w:tc>
              <w:tc>
                <w:tcPr>
                  <w:tcW w:w="368" w:type="pct"/>
                  <w:vAlign w:val="center"/>
                </w:tcPr>
                <w:p w14:paraId="6D0423D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2251.08</w:t>
                  </w:r>
                </w:p>
              </w:tc>
              <w:tc>
                <w:tcPr>
                  <w:tcW w:w="329" w:type="pct"/>
                  <w:vAlign w:val="center"/>
                </w:tcPr>
                <w:p w14:paraId="4008C17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982</w:t>
                  </w:r>
                </w:p>
              </w:tc>
              <w:tc>
                <w:tcPr>
                  <w:tcW w:w="290" w:type="pct"/>
                  <w:vAlign w:val="center"/>
                </w:tcPr>
                <w:p w14:paraId="5B9F55B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.99</w:t>
                  </w:r>
                </w:p>
              </w:tc>
              <w:tc>
                <w:tcPr>
                  <w:tcW w:w="368" w:type="pct"/>
                  <w:vAlign w:val="center"/>
                </w:tcPr>
                <w:p w14:paraId="223D4E91">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179.82</w:t>
                  </w:r>
                </w:p>
              </w:tc>
              <w:tc>
                <w:tcPr>
                  <w:tcW w:w="368" w:type="pct"/>
                  <w:vAlign w:val="center"/>
                </w:tcPr>
                <w:p w14:paraId="6E522B6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461.538</w:t>
                  </w:r>
                </w:p>
              </w:tc>
              <w:tc>
                <w:tcPr>
                  <w:tcW w:w="368" w:type="pct"/>
                  <w:vAlign w:val="center"/>
                </w:tcPr>
                <w:p w14:paraId="2E45CBB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547.785</w:t>
                  </w:r>
                </w:p>
              </w:tc>
              <w:tc>
                <w:tcPr>
                  <w:tcW w:w="290" w:type="pct"/>
                  <w:vAlign w:val="center"/>
                </w:tcPr>
                <w:p w14:paraId="4A60169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201.6</w:t>
                  </w:r>
                </w:p>
              </w:tc>
              <w:tc>
                <w:tcPr>
                  <w:tcW w:w="368" w:type="pct"/>
                  <w:vAlign w:val="center"/>
                </w:tcPr>
                <w:p w14:paraId="66AF0BE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290" w:type="pct"/>
                  <w:vAlign w:val="center"/>
                </w:tcPr>
                <w:p w14:paraId="77B60EF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499.5</w:t>
                  </w:r>
                </w:p>
              </w:tc>
              <w:tc>
                <w:tcPr>
                  <w:tcW w:w="448" w:type="pct"/>
                  <w:vAlign w:val="center"/>
                </w:tcPr>
                <w:p w14:paraId="515BB947">
                  <w:pPr>
                    <w:spacing w:before="48" w:beforeLines="2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166.5</w:t>
                  </w:r>
                </w:p>
              </w:tc>
              <w:tc>
                <w:tcPr>
                  <w:tcW w:w="448" w:type="pct"/>
                  <w:vAlign w:val="center"/>
                </w:tcPr>
                <w:p w14:paraId="119F636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7656.8</w:t>
                  </w:r>
                </w:p>
                <w:p w14:paraId="6282CA97">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7455.2</w:t>
                  </w:r>
                </w:p>
              </w:tc>
            </w:tr>
            <w:tr w14:paraId="38045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419" w:type="pct"/>
                  <w:vAlign w:val="center"/>
                </w:tcPr>
                <w:p w14:paraId="3D9D151E">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w:t>
                  </w:r>
                </w:p>
                <w:p w14:paraId="7AE99D73">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21" name="直接连接符 12"/>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2" o:spid="_x0000_s1026" o:spt="20" style="position:absolute;left:0pt;margin-left:324pt;margin-top:12.6pt;height:31.2pt;width:0.05pt;z-index:251666432;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BHywnl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368" w:type="pct"/>
                  <w:vAlign w:val="center"/>
                </w:tcPr>
                <w:p w14:paraId="51B2334B">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684.985</w:t>
                  </w:r>
                </w:p>
              </w:tc>
              <w:tc>
                <w:tcPr>
                  <w:tcW w:w="270" w:type="pct"/>
                  <w:vAlign w:val="center"/>
                </w:tcPr>
                <w:p w14:paraId="3D44BF2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368" w:type="pct"/>
                  <w:vAlign w:val="center"/>
                </w:tcPr>
                <w:p w14:paraId="0AD3C135">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5.41</w:t>
                  </w:r>
                </w:p>
              </w:tc>
              <w:tc>
                <w:tcPr>
                  <w:tcW w:w="329" w:type="pct"/>
                  <w:vAlign w:val="center"/>
                </w:tcPr>
                <w:p w14:paraId="2E82318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4</w:t>
                  </w:r>
                </w:p>
              </w:tc>
              <w:tc>
                <w:tcPr>
                  <w:tcW w:w="290" w:type="pct"/>
                  <w:vAlign w:val="center"/>
                </w:tcPr>
                <w:p w14:paraId="69F184F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1F5A947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432</w:t>
                  </w:r>
                </w:p>
              </w:tc>
              <w:tc>
                <w:tcPr>
                  <w:tcW w:w="368" w:type="pct"/>
                  <w:vAlign w:val="center"/>
                </w:tcPr>
                <w:p w14:paraId="3CC818F4">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1.128</w:t>
                  </w:r>
                </w:p>
              </w:tc>
              <w:tc>
                <w:tcPr>
                  <w:tcW w:w="368" w:type="pct"/>
                  <w:vAlign w:val="center"/>
                </w:tcPr>
                <w:p w14:paraId="40C62C9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1.316</w:t>
                  </w:r>
                </w:p>
              </w:tc>
              <w:tc>
                <w:tcPr>
                  <w:tcW w:w="290" w:type="pct"/>
                  <w:vAlign w:val="center"/>
                </w:tcPr>
                <w:p w14:paraId="360DD23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6022586C">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11.808</w:t>
                  </w:r>
                </w:p>
              </w:tc>
              <w:tc>
                <w:tcPr>
                  <w:tcW w:w="290" w:type="pct"/>
                  <w:vAlign w:val="center"/>
                </w:tcPr>
                <w:p w14:paraId="0E5A34B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48" w:type="pct"/>
                  <w:vAlign w:val="center"/>
                </w:tcPr>
                <w:p w14:paraId="61408EC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48" w:type="pct"/>
                  <w:vAlign w:val="center"/>
                </w:tcPr>
                <w:p w14:paraId="04CBCD6C">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711.281</w:t>
                  </w:r>
                </w:p>
              </w:tc>
            </w:tr>
            <w:tr w14:paraId="60BA5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419" w:type="pct"/>
                  <w:vAlign w:val="center"/>
                </w:tcPr>
                <w:p w14:paraId="2E5DD4A0">
                  <w:pPr>
                    <w:spacing w:before="48" w:beforeLines="20"/>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废水量（t/a）</w:t>
                  </w:r>
                </w:p>
              </w:tc>
              <w:tc>
                <w:tcPr>
                  <w:tcW w:w="368" w:type="pct"/>
                  <w:vAlign w:val="center"/>
                </w:tcPr>
                <w:p w14:paraId="4E14F1B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228100</w:t>
                  </w:r>
                </w:p>
              </w:tc>
              <w:tc>
                <w:tcPr>
                  <w:tcW w:w="270" w:type="pct"/>
                  <w:vAlign w:val="center"/>
                </w:tcPr>
                <w:p w14:paraId="5BC5E67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2664</w:t>
                  </w:r>
                </w:p>
              </w:tc>
              <w:tc>
                <w:tcPr>
                  <w:tcW w:w="368" w:type="pct"/>
                  <w:vAlign w:val="center"/>
                </w:tcPr>
                <w:p w14:paraId="72E293A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1800.86</w:t>
                  </w:r>
                </w:p>
              </w:tc>
              <w:tc>
                <w:tcPr>
                  <w:tcW w:w="329" w:type="pct"/>
                  <w:vAlign w:val="center"/>
                </w:tcPr>
                <w:p w14:paraId="7247275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332</w:t>
                  </w:r>
                </w:p>
              </w:tc>
              <w:tc>
                <w:tcPr>
                  <w:tcW w:w="290" w:type="pct"/>
                  <w:vAlign w:val="center"/>
                </w:tcPr>
                <w:p w14:paraId="31B23FF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246F3CE1">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143.856</w:t>
                  </w:r>
                </w:p>
              </w:tc>
              <w:tc>
                <w:tcPr>
                  <w:tcW w:w="368" w:type="pct"/>
                  <w:vAlign w:val="center"/>
                </w:tcPr>
                <w:p w14:paraId="571ADDFD">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375.624</w:t>
                  </w:r>
                </w:p>
              </w:tc>
              <w:tc>
                <w:tcPr>
                  <w:tcW w:w="368" w:type="pct"/>
                  <w:vAlign w:val="center"/>
                </w:tcPr>
                <w:p w14:paraId="379513FB">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438.228</w:t>
                  </w:r>
                </w:p>
              </w:tc>
              <w:tc>
                <w:tcPr>
                  <w:tcW w:w="290" w:type="pct"/>
                  <w:vAlign w:val="center"/>
                </w:tcPr>
                <w:p w14:paraId="4252517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1A845C65">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3932.06</w:t>
                  </w:r>
                </w:p>
              </w:tc>
              <w:tc>
                <w:tcPr>
                  <w:tcW w:w="290" w:type="pct"/>
                  <w:vAlign w:val="center"/>
                </w:tcPr>
                <w:p w14:paraId="75FC7573">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399.6</w:t>
                  </w:r>
                </w:p>
              </w:tc>
              <w:tc>
                <w:tcPr>
                  <w:tcW w:w="448" w:type="pct"/>
                  <w:vAlign w:val="center"/>
                </w:tcPr>
                <w:p w14:paraId="46B9D89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48" w:type="pct"/>
                  <w:vAlign w:val="center"/>
                </w:tcPr>
                <w:p w14:paraId="02EA9A1A">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236856.573</w:t>
                  </w:r>
                </w:p>
              </w:tc>
            </w:tr>
          </w:tbl>
          <w:p w14:paraId="09F091FA">
            <w:pPr>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改扩建后全厂水平衡图详见下图2-1和图2-2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0"/>
            </w:tblGrid>
            <w:tr w14:paraId="0766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4" w:type="dxa"/>
                </w:tcPr>
                <w:p w14:paraId="139305AB">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470525" cy="4537710"/>
                        <wp:effectExtent l="0" t="0" r="635" b="0"/>
                        <wp:docPr id="3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6"/>
                                <pic:cNvPicPr>
                                  <a:picLocks noChangeAspect="1"/>
                                </pic:cNvPicPr>
                              </pic:nvPicPr>
                              <pic:blipFill>
                                <a:blip r:embed="rId10"/>
                                <a:stretch>
                                  <a:fillRect/>
                                </a:stretch>
                              </pic:blipFill>
                              <pic:spPr>
                                <a:xfrm>
                                  <a:off x="0" y="0"/>
                                  <a:ext cx="5470525" cy="4537710"/>
                                </a:xfrm>
                                <a:prstGeom prst="rect">
                                  <a:avLst/>
                                </a:prstGeom>
                                <a:noFill/>
                                <a:ln w="9525">
                                  <a:noFill/>
                                </a:ln>
                              </pic:spPr>
                            </pic:pic>
                          </a:graphicData>
                        </a:graphic>
                      </wp:inline>
                    </w:drawing>
                  </w:r>
                </w:p>
                <w:p w14:paraId="54C4258D">
                  <w:pPr>
                    <w:keepNext w:val="0"/>
                    <w:keepLines w:val="0"/>
                    <w:widowControl/>
                    <w:suppressLineNumbers w:val="0"/>
                    <w:jc w:val="left"/>
                    <w:rPr>
                      <w:bCs/>
                      <w:color w:val="000000" w:themeColor="text1"/>
                      <w:sz w:val="24"/>
                      <w14:textFill>
                        <w14:solidFill>
                          <w14:schemeClr w14:val="tx1"/>
                        </w14:solidFill>
                      </w14:textFill>
                    </w:rPr>
                  </w:pPr>
                </w:p>
              </w:tc>
            </w:tr>
          </w:tbl>
          <w:p w14:paraId="3C410498">
            <w:pPr>
              <w:ind w:firstLine="420" w:firstLineChars="20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图2-1 全厂水平衡图（m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/d）</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0"/>
            </w:tblGrid>
            <w:tr w14:paraId="7B4F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4" w:type="dxa"/>
                </w:tcPr>
                <w:p w14:paraId="56DD9252">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5422900" cy="4346575"/>
                        <wp:effectExtent l="0" t="0" r="2540" b="0"/>
                        <wp:docPr id="4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IMG_256"/>
                                <pic:cNvPicPr>
                                  <a:picLocks noChangeAspect="1"/>
                                </pic:cNvPicPr>
                              </pic:nvPicPr>
                              <pic:blipFill>
                                <a:blip r:embed="rId11"/>
                                <a:stretch>
                                  <a:fillRect/>
                                </a:stretch>
                              </pic:blipFill>
                              <pic:spPr>
                                <a:xfrm>
                                  <a:off x="0" y="0"/>
                                  <a:ext cx="5422900" cy="4346575"/>
                                </a:xfrm>
                                <a:prstGeom prst="rect">
                                  <a:avLst/>
                                </a:prstGeom>
                                <a:noFill/>
                                <a:ln w="9525">
                                  <a:noFill/>
                                </a:ln>
                              </pic:spPr>
                            </pic:pic>
                          </a:graphicData>
                        </a:graphic>
                      </wp:inline>
                    </w:drawing>
                  </w:r>
                </w:p>
                <w:p w14:paraId="579830CC">
                  <w:pPr>
                    <w:keepNext w:val="0"/>
                    <w:keepLines w:val="0"/>
                    <w:widowControl/>
                    <w:suppressLineNumbers w:val="0"/>
                    <w:jc w:val="left"/>
                    <w:rPr>
                      <w:bCs/>
                      <w:color w:val="000000" w:themeColor="text1"/>
                      <w:sz w:val="24"/>
                      <w14:textFill>
                        <w14:solidFill>
                          <w14:schemeClr w14:val="tx1"/>
                        </w14:solidFill>
                      </w14:textFill>
                    </w:rPr>
                  </w:pPr>
                </w:p>
              </w:tc>
            </w:tr>
          </w:tbl>
          <w:p w14:paraId="3A71ADB0">
            <w:pPr>
              <w:spacing w:line="360" w:lineRule="auto"/>
              <w:ind w:firstLine="420" w:firstLineChars="20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图2-2全厂水平衡图（m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w:t>
            </w:r>
          </w:p>
          <w:p w14:paraId="534463C2">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环保投资</w:t>
            </w:r>
          </w:p>
          <w:p w14:paraId="1CCCEA8D">
            <w:pPr>
              <w:spacing w:line="360" w:lineRule="auto"/>
              <w:ind w:firstLine="480" w:firstLineChars="200"/>
              <w:rPr>
                <w:b/>
                <w:bCs/>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项目总投资520万元，其中环保投资</w:t>
            </w:r>
            <w:r>
              <w:rPr>
                <w:rFonts w:hint="eastAsia"/>
                <w:color w:val="000000" w:themeColor="text1"/>
                <w:kern w:val="0"/>
                <w:sz w:val="24"/>
                <w:lang w:val="en-US" w:eastAsia="zh-CN"/>
                <w14:textFill>
                  <w14:solidFill>
                    <w14:schemeClr w14:val="tx1"/>
                  </w14:solidFill>
                </w14:textFill>
              </w:rPr>
              <w:t>25</w:t>
            </w:r>
            <w:r>
              <w:rPr>
                <w:rFonts w:hint="eastAsia"/>
                <w:color w:val="000000" w:themeColor="text1"/>
                <w:kern w:val="0"/>
                <w:sz w:val="24"/>
                <w14:textFill>
                  <w14:solidFill>
                    <w14:schemeClr w14:val="tx1"/>
                  </w14:solidFill>
                </w14:textFill>
              </w:rPr>
              <w:t>万元，占总投资</w:t>
            </w:r>
            <w:r>
              <w:rPr>
                <w:rFonts w:hint="eastAsia"/>
                <w:color w:val="000000" w:themeColor="text1"/>
                <w:kern w:val="0"/>
                <w:sz w:val="24"/>
                <w:lang w:val="en-US" w:eastAsia="zh-CN"/>
                <w14:textFill>
                  <w14:solidFill>
                    <w14:schemeClr w14:val="tx1"/>
                  </w14:solidFill>
                </w14:textFill>
              </w:rPr>
              <w:t>4.8</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项目环保投资一览表见表</w:t>
            </w:r>
            <w:r>
              <w:rPr>
                <w:rFonts w:hint="eastAsia"/>
                <w:color w:val="000000" w:themeColor="text1"/>
                <w:kern w:val="0"/>
                <w:sz w:val="24"/>
                <w14:textFill>
                  <w14:solidFill>
                    <w14:schemeClr w14:val="tx1"/>
                  </w14:solidFill>
                </w14:textFill>
              </w:rPr>
              <w:t>2-8</w:t>
            </w:r>
            <w:r>
              <w:rPr>
                <w:color w:val="000000" w:themeColor="text1"/>
                <w:kern w:val="0"/>
                <w:sz w:val="24"/>
                <w14:textFill>
                  <w14:solidFill>
                    <w14:schemeClr w14:val="tx1"/>
                  </w14:solidFill>
                </w14:textFill>
              </w:rPr>
              <w:t>。</w:t>
            </w:r>
          </w:p>
          <w:p w14:paraId="3769EF61">
            <w:pPr>
              <w:jc w:val="center"/>
              <w:rPr>
                <w:b/>
                <w:bCs/>
                <w:color w:val="000000" w:themeColor="text1"/>
                <w:kern w:val="0"/>
                <w:highlight w:val="yellow"/>
                <w14:textFill>
                  <w14:solidFill>
                    <w14:schemeClr w14:val="tx1"/>
                  </w14:solidFill>
                </w14:textFill>
              </w:rPr>
            </w:pPr>
            <w:r>
              <w:rPr>
                <w:b/>
                <w:bCs/>
                <w:color w:val="000000" w:themeColor="text1"/>
                <w:kern w:val="0"/>
                <w14:textFill>
                  <w14:solidFill>
                    <w14:schemeClr w14:val="tx1"/>
                  </w14:solidFill>
                </w14:textFill>
              </w:rPr>
              <w:t>表</w:t>
            </w:r>
            <w:r>
              <w:rPr>
                <w:rFonts w:hint="eastAsia"/>
                <w:b/>
                <w:bCs/>
                <w:color w:val="000000" w:themeColor="text1"/>
                <w:kern w:val="0"/>
                <w14:textFill>
                  <w14:solidFill>
                    <w14:schemeClr w14:val="tx1"/>
                  </w14:solidFill>
                </w14:textFill>
              </w:rPr>
              <w:t xml:space="preserve">2-8  </w:t>
            </w:r>
            <w:r>
              <w:rPr>
                <w:b/>
                <w:bCs/>
                <w:color w:val="000000" w:themeColor="text1"/>
                <w:kern w:val="0"/>
                <w14:textFill>
                  <w14:solidFill>
                    <w14:schemeClr w14:val="tx1"/>
                  </w14:solidFill>
                </w14:textFill>
              </w:rPr>
              <w:t>环保投资一览表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70"/>
              <w:gridCol w:w="4958"/>
              <w:gridCol w:w="1572"/>
            </w:tblGrid>
            <w:tr w14:paraId="4D6D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7FBCD5A0">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时段</w:t>
                  </w:r>
                </w:p>
              </w:tc>
              <w:tc>
                <w:tcPr>
                  <w:tcW w:w="792" w:type="pct"/>
                  <w:vAlign w:val="center"/>
                </w:tcPr>
                <w:p w14:paraId="65EA814C">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类别</w:t>
                  </w:r>
                </w:p>
              </w:tc>
              <w:tc>
                <w:tcPr>
                  <w:tcW w:w="2865" w:type="pct"/>
                  <w:vAlign w:val="center"/>
                </w:tcPr>
                <w:p w14:paraId="4CEA6E66">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治理措施</w:t>
                  </w:r>
                </w:p>
              </w:tc>
              <w:tc>
                <w:tcPr>
                  <w:tcW w:w="909" w:type="pct"/>
                  <w:vAlign w:val="center"/>
                </w:tcPr>
                <w:p w14:paraId="136338A4">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环保投资（万元）</w:t>
                  </w:r>
                </w:p>
              </w:tc>
            </w:tr>
            <w:tr w14:paraId="5048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restart"/>
                  <w:vAlign w:val="center"/>
                </w:tcPr>
                <w:p w14:paraId="21A338D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施工期</w:t>
                  </w:r>
                </w:p>
              </w:tc>
              <w:tc>
                <w:tcPr>
                  <w:tcW w:w="792" w:type="pct"/>
                  <w:vAlign w:val="center"/>
                </w:tcPr>
                <w:p w14:paraId="625F67D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2865" w:type="pct"/>
                  <w:vAlign w:val="center"/>
                </w:tcPr>
                <w:p w14:paraId="02F0D1E4">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依托现有化粪池收集处理</w:t>
                  </w:r>
                </w:p>
              </w:tc>
              <w:tc>
                <w:tcPr>
                  <w:tcW w:w="909" w:type="pct"/>
                  <w:vAlign w:val="center"/>
                </w:tcPr>
                <w:p w14:paraId="6CB0D8BD">
                  <w:pPr>
                    <w:jc w:val="center"/>
                    <w:rPr>
                      <w:color w:val="000000" w:themeColor="text1"/>
                      <w:kern w:val="0"/>
                      <w14:textFill>
                        <w14:solidFill>
                          <w14:schemeClr w14:val="tx1"/>
                        </w14:solidFill>
                      </w14:textFill>
                    </w:rPr>
                  </w:pPr>
                  <w:r>
                    <w:rPr>
                      <w:rFonts w:hint="eastAsia"/>
                      <w:color w:val="000000" w:themeColor="text1"/>
                      <w:kern w:val="0"/>
                      <w:szCs w:val="21"/>
                      <w14:textFill>
                        <w14:solidFill>
                          <w14:schemeClr w14:val="tx1"/>
                        </w14:solidFill>
                      </w14:textFill>
                    </w:rPr>
                    <w:t>0</w:t>
                  </w:r>
                  <w:r>
                    <w:rPr>
                      <w:rFonts w:hint="eastAsia"/>
                      <w:color w:val="000000" w:themeColor="text1"/>
                      <w:kern w:val="0"/>
                      <w14:textFill>
                        <w14:solidFill>
                          <w14:schemeClr w14:val="tx1"/>
                        </w14:solidFill>
                      </w14:textFill>
                    </w:rPr>
                    <w:t>（依托现有）</w:t>
                  </w:r>
                </w:p>
              </w:tc>
            </w:tr>
            <w:tr w14:paraId="006A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0832EAFF">
                  <w:pPr>
                    <w:jc w:val="center"/>
                    <w:rPr>
                      <w:color w:val="000000" w:themeColor="text1"/>
                      <w:kern w:val="0"/>
                      <w14:textFill>
                        <w14:solidFill>
                          <w14:schemeClr w14:val="tx1"/>
                        </w14:solidFill>
                      </w14:textFill>
                    </w:rPr>
                  </w:pPr>
                </w:p>
              </w:tc>
              <w:tc>
                <w:tcPr>
                  <w:tcW w:w="792" w:type="pct"/>
                  <w:vAlign w:val="center"/>
                </w:tcPr>
                <w:p w14:paraId="2B747AC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废水</w:t>
                  </w:r>
                </w:p>
              </w:tc>
              <w:tc>
                <w:tcPr>
                  <w:tcW w:w="2865" w:type="pct"/>
                  <w:vAlign w:val="center"/>
                </w:tcPr>
                <w:p w14:paraId="68DAA9C3">
                  <w:pPr>
                    <w:jc w:val="center"/>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设置</w:t>
                  </w:r>
                  <w:r>
                    <w:rPr>
                      <w:color w:val="000000" w:themeColor="text1"/>
                      <w14:textFill>
                        <w14:solidFill>
                          <w14:schemeClr w14:val="tx1"/>
                        </w14:solidFill>
                      </w14:textFill>
                    </w:rPr>
                    <w:t>临时沉淀池</w:t>
                  </w:r>
                  <w:r>
                    <w:rPr>
                      <w:rFonts w:hint="eastAsia"/>
                      <w:color w:val="000000" w:themeColor="text1"/>
                      <w14:textFill>
                        <w14:solidFill>
                          <w14:schemeClr w14:val="tx1"/>
                        </w14:solidFill>
                      </w14:textFill>
                    </w:rPr>
                    <w:t>1个，5m</w:t>
                  </w:r>
                  <w:r>
                    <w:rPr>
                      <w:rFonts w:hint="eastAsia"/>
                      <w:color w:val="000000" w:themeColor="text1"/>
                      <w:vertAlign w:val="superscript"/>
                      <w14:textFill>
                        <w14:solidFill>
                          <w14:schemeClr w14:val="tx1"/>
                        </w14:solidFill>
                      </w14:textFill>
                    </w:rPr>
                    <w:t>3</w:t>
                  </w:r>
                </w:p>
              </w:tc>
              <w:tc>
                <w:tcPr>
                  <w:tcW w:w="909" w:type="pct"/>
                  <w:vAlign w:val="center"/>
                </w:tcPr>
                <w:p w14:paraId="6645BCB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w:t>
                  </w:r>
                </w:p>
              </w:tc>
            </w:tr>
            <w:tr w14:paraId="09D6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9BD3AF1">
                  <w:pPr>
                    <w:jc w:val="center"/>
                    <w:rPr>
                      <w:color w:val="000000" w:themeColor="text1"/>
                      <w:kern w:val="0"/>
                      <w14:textFill>
                        <w14:solidFill>
                          <w14:schemeClr w14:val="tx1"/>
                        </w14:solidFill>
                      </w14:textFill>
                    </w:rPr>
                  </w:pPr>
                </w:p>
              </w:tc>
              <w:tc>
                <w:tcPr>
                  <w:tcW w:w="792" w:type="pct"/>
                  <w:vAlign w:val="center"/>
                </w:tcPr>
                <w:p w14:paraId="005D90C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固体废物</w:t>
                  </w:r>
                </w:p>
              </w:tc>
              <w:tc>
                <w:tcPr>
                  <w:tcW w:w="2865" w:type="pct"/>
                  <w:vAlign w:val="center"/>
                </w:tcPr>
                <w:p w14:paraId="462C964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建筑垃圾清运</w:t>
                  </w:r>
                </w:p>
              </w:tc>
              <w:tc>
                <w:tcPr>
                  <w:tcW w:w="909" w:type="pct"/>
                  <w:vAlign w:val="center"/>
                </w:tcPr>
                <w:p w14:paraId="7A925E1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5</w:t>
                  </w:r>
                </w:p>
              </w:tc>
            </w:tr>
            <w:tr w14:paraId="40D8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410E868C">
                  <w:pPr>
                    <w:jc w:val="center"/>
                    <w:rPr>
                      <w:color w:val="000000" w:themeColor="text1"/>
                      <w:kern w:val="0"/>
                      <w14:textFill>
                        <w14:solidFill>
                          <w14:schemeClr w14:val="tx1"/>
                        </w14:solidFill>
                      </w14:textFill>
                    </w:rPr>
                  </w:pPr>
                </w:p>
              </w:tc>
              <w:tc>
                <w:tcPr>
                  <w:tcW w:w="792" w:type="pct"/>
                  <w:vAlign w:val="center"/>
                </w:tcPr>
                <w:p w14:paraId="1837DB1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2865" w:type="pct"/>
                  <w:vAlign w:val="center"/>
                </w:tcPr>
                <w:p w14:paraId="5261A179">
                  <w:pPr>
                    <w:jc w:val="center"/>
                    <w:rPr>
                      <w:color w:val="000000" w:themeColor="text1"/>
                      <w:kern w:val="0"/>
                      <w14:textFill>
                        <w14:solidFill>
                          <w14:schemeClr w14:val="tx1"/>
                        </w14:solidFill>
                      </w14:textFill>
                    </w:rPr>
                  </w:pPr>
                  <w:r>
                    <w:rPr>
                      <w:rFonts w:hint="eastAsia"/>
                      <w:snapToGrid w:val="0"/>
                      <w:color w:val="000000" w:themeColor="text1"/>
                      <w:kern w:val="0"/>
                      <w:szCs w:val="20"/>
                      <w14:textFill>
                        <w14:solidFill>
                          <w14:schemeClr w14:val="tx1"/>
                        </w14:solidFill>
                      </w14:textFill>
                    </w:rPr>
                    <w:t>物料堆存采取篷布覆盖；运输车辆采取遮盖、密闭措施。</w:t>
                  </w:r>
                  <w:r>
                    <w:rPr>
                      <w:rFonts w:hint="eastAsia"/>
                      <w:color w:val="000000" w:themeColor="text1"/>
                      <w14:textFill>
                        <w14:solidFill>
                          <w14:schemeClr w14:val="tx1"/>
                        </w14:solidFill>
                      </w14:textFill>
                    </w:rPr>
                    <w:t>洒水降尘等</w:t>
                  </w:r>
                </w:p>
              </w:tc>
              <w:tc>
                <w:tcPr>
                  <w:tcW w:w="909" w:type="pct"/>
                  <w:vAlign w:val="center"/>
                </w:tcPr>
                <w:p w14:paraId="178C74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14:paraId="6620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42096B79">
                  <w:pPr>
                    <w:jc w:val="center"/>
                    <w:rPr>
                      <w:color w:val="000000" w:themeColor="text1"/>
                      <w:kern w:val="0"/>
                      <w14:textFill>
                        <w14:solidFill>
                          <w14:schemeClr w14:val="tx1"/>
                        </w14:solidFill>
                      </w14:textFill>
                    </w:rPr>
                  </w:pPr>
                </w:p>
              </w:tc>
              <w:tc>
                <w:tcPr>
                  <w:tcW w:w="792" w:type="pct"/>
                  <w:vAlign w:val="center"/>
                </w:tcPr>
                <w:p w14:paraId="66CE644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噪声</w:t>
                  </w:r>
                </w:p>
              </w:tc>
              <w:tc>
                <w:tcPr>
                  <w:tcW w:w="2865" w:type="pct"/>
                  <w:vAlign w:val="center"/>
                </w:tcPr>
                <w:p w14:paraId="2911FE5B">
                  <w:pPr>
                    <w:jc w:val="center"/>
                    <w:rPr>
                      <w:color w:val="000000" w:themeColor="text1"/>
                      <w:kern w:val="0"/>
                      <w14:textFill>
                        <w14:solidFill>
                          <w14:schemeClr w14:val="tx1"/>
                        </w14:solidFill>
                      </w14:textFill>
                    </w:rPr>
                  </w:pPr>
                  <w:r>
                    <w:rPr>
                      <w:bCs/>
                      <w:color w:val="000000" w:themeColor="text1"/>
                      <w:spacing w:val="-1"/>
                      <w:szCs w:val="21"/>
                      <w14:textFill>
                        <w14:solidFill>
                          <w14:schemeClr w14:val="tx1"/>
                        </w14:solidFill>
                      </w14:textFill>
                    </w:rPr>
                    <w:t>选用低噪设备、设禁</w:t>
                  </w:r>
                  <w:r>
                    <w:rPr>
                      <w:bCs/>
                      <w:color w:val="000000" w:themeColor="text1"/>
                      <w:spacing w:val="-3"/>
                      <w:szCs w:val="21"/>
                      <w14:textFill>
                        <w14:solidFill>
                          <w14:schemeClr w14:val="tx1"/>
                        </w14:solidFill>
                      </w14:textFill>
                    </w:rPr>
                    <w:t>鸣及减速标志牌</w:t>
                  </w:r>
                </w:p>
              </w:tc>
              <w:tc>
                <w:tcPr>
                  <w:tcW w:w="909" w:type="pct"/>
                  <w:vAlign w:val="center"/>
                </w:tcPr>
                <w:p w14:paraId="70F805F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7C56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32" w:type="pct"/>
                  <w:vMerge w:val="restart"/>
                  <w:vAlign w:val="center"/>
                </w:tcPr>
                <w:p w14:paraId="75C1C0F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运营期</w:t>
                  </w:r>
                </w:p>
              </w:tc>
              <w:tc>
                <w:tcPr>
                  <w:tcW w:w="792" w:type="pct"/>
                  <w:vMerge w:val="restart"/>
                  <w:vAlign w:val="center"/>
                </w:tcPr>
                <w:p w14:paraId="73B58AD1">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废气</w:t>
                  </w:r>
                </w:p>
              </w:tc>
              <w:tc>
                <w:tcPr>
                  <w:tcW w:w="2865" w:type="pct"/>
                  <w:vAlign w:val="center"/>
                </w:tcPr>
                <w:p w14:paraId="500D0F74">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湿式作业+厂房沉降</w:t>
                  </w:r>
                </w:p>
              </w:tc>
              <w:tc>
                <w:tcPr>
                  <w:tcW w:w="909" w:type="pct"/>
                  <w:vAlign w:val="center"/>
                </w:tcPr>
                <w:p w14:paraId="6DA83CCB">
                  <w:pPr>
                    <w:jc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w:t>
                  </w:r>
                </w:p>
              </w:tc>
            </w:tr>
            <w:tr w14:paraId="0A25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5A7071FE">
                  <w:pPr>
                    <w:jc w:val="center"/>
                    <w:rPr>
                      <w:color w:val="000000" w:themeColor="text1"/>
                      <w:kern w:val="0"/>
                      <w14:textFill>
                        <w14:solidFill>
                          <w14:schemeClr w14:val="tx1"/>
                        </w14:solidFill>
                      </w14:textFill>
                    </w:rPr>
                  </w:pPr>
                </w:p>
              </w:tc>
              <w:tc>
                <w:tcPr>
                  <w:tcW w:w="792" w:type="pct"/>
                  <w:vMerge w:val="continue"/>
                  <w:vAlign w:val="center"/>
                </w:tcPr>
                <w:p w14:paraId="10C30EB4">
                  <w:pPr>
                    <w:jc w:val="center"/>
                    <w:rPr>
                      <w:color w:val="000000" w:themeColor="text1"/>
                      <w:kern w:val="0"/>
                      <w14:textFill>
                        <w14:solidFill>
                          <w14:schemeClr w14:val="tx1"/>
                        </w14:solidFill>
                      </w14:textFill>
                    </w:rPr>
                  </w:pPr>
                </w:p>
              </w:tc>
              <w:tc>
                <w:tcPr>
                  <w:tcW w:w="2865" w:type="pct"/>
                  <w:vAlign w:val="center"/>
                </w:tcPr>
                <w:p w14:paraId="0236C4EF">
                  <w:pPr>
                    <w:jc w:val="center"/>
                    <w:rPr>
                      <w:color w:val="000000" w:themeColor="text1"/>
                      <w:kern w:val="0"/>
                      <w14:textFill>
                        <w14:solidFill>
                          <w14:schemeClr w14:val="tx1"/>
                        </w14:solidFill>
                      </w14:textFill>
                    </w:rPr>
                  </w:pPr>
                  <w:r>
                    <w:rPr>
                      <w:rFonts w:hint="eastAsia"/>
                      <w:color w:val="000000" w:themeColor="text1"/>
                      <w:kern w:val="0"/>
                      <w:lang w:eastAsia="zh-CN"/>
                      <w14:textFill>
                        <w14:solidFill>
                          <w14:schemeClr w14:val="tx1"/>
                        </w14:solidFill>
                      </w14:textFill>
                    </w:rPr>
                    <w:t>生物除臭喷淋设施</w:t>
                  </w:r>
                </w:p>
              </w:tc>
              <w:tc>
                <w:tcPr>
                  <w:tcW w:w="909" w:type="pct"/>
                  <w:vAlign w:val="center"/>
                </w:tcPr>
                <w:p w14:paraId="0661DD2F">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12</w:t>
                  </w:r>
                </w:p>
              </w:tc>
            </w:tr>
            <w:tr w14:paraId="0AAE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24A0371B">
                  <w:pPr>
                    <w:jc w:val="center"/>
                    <w:rPr>
                      <w:color w:val="000000" w:themeColor="text1"/>
                      <w:kern w:val="0"/>
                      <w14:textFill>
                        <w14:solidFill>
                          <w14:schemeClr w14:val="tx1"/>
                        </w14:solidFill>
                      </w14:textFill>
                    </w:rPr>
                  </w:pPr>
                </w:p>
              </w:tc>
              <w:tc>
                <w:tcPr>
                  <w:tcW w:w="792" w:type="pct"/>
                  <w:vMerge w:val="continue"/>
                  <w:vAlign w:val="center"/>
                </w:tcPr>
                <w:p w14:paraId="0A9AB506">
                  <w:pPr>
                    <w:jc w:val="center"/>
                    <w:rPr>
                      <w:color w:val="000000" w:themeColor="text1"/>
                      <w:kern w:val="0"/>
                      <w14:textFill>
                        <w14:solidFill>
                          <w14:schemeClr w14:val="tx1"/>
                        </w14:solidFill>
                      </w14:textFill>
                    </w:rPr>
                  </w:pPr>
                </w:p>
              </w:tc>
              <w:tc>
                <w:tcPr>
                  <w:tcW w:w="2865" w:type="pct"/>
                  <w:vAlign w:val="center"/>
                </w:tcPr>
                <w:p w14:paraId="39BDF910">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通风设备等</w:t>
                  </w:r>
                </w:p>
              </w:tc>
              <w:tc>
                <w:tcPr>
                  <w:tcW w:w="909" w:type="pct"/>
                  <w:vAlign w:val="center"/>
                </w:tcPr>
                <w:p w14:paraId="63DA5941">
                  <w:pPr>
                    <w:jc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w:t>
                  </w:r>
                </w:p>
              </w:tc>
            </w:tr>
            <w:tr w14:paraId="183D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3529403">
                  <w:pPr>
                    <w:jc w:val="center"/>
                    <w:rPr>
                      <w:color w:val="000000" w:themeColor="text1"/>
                      <w:kern w:val="0"/>
                      <w14:textFill>
                        <w14:solidFill>
                          <w14:schemeClr w14:val="tx1"/>
                        </w14:solidFill>
                      </w14:textFill>
                    </w:rPr>
                  </w:pPr>
                </w:p>
              </w:tc>
              <w:tc>
                <w:tcPr>
                  <w:tcW w:w="792" w:type="pct"/>
                  <w:vMerge w:val="restart"/>
                  <w:vAlign w:val="center"/>
                </w:tcPr>
                <w:p w14:paraId="58F59303">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废水</w:t>
                  </w:r>
                </w:p>
              </w:tc>
              <w:tc>
                <w:tcPr>
                  <w:tcW w:w="2865" w:type="pct"/>
                  <w:vAlign w:val="center"/>
                </w:tcPr>
                <w:p w14:paraId="3A03165C">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化粪池</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座，</w:t>
                  </w:r>
                  <w:r>
                    <w:rPr>
                      <w:rFonts w:hint="eastAsia"/>
                      <w:color w:val="000000" w:themeColor="text1"/>
                      <w:kern w:val="0"/>
                      <w14:textFill>
                        <w14:solidFill>
                          <w14:schemeClr w14:val="tx1"/>
                        </w14:solidFill>
                      </w14:textFill>
                    </w:rPr>
                    <w:t>19</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3</w:t>
                  </w:r>
                </w:p>
              </w:tc>
              <w:tc>
                <w:tcPr>
                  <w:tcW w:w="909" w:type="pct"/>
                  <w:vAlign w:val="center"/>
                </w:tcPr>
                <w:p w14:paraId="4B1E658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1283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7E5D3AB8">
                  <w:pPr>
                    <w:jc w:val="center"/>
                    <w:rPr>
                      <w:color w:val="000000" w:themeColor="text1"/>
                      <w:kern w:val="0"/>
                      <w14:textFill>
                        <w14:solidFill>
                          <w14:schemeClr w14:val="tx1"/>
                        </w14:solidFill>
                      </w14:textFill>
                    </w:rPr>
                  </w:pPr>
                </w:p>
              </w:tc>
              <w:tc>
                <w:tcPr>
                  <w:tcW w:w="792" w:type="pct"/>
                  <w:vMerge w:val="continue"/>
                  <w:vAlign w:val="center"/>
                </w:tcPr>
                <w:p w14:paraId="204A9EBE">
                  <w:pPr>
                    <w:jc w:val="center"/>
                    <w:rPr>
                      <w:color w:val="000000" w:themeColor="text1"/>
                      <w:kern w:val="0"/>
                      <w14:textFill>
                        <w14:solidFill>
                          <w14:schemeClr w14:val="tx1"/>
                        </w14:solidFill>
                      </w14:textFill>
                    </w:rPr>
                  </w:pPr>
                </w:p>
              </w:tc>
              <w:tc>
                <w:tcPr>
                  <w:tcW w:w="2865" w:type="pct"/>
                  <w:vAlign w:val="center"/>
                </w:tcPr>
                <w:p w14:paraId="4CBD8A63">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隔油池</w:t>
                  </w:r>
                  <w:r>
                    <w:rPr>
                      <w:rFonts w:hint="eastAsia"/>
                      <w:color w:val="000000" w:themeColor="text1"/>
                      <w:kern w:val="0"/>
                      <w14:textFill>
                        <w14:solidFill>
                          <w14:schemeClr w14:val="tx1"/>
                        </w14:solidFill>
                      </w14:textFill>
                    </w:rPr>
                    <w:t>1m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，1座</w:t>
                  </w:r>
                </w:p>
              </w:tc>
              <w:tc>
                <w:tcPr>
                  <w:tcW w:w="909" w:type="pct"/>
                  <w:vAlign w:val="center"/>
                </w:tcPr>
                <w:p w14:paraId="487D3D1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3268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2C1B0C05">
                  <w:pPr>
                    <w:jc w:val="center"/>
                    <w:rPr>
                      <w:color w:val="000000" w:themeColor="text1"/>
                      <w:kern w:val="0"/>
                      <w14:textFill>
                        <w14:solidFill>
                          <w14:schemeClr w14:val="tx1"/>
                        </w14:solidFill>
                      </w14:textFill>
                    </w:rPr>
                  </w:pPr>
                </w:p>
              </w:tc>
              <w:tc>
                <w:tcPr>
                  <w:tcW w:w="792" w:type="pct"/>
                  <w:vMerge w:val="continue"/>
                  <w:vAlign w:val="center"/>
                </w:tcPr>
                <w:p w14:paraId="17552C30">
                  <w:pPr>
                    <w:jc w:val="center"/>
                    <w:rPr>
                      <w:color w:val="000000" w:themeColor="text1"/>
                      <w:kern w:val="0"/>
                      <w14:textFill>
                        <w14:solidFill>
                          <w14:schemeClr w14:val="tx1"/>
                        </w14:solidFill>
                      </w14:textFill>
                    </w:rPr>
                  </w:pPr>
                </w:p>
              </w:tc>
              <w:tc>
                <w:tcPr>
                  <w:tcW w:w="2865" w:type="pct"/>
                  <w:vAlign w:val="center"/>
                </w:tcPr>
                <w:p w14:paraId="64F5ECA3">
                  <w:pPr>
                    <w:jc w:val="center"/>
                    <w:rPr>
                      <w:color w:val="000000" w:themeColor="text1"/>
                      <w:kern w:val="0"/>
                      <w14:textFill>
                        <w14:solidFill>
                          <w14:schemeClr w14:val="tx1"/>
                        </w14:solidFill>
                      </w14:textFill>
                    </w:rPr>
                  </w:pPr>
                  <w:r>
                    <w:rPr>
                      <w:rFonts w:hint="eastAsia"/>
                      <w:color w:val="000000" w:themeColor="text1"/>
                      <w:szCs w:val="21"/>
                      <w14:textFill>
                        <w14:solidFill>
                          <w14:schemeClr w14:val="tx1"/>
                        </w14:solidFill>
                      </w14:textFill>
                    </w:rPr>
                    <w:t>污水处理系统（处理规模900m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p>
              </w:tc>
              <w:tc>
                <w:tcPr>
                  <w:tcW w:w="909" w:type="pct"/>
                  <w:vAlign w:val="center"/>
                </w:tcPr>
                <w:p w14:paraId="2F716DC1">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0（依托现有）</w:t>
                  </w:r>
                </w:p>
              </w:tc>
            </w:tr>
            <w:tr w14:paraId="4A28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vMerge w:val="continue"/>
                  <w:vAlign w:val="center"/>
                </w:tcPr>
                <w:p w14:paraId="4BC2D875">
                  <w:pPr>
                    <w:jc w:val="center"/>
                    <w:rPr>
                      <w:color w:val="000000" w:themeColor="text1"/>
                      <w:kern w:val="0"/>
                      <w14:textFill>
                        <w14:solidFill>
                          <w14:schemeClr w14:val="tx1"/>
                        </w14:solidFill>
                      </w14:textFill>
                    </w:rPr>
                  </w:pPr>
                </w:p>
              </w:tc>
              <w:tc>
                <w:tcPr>
                  <w:tcW w:w="792" w:type="pct"/>
                  <w:vMerge w:val="continue"/>
                  <w:vAlign w:val="center"/>
                </w:tcPr>
                <w:p w14:paraId="7B4482AA">
                  <w:pPr>
                    <w:jc w:val="center"/>
                    <w:rPr>
                      <w:color w:val="000000" w:themeColor="text1"/>
                      <w:kern w:val="0"/>
                      <w14:textFill>
                        <w14:solidFill>
                          <w14:schemeClr w14:val="tx1"/>
                        </w14:solidFill>
                      </w14:textFill>
                    </w:rPr>
                  </w:pPr>
                </w:p>
              </w:tc>
              <w:tc>
                <w:tcPr>
                  <w:tcW w:w="2865" w:type="pct"/>
                  <w:vAlign w:val="center"/>
                </w:tcPr>
                <w:p w14:paraId="62F196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固态肥车间渗滤液收集池（10m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909" w:type="pct"/>
                  <w:vAlign w:val="center"/>
                </w:tcPr>
                <w:p w14:paraId="0D8F4DE7">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1.5</w:t>
                  </w:r>
                </w:p>
              </w:tc>
            </w:tr>
            <w:tr w14:paraId="4D29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B75DD24">
                  <w:pPr>
                    <w:jc w:val="center"/>
                    <w:rPr>
                      <w:color w:val="000000" w:themeColor="text1"/>
                      <w:kern w:val="0"/>
                      <w14:textFill>
                        <w14:solidFill>
                          <w14:schemeClr w14:val="tx1"/>
                        </w14:solidFill>
                      </w14:textFill>
                    </w:rPr>
                  </w:pPr>
                </w:p>
              </w:tc>
              <w:tc>
                <w:tcPr>
                  <w:tcW w:w="792" w:type="pct"/>
                  <w:vAlign w:val="center"/>
                </w:tcPr>
                <w:p w14:paraId="032EBEB2">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2865" w:type="pct"/>
                  <w:vAlign w:val="center"/>
                </w:tcPr>
                <w:p w14:paraId="4B1491B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基础减震</w:t>
                  </w:r>
                  <w:r>
                    <w:rPr>
                      <w:rFonts w:hint="eastAsia"/>
                      <w:color w:val="000000" w:themeColor="text1"/>
                      <w:kern w:val="0"/>
                      <w14:textFill>
                        <w14:solidFill>
                          <w14:schemeClr w14:val="tx1"/>
                        </w14:solidFill>
                      </w14:textFill>
                    </w:rPr>
                    <w:t>，</w:t>
                  </w:r>
                  <w:r>
                    <w:rPr>
                      <w:bCs/>
                      <w:color w:val="000000" w:themeColor="text1"/>
                      <w:spacing w:val="-1"/>
                      <w:szCs w:val="21"/>
                      <w14:textFill>
                        <w14:solidFill>
                          <w14:schemeClr w14:val="tx1"/>
                        </w14:solidFill>
                      </w14:textFill>
                    </w:rPr>
                    <w:t>设禁</w:t>
                  </w:r>
                  <w:r>
                    <w:rPr>
                      <w:bCs/>
                      <w:color w:val="000000" w:themeColor="text1"/>
                      <w:spacing w:val="-3"/>
                      <w:szCs w:val="21"/>
                      <w14:textFill>
                        <w14:solidFill>
                          <w14:schemeClr w14:val="tx1"/>
                        </w14:solidFill>
                      </w14:textFill>
                    </w:rPr>
                    <w:t>鸣及减速标志牌</w:t>
                  </w:r>
                </w:p>
              </w:tc>
              <w:tc>
                <w:tcPr>
                  <w:tcW w:w="909" w:type="pct"/>
                  <w:vAlign w:val="center"/>
                </w:tcPr>
                <w:p w14:paraId="512BE4D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1.2</w:t>
                  </w:r>
                </w:p>
              </w:tc>
            </w:tr>
            <w:tr w14:paraId="7132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vMerge w:val="continue"/>
                  <w:vAlign w:val="center"/>
                </w:tcPr>
                <w:p w14:paraId="77E87090">
                  <w:pPr>
                    <w:jc w:val="center"/>
                    <w:rPr>
                      <w:color w:val="000000" w:themeColor="text1"/>
                      <w:kern w:val="0"/>
                      <w14:textFill>
                        <w14:solidFill>
                          <w14:schemeClr w14:val="tx1"/>
                        </w14:solidFill>
                      </w14:textFill>
                    </w:rPr>
                  </w:pPr>
                </w:p>
              </w:tc>
              <w:tc>
                <w:tcPr>
                  <w:tcW w:w="792" w:type="pct"/>
                  <w:vAlign w:val="center"/>
                </w:tcPr>
                <w:p w14:paraId="1A8E0C32">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固废</w:t>
                  </w:r>
                </w:p>
              </w:tc>
              <w:tc>
                <w:tcPr>
                  <w:tcW w:w="2865" w:type="pct"/>
                  <w:vAlign w:val="center"/>
                </w:tcPr>
                <w:p w14:paraId="012F045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生活垃圾清运</w:t>
                  </w:r>
                </w:p>
              </w:tc>
              <w:tc>
                <w:tcPr>
                  <w:tcW w:w="909" w:type="pct"/>
                  <w:vAlign w:val="center"/>
                </w:tcPr>
                <w:p w14:paraId="689D2BD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0.2</w:t>
                  </w:r>
                </w:p>
              </w:tc>
            </w:tr>
            <w:tr w14:paraId="072A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vMerge w:val="continue"/>
                  <w:vAlign w:val="center"/>
                </w:tcPr>
                <w:p w14:paraId="3A0CA46B">
                  <w:pPr>
                    <w:jc w:val="center"/>
                    <w:rPr>
                      <w:color w:val="000000" w:themeColor="text1"/>
                      <w:kern w:val="0"/>
                      <w14:textFill>
                        <w14:solidFill>
                          <w14:schemeClr w14:val="tx1"/>
                        </w14:solidFill>
                      </w14:textFill>
                    </w:rPr>
                  </w:pPr>
                </w:p>
              </w:tc>
              <w:tc>
                <w:tcPr>
                  <w:tcW w:w="792" w:type="pct"/>
                  <w:vAlign w:val="center"/>
                </w:tcPr>
                <w:p w14:paraId="5A15E23F">
                  <w:pPr>
                    <w:jc w:val="center"/>
                    <w:rPr>
                      <w:color w:val="000000" w:themeColor="text1"/>
                      <w:kern w:val="0"/>
                      <w14:textFill>
                        <w14:solidFill>
                          <w14:schemeClr w14:val="tx1"/>
                        </w14:solidFill>
                      </w14:textFill>
                    </w:rPr>
                  </w:pPr>
                </w:p>
              </w:tc>
              <w:tc>
                <w:tcPr>
                  <w:tcW w:w="2865" w:type="pct"/>
                  <w:vAlign w:val="center"/>
                </w:tcPr>
                <w:p w14:paraId="067BF1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危险废物贮存间</w:t>
                  </w:r>
                </w:p>
              </w:tc>
              <w:tc>
                <w:tcPr>
                  <w:tcW w:w="909" w:type="pct"/>
                  <w:vAlign w:val="center"/>
                </w:tcPr>
                <w:p w14:paraId="1657FFB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0（已建，依托）</w:t>
                  </w:r>
                </w:p>
              </w:tc>
            </w:tr>
            <w:tr w14:paraId="6905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69B25AE6">
                  <w:pPr>
                    <w:jc w:val="center"/>
                    <w:rPr>
                      <w:color w:val="000000" w:themeColor="text1"/>
                      <w:kern w:val="0"/>
                      <w14:textFill>
                        <w14:solidFill>
                          <w14:schemeClr w14:val="tx1"/>
                        </w14:solidFill>
                      </w14:textFill>
                    </w:rPr>
                  </w:pPr>
                </w:p>
              </w:tc>
              <w:tc>
                <w:tcPr>
                  <w:tcW w:w="792" w:type="pct"/>
                  <w:vAlign w:val="center"/>
                </w:tcPr>
                <w:p w14:paraId="0F88A8D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w:t>
                  </w:r>
                </w:p>
              </w:tc>
              <w:tc>
                <w:tcPr>
                  <w:tcW w:w="2865" w:type="pct"/>
                  <w:vAlign w:val="center"/>
                </w:tcPr>
                <w:p w14:paraId="5437D23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绿化面积300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909" w:type="pct"/>
                  <w:vAlign w:val="center"/>
                </w:tcPr>
                <w:p w14:paraId="4AA8A20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0（已建）</w:t>
                  </w:r>
                </w:p>
              </w:tc>
            </w:tr>
            <w:tr w14:paraId="5F4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18068F7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环保</w:t>
                  </w:r>
                </w:p>
              </w:tc>
              <w:tc>
                <w:tcPr>
                  <w:tcW w:w="792" w:type="pct"/>
                  <w:vAlign w:val="center"/>
                </w:tcPr>
                <w:p w14:paraId="468EBA30">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其他</w:t>
                  </w:r>
                </w:p>
              </w:tc>
              <w:tc>
                <w:tcPr>
                  <w:tcW w:w="2865" w:type="pct"/>
                  <w:vAlign w:val="center"/>
                </w:tcPr>
                <w:p w14:paraId="6470148A">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环保标识</w:t>
                  </w:r>
                </w:p>
              </w:tc>
              <w:tc>
                <w:tcPr>
                  <w:tcW w:w="909" w:type="pct"/>
                  <w:vAlign w:val="center"/>
                </w:tcPr>
                <w:p w14:paraId="0BB688B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0.1</w:t>
                  </w:r>
                </w:p>
              </w:tc>
            </w:tr>
            <w:tr w14:paraId="5EFE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Merge w:val="continue"/>
                  <w:vAlign w:val="center"/>
                </w:tcPr>
                <w:p w14:paraId="02165A08">
                  <w:pPr>
                    <w:jc w:val="center"/>
                    <w:rPr>
                      <w:color w:val="000000" w:themeColor="text1"/>
                      <w:kern w:val="0"/>
                      <w14:textFill>
                        <w14:solidFill>
                          <w14:schemeClr w14:val="tx1"/>
                        </w14:solidFill>
                      </w14:textFill>
                    </w:rPr>
                  </w:pPr>
                </w:p>
              </w:tc>
              <w:tc>
                <w:tcPr>
                  <w:tcW w:w="3658" w:type="pct"/>
                  <w:gridSpan w:val="2"/>
                  <w:vAlign w:val="center"/>
                </w:tcPr>
                <w:p w14:paraId="416FBC1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合计</w:t>
                  </w:r>
                </w:p>
              </w:tc>
              <w:tc>
                <w:tcPr>
                  <w:tcW w:w="909" w:type="pct"/>
                  <w:vAlign w:val="center"/>
                </w:tcPr>
                <w:p w14:paraId="035940E5">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25</w:t>
                  </w:r>
                </w:p>
              </w:tc>
            </w:tr>
          </w:tbl>
          <w:p w14:paraId="71BE944B">
            <w:pPr>
              <w:jc w:val="both"/>
              <w:rPr>
                <w:color w:val="000000" w:themeColor="text1"/>
                <w:kern w:val="0"/>
                <w:sz w:val="24"/>
                <w14:textFill>
                  <w14:solidFill>
                    <w14:schemeClr w14:val="tx1"/>
                  </w14:solidFill>
                </w14:textFill>
              </w:rPr>
            </w:pPr>
          </w:p>
        </w:tc>
      </w:tr>
      <w:tr w14:paraId="199B5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87" w:hRule="atLeast"/>
          <w:jc w:val="center"/>
        </w:trPr>
        <w:tc>
          <w:tcPr>
            <w:tcW w:w="741" w:type="dxa"/>
            <w:vAlign w:val="center"/>
          </w:tcPr>
          <w:p w14:paraId="242480AE">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14:textFill>
                  <w14:solidFill>
                    <w14:schemeClr w14:val="tx1"/>
                  </w14:solidFill>
                </w14:textFill>
              </w:rPr>
              <w:t>工艺流程和产排污环节</w:t>
            </w:r>
          </w:p>
        </w:tc>
        <w:tc>
          <w:tcPr>
            <w:tcW w:w="8547" w:type="dxa"/>
          </w:tcPr>
          <w:p w14:paraId="6DAC2B25">
            <w:pPr>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1、施工期工艺流程</w:t>
            </w:r>
          </w:p>
          <w:p w14:paraId="2D01E99C">
            <w:pPr>
              <w:pStyle w:val="114"/>
              <w:ind w:firstLine="480"/>
              <w:rPr>
                <w:color w:val="000000" w:themeColor="text1"/>
                <w14:textFill>
                  <w14:solidFill>
                    <w14:schemeClr w14:val="tx1"/>
                  </w14:solidFill>
                </w14:textFill>
              </w:rPr>
            </w:pPr>
            <w:r>
              <w:rPr>
                <w:color w:val="000000" w:themeColor="text1"/>
                <w14:textFill>
                  <w14:solidFill>
                    <w14:schemeClr w14:val="tx1"/>
                  </w14:solidFill>
                </w14:textFill>
              </w:rPr>
              <w:t>拟</w:t>
            </w:r>
            <w:r>
              <w:rPr>
                <w:rFonts w:hint="eastAsia"/>
                <w:color w:val="000000" w:themeColor="text1"/>
                <w14:textFill>
                  <w14:solidFill>
                    <w14:schemeClr w14:val="tx1"/>
                  </w14:solidFill>
                </w14:textFill>
              </w:rPr>
              <w:t>扩</w:t>
            </w:r>
            <w:r>
              <w:rPr>
                <w:color w:val="000000" w:themeColor="text1"/>
                <w14:textFill>
                  <w14:solidFill>
                    <w14:schemeClr w14:val="tx1"/>
                  </w14:solidFill>
                </w14:textFill>
              </w:rPr>
              <w:t>建项目</w:t>
            </w:r>
            <w:r>
              <w:rPr>
                <w:rFonts w:hint="eastAsia"/>
                <w:color w:val="000000" w:themeColor="text1"/>
                <w14:textFill>
                  <w14:solidFill>
                    <w14:schemeClr w14:val="tx1"/>
                  </w14:solidFill>
                </w14:textFill>
              </w:rPr>
              <w:t>目前地块已平整完毕，现场内道路已铺到施工现场周围入口处，满足车辆进出条件。</w:t>
            </w:r>
            <w:r>
              <w:rPr>
                <w:color w:val="000000" w:themeColor="text1"/>
                <w14:textFill>
                  <w14:solidFill>
                    <w14:schemeClr w14:val="tx1"/>
                  </w14:solidFill>
                </w14:textFill>
              </w:rPr>
              <w:t>施工工艺主要</w:t>
            </w:r>
            <w:r>
              <w:rPr>
                <w:rFonts w:hint="eastAsia"/>
                <w:color w:val="000000" w:themeColor="text1"/>
                <w14:textFill>
                  <w14:solidFill>
                    <w14:schemeClr w14:val="tx1"/>
                  </w14:solidFill>
                </w14:textFill>
              </w:rPr>
              <w:t>为进行新增地块的</w:t>
            </w:r>
            <w:r>
              <w:rPr>
                <w:color w:val="000000" w:themeColor="text1"/>
                <w14:textFill>
                  <w14:solidFill>
                    <w14:schemeClr w14:val="tx1"/>
                  </w14:solidFill>
                </w14:textFill>
              </w:rPr>
              <w:t>地基施工、地面建筑结构施工</w:t>
            </w:r>
            <w:r>
              <w:rPr>
                <w:rFonts w:hint="eastAsia"/>
                <w:color w:val="000000" w:themeColor="text1"/>
                <w14:textFill>
                  <w14:solidFill>
                    <w14:schemeClr w14:val="tx1"/>
                  </w14:solidFill>
                </w14:textFill>
              </w:rPr>
              <w:t>以及设备安装</w:t>
            </w:r>
            <w:r>
              <w:rPr>
                <w:color w:val="000000" w:themeColor="text1"/>
                <w14:textFill>
                  <w14:solidFill>
                    <w14:schemeClr w14:val="tx1"/>
                  </w14:solidFill>
                </w14:textFill>
              </w:rPr>
              <w:t xml:space="preserve">。该项目施工流程详见图 </w:t>
            </w:r>
            <w:r>
              <w:rPr>
                <w:rFonts w:eastAsia="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73805840">
            <w:pPr>
              <w:pStyle w:val="114"/>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980305" cy="1972310"/>
                  <wp:effectExtent l="0" t="0" r="3175" b="8890"/>
                  <wp:docPr id="49" name="F360BE8B-6686-4F3D-AEAF-501FE73E4058-1"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360BE8B-6686-4F3D-AEAF-501FE73E4058-1" descr="绘图2"/>
                          <pic:cNvPicPr>
                            <a:picLocks noChangeAspect="1"/>
                          </pic:cNvPicPr>
                        </pic:nvPicPr>
                        <pic:blipFill>
                          <a:blip r:embed="rId12"/>
                          <a:stretch>
                            <a:fillRect/>
                          </a:stretch>
                        </pic:blipFill>
                        <pic:spPr>
                          <a:xfrm>
                            <a:off x="0" y="0"/>
                            <a:ext cx="4980305" cy="1972310"/>
                          </a:xfrm>
                          <a:prstGeom prst="rect">
                            <a:avLst/>
                          </a:prstGeom>
                          <a:noFill/>
                          <a:ln>
                            <a:noFill/>
                          </a:ln>
                        </pic:spPr>
                      </pic:pic>
                    </a:graphicData>
                  </a:graphic>
                </wp:inline>
              </w:drawing>
            </w:r>
          </w:p>
          <w:p w14:paraId="346AF0D6">
            <w:pPr>
              <w:spacing w:before="79"/>
              <w:ind w:left="458" w:right="5"/>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图 </w:t>
            </w:r>
            <w:r>
              <w:rPr>
                <w:rFonts w:eastAsia="Times New Roman"/>
                <w:b/>
                <w:color w:val="000000" w:themeColor="text1"/>
                <w14:textFill>
                  <w14:solidFill>
                    <w14:schemeClr w14:val="tx1"/>
                  </w14:solidFill>
                </w14:textFill>
              </w:rPr>
              <w:t>2-</w:t>
            </w:r>
            <w:r>
              <w:rPr>
                <w:rFonts w:hint="eastAsia"/>
                <w:b/>
                <w:color w:val="000000" w:themeColor="text1"/>
                <w14:textFill>
                  <w14:solidFill>
                    <w14:schemeClr w14:val="tx1"/>
                  </w14:solidFill>
                </w14:textFill>
              </w:rPr>
              <w:t xml:space="preserve">3   </w:t>
            </w:r>
            <w:r>
              <w:rPr>
                <w:rFonts w:eastAsia="Times New Roman"/>
                <w:b/>
                <w:color w:val="000000" w:themeColor="text1"/>
                <w14:textFill>
                  <w14:solidFill>
                    <w14:schemeClr w14:val="tx1"/>
                  </w14:solidFill>
                </w14:textFill>
              </w:rPr>
              <w:t xml:space="preserve"> </w:t>
            </w:r>
            <w:r>
              <w:rPr>
                <w:b/>
                <w:color w:val="000000" w:themeColor="text1"/>
                <w14:textFill>
                  <w14:solidFill>
                    <w14:schemeClr w14:val="tx1"/>
                  </w14:solidFill>
                </w14:textFill>
              </w:rPr>
              <w:t>施工</w:t>
            </w:r>
            <w:r>
              <w:rPr>
                <w:rFonts w:hint="eastAsia"/>
                <w:b/>
                <w:color w:val="000000" w:themeColor="text1"/>
                <w14:textFill>
                  <w14:solidFill>
                    <w14:schemeClr w14:val="tx1"/>
                  </w14:solidFill>
                </w14:textFill>
              </w:rPr>
              <w:t>期工艺</w:t>
            </w:r>
            <w:r>
              <w:rPr>
                <w:b/>
                <w:color w:val="000000" w:themeColor="text1"/>
                <w14:textFill>
                  <w14:solidFill>
                    <w14:schemeClr w14:val="tx1"/>
                  </w14:solidFill>
                </w14:textFill>
              </w:rPr>
              <w:t>流程图</w:t>
            </w:r>
          </w:p>
          <w:p w14:paraId="5B81637F">
            <w:pPr>
              <w:pStyle w:val="7"/>
              <w:spacing w:before="137" w:line="240" w:lineRule="auto"/>
              <w:ind w:right="4325"/>
              <w:rPr>
                <w:rFonts w:ascii="Times New Roman" w:hAnsi="Times New Roman" w:eastAsia="宋体"/>
                <w:bCs/>
                <w:snapToGrid w:val="0"/>
                <w:color w:val="000000" w:themeColor="text1"/>
                <w:kern w:val="0"/>
                <w:sz w:val="24"/>
                <w:szCs w:val="20"/>
                <w14:textFill>
                  <w14:solidFill>
                    <w14:schemeClr w14:val="tx1"/>
                  </w14:solidFill>
                </w14:textFill>
              </w:rPr>
            </w:pPr>
            <w:r>
              <w:rPr>
                <w:rFonts w:hint="eastAsia" w:ascii="Times New Roman" w:hAnsi="Times New Roman" w:eastAsia="宋体"/>
                <w:bCs/>
                <w:snapToGrid w:val="0"/>
                <w:color w:val="000000" w:themeColor="text1"/>
                <w:kern w:val="0"/>
                <w:sz w:val="24"/>
                <w:szCs w:val="20"/>
                <w14:textFill>
                  <w14:solidFill>
                    <w14:schemeClr w14:val="tx1"/>
                  </w14:solidFill>
                </w14:textFill>
              </w:rPr>
              <w:t>施工期</w:t>
            </w:r>
            <w:r>
              <w:rPr>
                <w:rFonts w:ascii="Times New Roman" w:hAnsi="Times New Roman" w:eastAsia="宋体"/>
                <w:bCs/>
                <w:snapToGrid w:val="0"/>
                <w:color w:val="000000" w:themeColor="text1"/>
                <w:kern w:val="0"/>
                <w:sz w:val="24"/>
                <w:szCs w:val="20"/>
                <w14:textFill>
                  <w14:solidFill>
                    <w14:schemeClr w14:val="tx1"/>
                  </w14:solidFill>
                </w14:textFill>
              </w:rPr>
              <w:t>工艺流程及污染物简述：</w:t>
            </w:r>
          </w:p>
          <w:p w14:paraId="07BDAADC">
            <w:pPr>
              <w:pStyle w:val="5"/>
              <w:spacing w:line="360" w:lineRule="auto"/>
              <w:ind w:right="226"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对项目进行厂房地面建筑结构施工，四周砖墙围挡，桩基混凝土浇灌，彩钢瓦顶棚。使用挖掘机、桩基浇灌等设备，地基采用钢筋混凝土进行施工。该工序产生的噪声主要为机械噪声及运输车辆噪声；大气污染物主要为无组织排放粉尘及车辆尾气；②设备的安装过程中，将产生噪声、固体废物。③ 对拟建项目区的其他工程进行施工，施工设备包括载重车等。该工序噪声主要来自机械设备车辆运输；废气主要来自车辆尾气及道路扬尘。此外，在整个施工活动中，施工人员还有一定量的生活垃圾、生活污水产生。</w:t>
            </w:r>
          </w:p>
          <w:p w14:paraId="24B6C1E9">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运营期</w:t>
            </w:r>
            <w:r>
              <w:rPr>
                <w:b/>
                <w:bCs/>
                <w:color w:val="000000" w:themeColor="text1"/>
                <w:kern w:val="0"/>
                <w:sz w:val="24"/>
                <w14:textFill>
                  <w14:solidFill>
                    <w14:schemeClr w14:val="tx1"/>
                  </w14:solidFill>
                </w14:textFill>
              </w:rPr>
              <w:t>工艺流程</w:t>
            </w:r>
          </w:p>
          <w:p w14:paraId="1FAE0C6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(一)液态有机肥生产线：</w:t>
            </w:r>
          </w:p>
          <w:p w14:paraId="0BD7C24D">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项目生产工艺流程见图2-4。</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1"/>
            </w:tblGrid>
            <w:tr w14:paraId="3C6C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1" w:type="dxa"/>
                </w:tcPr>
                <w:p w14:paraId="27059741">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3457575" cy="4962525"/>
                        <wp:effectExtent l="0" t="0" r="0" b="0"/>
                        <wp:docPr id="4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13"/>
                                <a:stretch>
                                  <a:fillRect/>
                                </a:stretch>
                              </pic:blipFill>
                              <pic:spPr>
                                <a:xfrm>
                                  <a:off x="0" y="0"/>
                                  <a:ext cx="3457575" cy="4962525"/>
                                </a:xfrm>
                                <a:prstGeom prst="rect">
                                  <a:avLst/>
                                </a:prstGeom>
                                <a:noFill/>
                                <a:ln w="9525">
                                  <a:noFill/>
                                </a:ln>
                              </pic:spPr>
                            </pic:pic>
                          </a:graphicData>
                        </a:graphic>
                      </wp:inline>
                    </w:drawing>
                  </w:r>
                </w:p>
                <w:p w14:paraId="43B01E3E">
                  <w:pPr>
                    <w:pStyle w:val="103"/>
                    <w:tabs>
                      <w:tab w:val="left" w:pos="3671"/>
                    </w:tabs>
                    <w:spacing w:before="70"/>
                    <w:jc w:val="center"/>
                    <w:rPr>
                      <w:rFonts w:hint="eastAsia" w:ascii="黑体" w:hAnsi="黑体" w:eastAsia="黑体" w:cs="黑体"/>
                      <w:color w:val="000000" w:themeColor="text1"/>
                      <w:kern w:val="0"/>
                      <w:szCs w:val="21"/>
                      <w14:textFill>
                        <w14:solidFill>
                          <w14:schemeClr w14:val="tx1"/>
                        </w14:solidFill>
                      </w14:textFill>
                    </w:rPr>
                  </w:pPr>
                </w:p>
              </w:tc>
            </w:tr>
          </w:tbl>
          <w:p w14:paraId="16742D08">
            <w:pPr>
              <w:pStyle w:val="103"/>
              <w:tabs>
                <w:tab w:val="left" w:pos="3671"/>
              </w:tabs>
              <w:spacing w:before="70"/>
              <w:jc w:val="center"/>
              <w:rPr>
                <w:rFonts w:hint="eastAsia" w:ascii="Times New Roman" w:hAnsi="Times New Roman" w:eastAsia="黑体" w:cs="Times New Roman"/>
                <w:color w:val="000000" w:themeColor="text1"/>
                <w:kern w:val="0"/>
                <w:szCs w:val="21"/>
                <w14:textFill>
                  <w14:solidFill>
                    <w14:schemeClr w14:val="tx1"/>
                  </w14:solidFill>
                </w14:textFill>
              </w:rPr>
            </w:pPr>
            <w:r>
              <w:rPr>
                <w:rFonts w:hint="eastAsia" w:ascii="Times New Roman" w:hAnsi="Times New Roman" w:eastAsia="黑体" w:cs="Times New Roman"/>
                <w:color w:val="000000" w:themeColor="text1"/>
                <w:kern w:val="0"/>
                <w:szCs w:val="21"/>
                <w14:textFill>
                  <w14:solidFill>
                    <w14:schemeClr w14:val="tx1"/>
                  </w14:solidFill>
                </w14:textFill>
              </w:rPr>
              <w:t>图2-4 液态有机肥生产工艺流程及产污节点图</w:t>
            </w:r>
          </w:p>
          <w:p w14:paraId="42BDDF71">
            <w:pPr>
              <w:pStyle w:val="103"/>
              <w:tabs>
                <w:tab w:val="left" w:pos="3671"/>
              </w:tabs>
              <w:spacing w:before="70" w:line="360" w:lineRule="auto"/>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（1）发酵：好氧发酵腐熟</w:t>
            </w:r>
          </w:p>
          <w:p w14:paraId="40348502">
            <w:pPr>
              <w:pStyle w:val="103"/>
              <w:tabs>
                <w:tab w:val="left" w:pos="3671"/>
              </w:tabs>
              <w:spacing w:before="70"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采用抽水泵从尾菜废水收集池中抽取尾菜废水，加入辅料，接种乳酸菌，接种量0.1%~0.5%；控制参数：温度55℃~65℃保持5~7天、搅拌频率2~3天/次、氧气含量10%~15%；腐熟判定：物料无恶臭、呈深褐</w:t>
            </w:r>
            <w:r>
              <w:rPr>
                <w:rFonts w:ascii="Times New Roman" w:hAnsi="Times New Roman" w:cs="Times New Roman"/>
                <w:color w:val="000000" w:themeColor="text1"/>
                <w:sz w:val="24"/>
                <w14:textFill>
                  <w14:solidFill>
                    <w14:schemeClr w14:val="tx1"/>
                  </w14:solidFill>
                </w14:textFill>
              </w:rPr>
              <w:t>色，C/N比15~20:1，</w:t>
            </w:r>
            <w:r>
              <w:rPr>
                <w:rFonts w:hint="eastAsia" w:ascii="Times New Roman" w:hAnsi="Times New Roman" w:cs="Times New Roman"/>
                <w:color w:val="000000" w:themeColor="text1"/>
                <w:sz w:val="24"/>
                <w14:textFill>
                  <w14:solidFill>
                    <w14:schemeClr w14:val="tx1"/>
                  </w14:solidFill>
                </w14:textFill>
              </w:rPr>
              <w:t>添加植物营养液调节</w:t>
            </w:r>
            <w:r>
              <w:rPr>
                <w:rFonts w:ascii="Times New Roman" w:hAnsi="Times New Roman" w:cs="Times New Roman"/>
                <w:color w:val="000000" w:themeColor="text1"/>
                <w:sz w:val="24"/>
                <w14:textFill>
                  <w14:solidFill>
                    <w14:schemeClr w14:val="tx1"/>
                  </w14:solidFill>
                </w14:textFill>
              </w:rPr>
              <w:t>pH值</w:t>
            </w:r>
            <w:r>
              <w:rPr>
                <w:rFonts w:hint="eastAsia" w:ascii="Times New Roman" w:hAnsi="Times New Roman" w:cs="Times New Roman"/>
                <w:color w:val="000000" w:themeColor="text1"/>
                <w:sz w:val="24"/>
                <w14:textFill>
                  <w14:solidFill>
                    <w14:schemeClr w14:val="tx1"/>
                  </w14:solidFill>
                </w14:textFill>
              </w:rPr>
              <w:t>大于6</w:t>
            </w:r>
            <w:r>
              <w:rPr>
                <w:rFonts w:ascii="Times New Roman" w:hAnsi="Times New Roman" w:cs="Times New Roman"/>
                <w:color w:val="000000" w:themeColor="text1"/>
                <w:sz w:val="24"/>
                <w14:textFill>
                  <w14:solidFill>
                    <w14:schemeClr w14:val="tx1"/>
                  </w14:solidFill>
                </w14:textFill>
              </w:rPr>
              <w:t>。此过程产生发酵废气G1-1。</w:t>
            </w:r>
          </w:p>
          <w:p w14:paraId="5AC4E685">
            <w:pPr>
              <w:numPr>
                <w:ilvl w:val="0"/>
                <w:numId w:val="11"/>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静置过滤：</w:t>
            </w:r>
          </w:p>
          <w:p w14:paraId="0F727206">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发酵物料经静置过滤分离，得到发酵液。此过程产出固体残渣S1-1。</w:t>
            </w:r>
          </w:p>
          <w:p w14:paraId="337B2B1C">
            <w:pPr>
              <w:numPr>
                <w:ilvl w:val="0"/>
                <w:numId w:val="11"/>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搅拌：</w:t>
            </w:r>
          </w:p>
          <w:p w14:paraId="0015A82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向发酵后产生的发酵液中添加营养元素、增效剂以及功能性微生物之后进行</w:t>
            </w:r>
            <w:r>
              <w:rPr>
                <w:rFonts w:hint="eastAsia"/>
                <w:color w:val="000000" w:themeColor="text1"/>
                <w:sz w:val="24"/>
                <w14:textFill>
                  <w14:solidFill>
                    <w14:schemeClr w14:val="tx1"/>
                  </w14:solidFill>
                </w14:textFill>
              </w:rPr>
              <w:t>搅拌，搅拌频率2~3天/次。此过程产生噪声N。</w:t>
            </w:r>
          </w:p>
          <w:p w14:paraId="57F46CAE">
            <w:pPr>
              <w:numPr>
                <w:ilvl w:val="0"/>
                <w:numId w:val="11"/>
              </w:numPr>
              <w:spacing w:line="360" w:lineRule="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灭菌消毒</w:t>
            </w:r>
          </w:p>
          <w:p w14:paraId="45274BE4">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采用热水罐进行灭菌消毒，采用太阳能及空气能热水器向热水罐提供热水。</w:t>
            </w:r>
          </w:p>
          <w:p w14:paraId="24E84893">
            <w:pPr>
              <w:numPr>
                <w:ilvl w:val="0"/>
                <w:numId w:val="11"/>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储存陈化</w:t>
            </w:r>
          </w:p>
          <w:p w14:paraId="01F63C1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将消毒后的发酵物料</w:t>
            </w:r>
            <w:r>
              <w:rPr>
                <w:rFonts w:ascii="宋体" w:hAnsi="宋体" w:cs="宋体"/>
                <w:color w:val="000000" w:themeColor="text1"/>
                <w:sz w:val="24"/>
                <w14:textFill>
                  <w14:solidFill>
                    <w14:schemeClr w14:val="tx1"/>
                  </w14:solidFill>
                </w14:textFill>
              </w:rPr>
              <w:t>泵入密封储</w:t>
            </w:r>
            <w:r>
              <w:rPr>
                <w:color w:val="000000" w:themeColor="text1"/>
                <w:sz w:val="24"/>
                <w14:textFill>
                  <w14:solidFill>
                    <w14:schemeClr w14:val="tx1"/>
                  </w14:solidFill>
                </w14:textFill>
              </w:rPr>
              <w:t>液罐陈化7~10天，稳定养分；储液罐需设防渗层和呼吸阀。</w:t>
            </w:r>
            <w:r>
              <w:rPr>
                <w:rFonts w:hint="eastAsia"/>
                <w:color w:val="000000" w:themeColor="text1"/>
                <w:sz w:val="24"/>
                <w14:textFill>
                  <w14:solidFill>
                    <w14:schemeClr w14:val="tx1"/>
                  </w14:solidFill>
                </w14:textFill>
              </w:rPr>
              <w:t>此过程将产生发酵废气G1-2。</w:t>
            </w:r>
          </w:p>
          <w:p w14:paraId="515A8BC0">
            <w:pPr>
              <w:numPr>
                <w:ilvl w:val="0"/>
                <w:numId w:val="11"/>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质检</w:t>
            </w:r>
          </w:p>
          <w:p w14:paraId="4226C16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抽选发酵完成样品按照产品质量标准进行检测。检测不合格产品返回</w:t>
            </w:r>
            <w:r>
              <w:rPr>
                <w:rFonts w:hint="eastAsia"/>
                <w:color w:val="000000" w:themeColor="text1"/>
                <w:sz w:val="24"/>
                <w14:textFill>
                  <w14:solidFill>
                    <w14:schemeClr w14:val="tx1"/>
                  </w14:solidFill>
                </w14:textFill>
              </w:rPr>
              <w:t>继续生产。此过程将产生不合格产品S1-2。</w:t>
            </w:r>
          </w:p>
          <w:p w14:paraId="54CC5E41">
            <w:pPr>
              <w:numPr>
                <w:ilvl w:val="0"/>
                <w:numId w:val="11"/>
              </w:num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灌装</w:t>
            </w:r>
          </w:p>
          <w:p w14:paraId="6EFA73D8">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检测合格产品根据客户需求进行</w:t>
            </w:r>
            <w:r>
              <w:rPr>
                <w:rFonts w:hint="eastAsia"/>
                <w:color w:val="000000" w:themeColor="text1"/>
                <w:sz w:val="24"/>
                <w14:textFill>
                  <w14:solidFill>
                    <w14:schemeClr w14:val="tx1"/>
                  </w14:solidFill>
                </w14:textFill>
              </w:rPr>
              <w:t>灌装后贴签</w:t>
            </w:r>
            <w:r>
              <w:rPr>
                <w:color w:val="000000" w:themeColor="text1"/>
                <w:sz w:val="24"/>
                <w14:textFill>
                  <w14:solidFill>
                    <w14:schemeClr w14:val="tx1"/>
                  </w14:solidFill>
                </w14:textFill>
              </w:rPr>
              <w:t>包装</w:t>
            </w:r>
            <w:r>
              <w:rPr>
                <w:rFonts w:hint="eastAsia"/>
                <w:color w:val="000000" w:themeColor="text1"/>
                <w:sz w:val="24"/>
                <w14:textFill>
                  <w14:solidFill>
                    <w14:schemeClr w14:val="tx1"/>
                  </w14:solidFill>
                </w14:textFill>
              </w:rPr>
              <w:t>，后运至成品区储存</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此过程将产生设备清洗废水W1-</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及噪声N。</w:t>
            </w:r>
          </w:p>
          <w:p w14:paraId="7FC576C4">
            <w:pPr>
              <w:numPr>
                <w:ilvl w:val="0"/>
                <w:numId w:val="12"/>
              </w:num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固态（粉状）有机肥生产线：</w:t>
            </w:r>
          </w:p>
          <w:p w14:paraId="55A1EFB2">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项目生产工艺流程见图2-5。</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1"/>
            </w:tblGrid>
            <w:tr w14:paraId="1841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1" w:type="dxa"/>
                </w:tcPr>
                <w:p w14:paraId="684D91EF">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3402330" cy="4298950"/>
                        <wp:effectExtent l="0" t="0" r="0" b="0"/>
                        <wp:docPr id="4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IMG_256"/>
                                <pic:cNvPicPr>
                                  <a:picLocks noChangeAspect="1"/>
                                </pic:cNvPicPr>
                              </pic:nvPicPr>
                              <pic:blipFill>
                                <a:blip r:embed="rId14"/>
                                <a:stretch>
                                  <a:fillRect/>
                                </a:stretch>
                              </pic:blipFill>
                              <pic:spPr>
                                <a:xfrm>
                                  <a:off x="0" y="0"/>
                                  <a:ext cx="3402330" cy="4298950"/>
                                </a:xfrm>
                                <a:prstGeom prst="rect">
                                  <a:avLst/>
                                </a:prstGeom>
                                <a:noFill/>
                                <a:ln w="9525">
                                  <a:noFill/>
                                </a:ln>
                              </pic:spPr>
                            </pic:pic>
                          </a:graphicData>
                        </a:graphic>
                      </wp:inline>
                    </w:drawing>
                  </w:r>
                </w:p>
                <w:p w14:paraId="6109B39C">
                  <w:pPr>
                    <w:widowControl/>
                    <w:jc w:val="center"/>
                    <w:rPr>
                      <w:b/>
                      <w:bCs/>
                      <w:color w:val="000000" w:themeColor="text1"/>
                      <w:kern w:val="0"/>
                      <w:szCs w:val="21"/>
                      <w14:textFill>
                        <w14:solidFill>
                          <w14:schemeClr w14:val="tx1"/>
                        </w14:solidFill>
                      </w14:textFill>
                    </w:rPr>
                  </w:pPr>
                </w:p>
              </w:tc>
            </w:tr>
          </w:tbl>
          <w:p w14:paraId="6409884E">
            <w:pPr>
              <w:pStyle w:val="103"/>
              <w:tabs>
                <w:tab w:val="left" w:pos="3671"/>
              </w:tabs>
              <w:spacing w:before="70"/>
              <w:jc w:val="center"/>
              <w:rPr>
                <w:rFonts w:hint="eastAsia" w:ascii="黑体" w:hAnsi="黑体" w:eastAsia="黑体" w:cs="黑体"/>
                <w:color w:val="000000" w:themeColor="text1"/>
                <w:kern w:val="0"/>
                <w:szCs w:val="21"/>
                <w14:textFill>
                  <w14:solidFill>
                    <w14:schemeClr w14:val="tx1"/>
                  </w14:solidFill>
                </w14:textFill>
              </w:rPr>
            </w:pPr>
            <w:r>
              <w:rPr>
                <w:rFonts w:hint="default" w:ascii="Times New Roman" w:hAnsi="Times New Roman" w:eastAsia="黑体" w:cs="Times New Roman"/>
                <w:color w:val="000000" w:themeColor="text1"/>
                <w:kern w:val="0"/>
                <w:szCs w:val="21"/>
                <w14:textFill>
                  <w14:solidFill>
                    <w14:schemeClr w14:val="tx1"/>
                  </w14:solidFill>
                </w14:textFill>
              </w:rPr>
              <w:t>图2-5 固态（粉状）</w:t>
            </w:r>
            <w:r>
              <w:rPr>
                <w:rFonts w:hint="eastAsia" w:ascii="黑体" w:hAnsi="黑体" w:eastAsia="黑体" w:cs="黑体"/>
                <w:color w:val="000000" w:themeColor="text1"/>
                <w:kern w:val="0"/>
                <w:szCs w:val="21"/>
                <w14:textFill>
                  <w14:solidFill>
                    <w14:schemeClr w14:val="tx1"/>
                  </w14:solidFill>
                </w14:textFill>
              </w:rPr>
              <w:t>有机肥生产工艺流程及产污节点图</w:t>
            </w:r>
          </w:p>
          <w:p w14:paraId="12DF59FA">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 原料投料工段</w:t>
            </w:r>
          </w:p>
          <w:p w14:paraId="43DD930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将菜渣（主要原料，含丰富有机质及水分，水分约7</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%）与辅料（</w:t>
            </w:r>
            <w:r>
              <w:rPr>
                <w:rFonts w:hint="eastAsia"/>
                <w:color w:val="000000" w:themeColor="text1"/>
                <w:sz w:val="24"/>
                <w14:textFill>
                  <w14:solidFill>
                    <w14:schemeClr w14:val="tx1"/>
                  </w14:solidFill>
                </w14:textFill>
              </w:rPr>
              <w:t>玉米</w:t>
            </w:r>
            <w:r>
              <w:rPr>
                <w:color w:val="000000" w:themeColor="text1"/>
                <w:sz w:val="24"/>
                <w14:textFill>
                  <w14:solidFill>
                    <w14:schemeClr w14:val="tx1"/>
                  </w14:solidFill>
                </w14:textFill>
              </w:rPr>
              <w:t>秸秆、</w:t>
            </w:r>
            <w:r>
              <w:rPr>
                <w:rFonts w:hint="eastAsia"/>
                <w:color w:val="000000" w:themeColor="text1"/>
                <w:sz w:val="24"/>
                <w14:textFill>
                  <w14:solidFill>
                    <w14:schemeClr w14:val="tx1"/>
                  </w14:solidFill>
                </w14:textFill>
              </w:rPr>
              <w:t>甘蔗叶子、菊花渣、椰糠）</w:t>
            </w:r>
            <w:r>
              <w:rPr>
                <w:color w:val="000000" w:themeColor="text1"/>
                <w:sz w:val="24"/>
                <w14:textFill>
                  <w14:solidFill>
                    <w14:schemeClr w14:val="tx1"/>
                  </w14:solidFill>
                </w14:textFill>
              </w:rPr>
              <w:t>，通过螺旋投料机</w:t>
            </w:r>
            <w:r>
              <w:rPr>
                <w:rFonts w:hint="eastAsia"/>
                <w:color w:val="000000" w:themeColor="text1"/>
                <w:sz w:val="24"/>
                <w14:textFill>
                  <w14:solidFill>
                    <w14:schemeClr w14:val="tx1"/>
                  </w14:solidFill>
                </w14:textFill>
              </w:rPr>
              <w:t>及</w:t>
            </w:r>
            <w:r>
              <w:rPr>
                <w:color w:val="000000" w:themeColor="text1"/>
                <w:sz w:val="24"/>
                <w14:textFill>
                  <w14:solidFill>
                    <w14:schemeClr w14:val="tx1"/>
                  </w14:solidFill>
                </w14:textFill>
              </w:rPr>
              <w:t>皮带输送机输送至后续工段，为发酵提供基础原料组合。</w:t>
            </w:r>
          </w:p>
          <w:p w14:paraId="3F16D230">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原料中</w:t>
            </w:r>
            <w:r>
              <w:rPr>
                <w:rFonts w:hint="eastAsia"/>
                <w:color w:val="000000" w:themeColor="text1"/>
                <w:sz w:val="24"/>
                <w14:textFill>
                  <w14:solidFill>
                    <w14:schemeClr w14:val="tx1"/>
                  </w14:solidFill>
                </w14:textFill>
              </w:rPr>
              <w:t>含水率较高，此过程投料废气产生极少忽略不计,</w:t>
            </w:r>
            <w:r>
              <w:rPr>
                <w:color w:val="000000" w:themeColor="text1"/>
                <w:sz w:val="24"/>
                <w14:textFill>
                  <w14:solidFill>
                    <w14:schemeClr w14:val="tx1"/>
                  </w14:solidFill>
                </w14:textFill>
              </w:rPr>
              <w:t>投料系统运行的机械噪声</w:t>
            </w:r>
            <w:r>
              <w:rPr>
                <w:rFonts w:hint="eastAsia"/>
                <w:color w:val="000000" w:themeColor="text1"/>
                <w:sz w:val="24"/>
                <w14:textFill>
                  <w14:solidFill>
                    <w14:schemeClr w14:val="tx1"/>
                  </w14:solidFill>
                </w14:textFill>
              </w:rPr>
              <w:t>N2-1</w:t>
            </w:r>
            <w:r>
              <w:rPr>
                <w:color w:val="000000" w:themeColor="text1"/>
                <w:sz w:val="24"/>
                <w14:textFill>
                  <w14:solidFill>
                    <w14:schemeClr w14:val="tx1"/>
                  </w14:solidFill>
                </w14:textFill>
              </w:rPr>
              <w:t>。</w:t>
            </w:r>
          </w:p>
          <w:p w14:paraId="7961EF29">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（2）扑粉工段</w:t>
            </w:r>
          </w:p>
          <w:p w14:paraId="29DF6CCF">
            <w:pPr>
              <w:spacing w:line="360" w:lineRule="auto"/>
              <w:ind w:firstLine="480" w:firstLineChars="200"/>
              <w:rPr>
                <w:rStyle w:val="28"/>
                <w:color w:val="000000" w:themeColor="text1"/>
                <w14:textFill>
                  <w14:solidFill>
                    <w14:schemeClr w14:val="tx1"/>
                  </w14:solidFill>
                </w14:textFill>
              </w:rPr>
            </w:pPr>
            <w:r>
              <w:rPr>
                <w:rFonts w:hint="eastAsia"/>
                <w:color w:val="000000" w:themeColor="text1"/>
                <w:sz w:val="24"/>
                <w14:textFill>
                  <w14:solidFill>
                    <w14:schemeClr w14:val="tx1"/>
                  </w14:solidFill>
                </w14:textFill>
              </w:rPr>
              <w:t>两套扑粉机，第一套扑粉</w:t>
            </w:r>
            <w:r>
              <w:rPr>
                <w:color w:val="000000" w:themeColor="text1"/>
                <w:sz w:val="24"/>
                <w14:textFill>
                  <w14:solidFill>
                    <w14:schemeClr w14:val="tx1"/>
                  </w14:solidFill>
                </w14:textFill>
              </w:rPr>
              <w:t>向菜渣与辅料混合物中添加干燥粉状物料（草木灰）</w:t>
            </w:r>
          </w:p>
          <w:p w14:paraId="72FE5AFC">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草木灰的添加为</w:t>
            </w:r>
            <w:r>
              <w:rPr>
                <w:rFonts w:hint="default"/>
                <w:color w:val="000000" w:themeColor="text1"/>
                <w:sz w:val="24"/>
                <w14:textFill>
                  <w14:solidFill>
                    <w14:schemeClr w14:val="tx1"/>
                  </w14:solidFill>
                </w14:textFill>
              </w:rPr>
              <w:t> </w:t>
            </w:r>
            <w:r>
              <w:rPr>
                <w:rFonts w:hint="eastAsia"/>
                <w:color w:val="000000" w:themeColor="text1"/>
                <w:sz w:val="24"/>
                <w:lang w:val="en-US" w:eastAsia="zh-CN"/>
                <w14:textFill>
                  <w14:solidFill>
                    <w14:schemeClr w14:val="tx1"/>
                  </w14:solidFill>
                </w14:textFill>
              </w:rPr>
              <w:t>10</w:t>
            </w:r>
            <w:r>
              <w:rPr>
                <w:rFonts w:hint="default"/>
                <w:color w:val="000000" w:themeColor="text1"/>
                <w:sz w:val="24"/>
                <w14:textFill>
                  <w14:solidFill>
                    <w14:schemeClr w14:val="tx1"/>
                  </w14:solidFill>
                </w14:textFill>
              </w:rPr>
              <w:t>%（以干物料总重量计）</w:t>
            </w:r>
            <w:r>
              <w:rPr>
                <w:color w:val="000000" w:themeColor="text1"/>
                <w:sz w:val="24"/>
                <w14:textFill>
                  <w14:solidFill>
                    <w14:schemeClr w14:val="tx1"/>
                  </w14:solidFill>
                </w14:textFill>
              </w:rPr>
              <w:t>，通过旋转撒粉机均匀撒布，目的是将物料水分调节至60%（适宜好氧发酵）。</w:t>
            </w:r>
          </w:p>
          <w:p w14:paraId="525FD0E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第二次扑粉</w:t>
            </w:r>
            <w:r>
              <w:rPr>
                <w:color w:val="000000" w:themeColor="text1"/>
                <w:sz w:val="24"/>
                <w14:textFill>
                  <w14:solidFill>
                    <w14:schemeClr w14:val="tx1"/>
                  </w14:solidFill>
                </w14:textFill>
              </w:rPr>
              <w:t>向菜渣与辅料混合物中添加干燥粉状物料（草木灰）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通过旋转撒粉机均匀撒布，目的是</w:t>
            </w:r>
            <w:r>
              <w:rPr>
                <w:rFonts w:hint="eastAsia"/>
                <w:color w:val="000000" w:themeColor="text1"/>
                <w:sz w:val="24"/>
                <w14:textFill>
                  <w14:solidFill>
                    <w14:schemeClr w14:val="tx1"/>
                  </w14:solidFill>
                </w14:textFill>
              </w:rPr>
              <w:t>将</w:t>
            </w:r>
            <w:r>
              <w:rPr>
                <w:color w:val="000000" w:themeColor="text1"/>
                <w:sz w:val="24"/>
                <w14:textFill>
                  <w14:solidFill>
                    <w14:schemeClr w14:val="tx1"/>
                  </w14:solidFill>
                </w14:textFill>
              </w:rPr>
              <w:t>物料水分调节至</w:t>
            </w:r>
            <w:r>
              <w:rPr>
                <w:rFonts w:hint="eastAsia"/>
                <w:color w:val="000000" w:themeColor="text1"/>
                <w:sz w:val="24"/>
                <w:lang w:val="en-US" w:eastAsia="zh-CN"/>
                <w14:textFill>
                  <w14:solidFill>
                    <w14:schemeClr w14:val="tx1"/>
                  </w14:solidFill>
                </w14:textFill>
              </w:rPr>
              <w:t>50</w:t>
            </w:r>
            <w:r>
              <w:rPr>
                <w:color w:val="000000" w:themeColor="text1"/>
                <w:sz w:val="24"/>
                <w14:textFill>
                  <w14:solidFill>
                    <w14:schemeClr w14:val="tx1"/>
                  </w14:solidFill>
                </w14:textFill>
              </w:rPr>
              <w:t>%（适宜</w:t>
            </w:r>
            <w:r>
              <w:rPr>
                <w:rFonts w:hint="eastAsia"/>
                <w:color w:val="000000" w:themeColor="text1"/>
                <w:sz w:val="24"/>
                <w14:textFill>
                  <w14:solidFill>
                    <w14:schemeClr w14:val="tx1"/>
                  </w14:solidFill>
                </w14:textFill>
              </w:rPr>
              <w:t>粉碎</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50198E6B">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：干燥粉料飞扬产生的粉尘（颗粒物）</w:t>
            </w:r>
            <w:r>
              <w:rPr>
                <w:rFonts w:hint="eastAsia"/>
                <w:color w:val="000000" w:themeColor="text1"/>
                <w:sz w:val="24"/>
                <w14:textFill>
                  <w14:solidFill>
                    <w14:schemeClr w14:val="tx1"/>
                  </w14:solidFill>
                </w14:textFill>
              </w:rPr>
              <w:t>G2-2</w:t>
            </w:r>
            <w:r>
              <w:rPr>
                <w:color w:val="000000" w:themeColor="text1"/>
                <w:sz w:val="24"/>
                <w14:textFill>
                  <w14:solidFill>
                    <w14:schemeClr w14:val="tx1"/>
                  </w14:solidFill>
                </w14:textFill>
              </w:rPr>
              <w:t>；扑粉设备运行的机械噪声</w:t>
            </w:r>
            <w:r>
              <w:rPr>
                <w:rFonts w:hint="eastAsia"/>
                <w:color w:val="000000" w:themeColor="text1"/>
                <w:sz w:val="24"/>
                <w14:textFill>
                  <w14:solidFill>
                    <w14:schemeClr w14:val="tx1"/>
                  </w14:solidFill>
                </w14:textFill>
              </w:rPr>
              <w:t>N2-2、N2-6</w:t>
            </w:r>
            <w:r>
              <w:rPr>
                <w:color w:val="000000" w:themeColor="text1"/>
                <w:sz w:val="24"/>
                <w14:textFill>
                  <w14:solidFill>
                    <w14:schemeClr w14:val="tx1"/>
                  </w14:solidFill>
                </w14:textFill>
              </w:rPr>
              <w:t>。</w:t>
            </w:r>
          </w:p>
          <w:p w14:paraId="552608A4">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（3）搅拌工段</w:t>
            </w:r>
          </w:p>
          <w:p w14:paraId="0BA952B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两套搅拌机。第一套搅拌</w:t>
            </w:r>
            <w:r>
              <w:rPr>
                <w:color w:val="000000" w:themeColor="text1"/>
                <w:sz w:val="24"/>
                <w14:textFill>
                  <w14:solidFill>
                    <w14:schemeClr w14:val="tx1"/>
                  </w14:solidFill>
                </w14:textFill>
              </w:rPr>
              <w:t>将菜渣、辅料、扑粉物料导入</w:t>
            </w:r>
            <w:r>
              <w:rPr>
                <w:rFonts w:hint="eastAsia"/>
                <w:color w:val="000000" w:themeColor="text1"/>
                <w:sz w:val="24"/>
                <w14:textFill>
                  <w14:solidFill>
                    <w14:schemeClr w14:val="tx1"/>
                  </w14:solidFill>
                </w14:textFill>
              </w:rPr>
              <w:t>500型双轴</w:t>
            </w:r>
            <w:r>
              <w:rPr>
                <w:color w:val="000000" w:themeColor="text1"/>
                <w:sz w:val="24"/>
                <w14:textFill>
                  <w14:solidFill>
                    <w14:schemeClr w14:val="tx1"/>
                  </w14:solidFill>
                </w14:textFill>
              </w:rPr>
              <w:t>搅拌机，搅拌10-20分钟至无明显结块，使水分、碳氮比及物料成分均匀分布，确保发酵反应一致性</w:t>
            </w:r>
            <w:r>
              <w:rPr>
                <w:rFonts w:hint="eastAsia"/>
                <w:color w:val="000000" w:themeColor="text1"/>
                <w:sz w:val="24"/>
                <w14:textFill>
                  <w14:solidFill>
                    <w14:schemeClr w14:val="tx1"/>
                  </w14:solidFill>
                </w14:textFill>
              </w:rPr>
              <w:t>。</w:t>
            </w:r>
          </w:p>
          <w:p w14:paraId="1EE1FB9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第二套搅拌将菌剂、多元素配料物、发酵混合物导</w:t>
            </w:r>
            <w:r>
              <w:rPr>
                <w:color w:val="000000" w:themeColor="text1"/>
                <w:sz w:val="24"/>
                <w14:textFill>
                  <w14:solidFill>
                    <w14:schemeClr w14:val="tx1"/>
                  </w14:solidFill>
                </w14:textFill>
              </w:rPr>
              <w:t>入</w:t>
            </w:r>
            <w:r>
              <w:rPr>
                <w:rFonts w:hint="eastAsia"/>
                <w:color w:val="000000" w:themeColor="text1"/>
                <w:sz w:val="24"/>
                <w14:textFill>
                  <w14:solidFill>
                    <w14:schemeClr w14:val="tx1"/>
                  </w14:solidFill>
                </w14:textFill>
              </w:rPr>
              <w:t>500型双轴</w:t>
            </w:r>
            <w:r>
              <w:rPr>
                <w:color w:val="000000" w:themeColor="text1"/>
                <w:sz w:val="24"/>
                <w14:textFill>
                  <w14:solidFill>
                    <w14:schemeClr w14:val="tx1"/>
                  </w14:solidFill>
                </w14:textFill>
              </w:rPr>
              <w:t>搅拌机</w:t>
            </w:r>
            <w:r>
              <w:rPr>
                <w:rFonts w:hint="eastAsia"/>
                <w:color w:val="000000" w:themeColor="text1"/>
                <w:sz w:val="24"/>
                <w14:textFill>
                  <w14:solidFill>
                    <w14:schemeClr w14:val="tx1"/>
                  </w14:solidFill>
                </w14:textFill>
              </w:rPr>
              <w:t>（长型）</w:t>
            </w:r>
            <w:r>
              <w:rPr>
                <w:color w:val="000000" w:themeColor="text1"/>
                <w:sz w:val="24"/>
                <w14:textFill>
                  <w14:solidFill>
                    <w14:schemeClr w14:val="tx1"/>
                  </w14:solidFill>
                </w14:textFill>
              </w:rPr>
              <w:t>搅拌10-20分钟至无明显结块，使水分、碳氮比及物料成分均匀分布</w:t>
            </w:r>
            <w:r>
              <w:rPr>
                <w:rFonts w:hint="eastAsia"/>
                <w:color w:val="000000" w:themeColor="text1"/>
                <w:sz w:val="24"/>
                <w14:textFill>
                  <w14:solidFill>
                    <w14:schemeClr w14:val="tx1"/>
                  </w14:solidFill>
                </w14:textFill>
              </w:rPr>
              <w:t>。</w:t>
            </w:r>
          </w:p>
          <w:p w14:paraId="1AB993E5">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：搅拌机运行的机械噪声</w:t>
            </w:r>
            <w:r>
              <w:rPr>
                <w:rFonts w:hint="eastAsia"/>
                <w:color w:val="000000" w:themeColor="text1"/>
                <w:sz w:val="24"/>
                <w14:textFill>
                  <w14:solidFill>
                    <w14:schemeClr w14:val="tx1"/>
                  </w14:solidFill>
                </w14:textFill>
              </w:rPr>
              <w:t>N2-3、N2-7</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搅拌废气G2-7</w:t>
            </w:r>
            <w:r>
              <w:rPr>
                <w:color w:val="000000" w:themeColor="text1"/>
                <w:sz w:val="24"/>
                <w14:textFill>
                  <w14:solidFill>
                    <w14:schemeClr w14:val="tx1"/>
                  </w14:solidFill>
                </w14:textFill>
              </w:rPr>
              <w:t>。</w:t>
            </w:r>
          </w:p>
          <w:p w14:paraId="60779274">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（4）翻堆发酵工段</w:t>
            </w:r>
          </w:p>
          <w:p w14:paraId="3CE0998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将混合物料输送至槽式发酵设施，通过翻堆机每天1-2次翻堆，维持好氧环境。发酵过程中微生物分解有机物产热，温度升至</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70</w:t>
            </w:r>
            <w:r>
              <w:rPr>
                <w:color w:val="000000" w:themeColor="text1"/>
                <w:sz w:val="24"/>
                <w14:textFill>
                  <w14:solidFill>
                    <w14:schemeClr w14:val="tx1"/>
                  </w14:solidFill>
                </w14:textFill>
              </w:rPr>
              <w:t>℃（高温杀菌），持续7-</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天至物料腐熟（颜色变黑、无恶臭、质地疏松）</w:t>
            </w:r>
            <w:r>
              <w:rPr>
                <w:rFonts w:hint="eastAsia"/>
                <w:color w:val="000000" w:themeColor="text1"/>
                <w:sz w:val="24"/>
                <w14:textFill>
                  <w14:solidFill>
                    <w14:schemeClr w14:val="tx1"/>
                  </w14:solidFill>
                </w14:textFill>
              </w:rPr>
              <w:t>，水分降至</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p w14:paraId="3E40A7B4">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：发酵废气（氨气、硫化氢）</w:t>
            </w:r>
            <w:r>
              <w:rPr>
                <w:rFonts w:hint="eastAsia"/>
                <w:color w:val="000000" w:themeColor="text1"/>
                <w:sz w:val="24"/>
                <w14:textFill>
                  <w14:solidFill>
                    <w14:schemeClr w14:val="tx1"/>
                  </w14:solidFill>
                </w14:textFill>
              </w:rPr>
              <w:t>G2-3</w:t>
            </w:r>
            <w:r>
              <w:rPr>
                <w:color w:val="000000" w:themeColor="text1"/>
                <w:sz w:val="24"/>
                <w14:textFill>
                  <w14:solidFill>
                    <w14:schemeClr w14:val="tx1"/>
                  </w14:solidFill>
                </w14:textFill>
              </w:rPr>
              <w:t>；物料水分过高渗出的渗滤液（含有机物、氮磷）</w:t>
            </w:r>
            <w:r>
              <w:rPr>
                <w:rFonts w:hint="eastAsia"/>
                <w:color w:val="000000" w:themeColor="text1"/>
                <w:sz w:val="24"/>
                <w14:textFill>
                  <w14:solidFill>
                    <w14:schemeClr w14:val="tx1"/>
                  </w14:solidFill>
                </w14:textFill>
              </w:rPr>
              <w:t>W2-1</w:t>
            </w:r>
            <w:r>
              <w:rPr>
                <w:color w:val="000000" w:themeColor="text1"/>
                <w:sz w:val="24"/>
                <w14:textFill>
                  <w14:solidFill>
                    <w14:schemeClr w14:val="tx1"/>
                  </w14:solidFill>
                </w14:textFill>
              </w:rPr>
              <w:t>；翻堆机运行的机械噪声</w:t>
            </w:r>
            <w:r>
              <w:rPr>
                <w:rFonts w:hint="eastAsia"/>
                <w:color w:val="000000" w:themeColor="text1"/>
                <w:sz w:val="24"/>
                <w14:textFill>
                  <w14:solidFill>
                    <w14:schemeClr w14:val="tx1"/>
                  </w14:solidFill>
                </w14:textFill>
              </w:rPr>
              <w:t>N2-4</w:t>
            </w:r>
            <w:r>
              <w:rPr>
                <w:color w:val="000000" w:themeColor="text1"/>
                <w:sz w:val="24"/>
                <w14:textFill>
                  <w14:solidFill>
                    <w14:schemeClr w14:val="tx1"/>
                  </w14:solidFill>
                </w14:textFill>
              </w:rPr>
              <w:t>；未完全腐熟物料（需回堆，固废）</w:t>
            </w:r>
            <w:r>
              <w:rPr>
                <w:rFonts w:hint="eastAsia"/>
                <w:color w:val="000000" w:themeColor="text1"/>
                <w:sz w:val="24"/>
                <w14:textFill>
                  <w14:solidFill>
                    <w14:schemeClr w14:val="tx1"/>
                  </w14:solidFill>
                </w14:textFill>
              </w:rPr>
              <w:t>S2-1</w:t>
            </w:r>
            <w:r>
              <w:rPr>
                <w:color w:val="000000" w:themeColor="text1"/>
                <w:sz w:val="24"/>
                <w14:textFill>
                  <w14:solidFill>
                    <w14:schemeClr w14:val="tx1"/>
                  </w14:solidFill>
                </w14:textFill>
              </w:rPr>
              <w:t>。</w:t>
            </w:r>
          </w:p>
          <w:p w14:paraId="7000A6DA">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（5）菌剂投加工段</w:t>
            </w:r>
          </w:p>
          <w:p w14:paraId="4198808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发酵腐熟后的物料进入投加机装置，按</w:t>
            </w:r>
            <w:r>
              <w:rPr>
                <w:rFonts w:hint="eastAsia"/>
                <w:color w:val="000000" w:themeColor="text1"/>
                <w:sz w:val="24"/>
                <w14:textFill>
                  <w14:solidFill>
                    <w14:schemeClr w14:val="tx1"/>
                  </w14:solidFill>
                </w14:textFill>
              </w:rPr>
              <w:t>一定</w:t>
            </w:r>
            <w:r>
              <w:rPr>
                <w:color w:val="000000" w:themeColor="text1"/>
                <w:sz w:val="24"/>
                <w14:textFill>
                  <w14:solidFill>
                    <w14:schemeClr w14:val="tx1"/>
                  </w14:solidFill>
                </w14:textFill>
              </w:rPr>
              <w:t>比例添加</w:t>
            </w:r>
            <w:r>
              <w:rPr>
                <w:rFonts w:hint="eastAsia"/>
                <w:color w:val="000000" w:themeColor="text1"/>
                <w:sz w:val="24"/>
                <w14:textFill>
                  <w14:solidFill>
                    <w14:schemeClr w14:val="tx1"/>
                  </w14:solidFill>
                </w14:textFill>
              </w:rPr>
              <w:t>微生物菌剂及多元素矿物质</w:t>
            </w:r>
            <w:r>
              <w:rPr>
                <w:color w:val="000000" w:themeColor="text1"/>
                <w:sz w:val="24"/>
                <w14:textFill>
                  <w14:solidFill>
                    <w14:schemeClr w14:val="tx1"/>
                  </w14:solidFill>
                </w14:textFill>
              </w:rPr>
              <w:t>，通过</w:t>
            </w:r>
            <w:r>
              <w:rPr>
                <w:rFonts w:hint="eastAsia"/>
                <w:color w:val="000000" w:themeColor="text1"/>
                <w:sz w:val="24"/>
                <w14:textFill>
                  <w14:solidFill>
                    <w14:schemeClr w14:val="tx1"/>
                  </w14:solidFill>
                </w14:textFill>
              </w:rPr>
              <w:t>搅拌</w:t>
            </w:r>
            <w:r>
              <w:rPr>
                <w:color w:val="000000" w:themeColor="text1"/>
                <w:sz w:val="24"/>
                <w14:textFill>
                  <w14:solidFill>
                    <w14:schemeClr w14:val="tx1"/>
                  </w14:solidFill>
                </w14:textFill>
              </w:rPr>
              <w:t>均匀混合，增强有机肥生物活性。</w:t>
            </w:r>
          </w:p>
          <w:p w14:paraId="0C2E226E">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：干粉菌剂飞扬产生的</w:t>
            </w:r>
            <w:r>
              <w:rPr>
                <w:rFonts w:hint="eastAsia"/>
                <w:color w:val="000000" w:themeColor="text1"/>
                <w:sz w:val="24"/>
                <w14:textFill>
                  <w14:solidFill>
                    <w14:schemeClr w14:val="tx1"/>
                  </w14:solidFill>
                </w14:textFill>
              </w:rPr>
              <w:t>投加</w:t>
            </w:r>
            <w:r>
              <w:rPr>
                <w:color w:val="000000" w:themeColor="text1"/>
                <w:sz w:val="24"/>
                <w14:textFill>
                  <w14:solidFill>
                    <w14:schemeClr w14:val="tx1"/>
                  </w14:solidFill>
                </w14:textFill>
              </w:rPr>
              <w:t>粉尘（颗粒物）</w:t>
            </w:r>
            <w:r>
              <w:rPr>
                <w:rFonts w:hint="eastAsia"/>
                <w:color w:val="000000" w:themeColor="text1"/>
                <w:sz w:val="24"/>
                <w14:textFill>
                  <w14:solidFill>
                    <w14:schemeClr w14:val="tx1"/>
                  </w14:solidFill>
                </w14:textFill>
              </w:rPr>
              <w:t>G2-1</w:t>
            </w:r>
            <w:r>
              <w:rPr>
                <w:color w:val="000000" w:themeColor="text1"/>
                <w:sz w:val="24"/>
                <w14:textFill>
                  <w14:solidFill>
                    <w14:schemeClr w14:val="tx1"/>
                  </w14:solidFill>
                </w14:textFill>
              </w:rPr>
              <w:t>；投料系统运行的机械噪声</w:t>
            </w:r>
            <w:r>
              <w:rPr>
                <w:rFonts w:hint="eastAsia"/>
                <w:color w:val="000000" w:themeColor="text1"/>
                <w:sz w:val="24"/>
                <w14:textFill>
                  <w14:solidFill>
                    <w14:schemeClr w14:val="tx1"/>
                  </w14:solidFill>
                </w14:textFill>
              </w:rPr>
              <w:t>N2-5</w:t>
            </w:r>
            <w:r>
              <w:rPr>
                <w:color w:val="000000" w:themeColor="text1"/>
                <w:sz w:val="24"/>
                <w14:textFill>
                  <w14:solidFill>
                    <w14:schemeClr w14:val="tx1"/>
                  </w14:solidFill>
                </w14:textFill>
              </w:rPr>
              <w:t>。</w:t>
            </w:r>
          </w:p>
          <w:p w14:paraId="0A83DA0B">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（6）粉碎工段</w:t>
            </w:r>
          </w:p>
          <w:p w14:paraId="2F47D9F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将添加菌剂的腐熟物料导入</w:t>
            </w:r>
            <w:r>
              <w:rPr>
                <w:rFonts w:hint="eastAsia"/>
                <w:color w:val="000000" w:themeColor="text1"/>
                <w:sz w:val="24"/>
                <w14:textFill>
                  <w14:solidFill>
                    <w14:schemeClr w14:val="tx1"/>
                  </w14:solidFill>
                </w14:textFill>
              </w:rPr>
              <w:t>60型立式</w:t>
            </w:r>
            <w:r>
              <w:rPr>
                <w:color w:val="000000" w:themeColor="text1"/>
                <w:sz w:val="24"/>
                <w14:textFill>
                  <w14:solidFill>
                    <w14:schemeClr w14:val="tx1"/>
                  </w14:solidFill>
                </w14:textFill>
              </w:rPr>
              <w:t>粉碎机，粉碎至粒度≤1mm（符合粉状有机肥标准），使成品粒度均匀，便于后续筛分。</w:t>
            </w:r>
          </w:p>
          <w:p w14:paraId="07049AC2">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：粉碎过</w:t>
            </w:r>
            <w:r>
              <w:rPr>
                <w:rFonts w:hint="eastAsia"/>
                <w:color w:val="000000" w:themeColor="text1"/>
                <w:sz w:val="24"/>
                <w14:textFill>
                  <w14:solidFill>
                    <w14:schemeClr w14:val="tx1"/>
                  </w14:solidFill>
                </w14:textFill>
              </w:rPr>
              <w:t>程中</w:t>
            </w:r>
            <w:r>
              <w:rPr>
                <w:color w:val="000000" w:themeColor="text1"/>
                <w:sz w:val="24"/>
                <w14:textFill>
                  <w14:solidFill>
                    <w14:schemeClr w14:val="tx1"/>
                  </w14:solidFill>
                </w14:textFill>
              </w:rPr>
              <w:t>产生的大量</w:t>
            </w:r>
            <w:r>
              <w:rPr>
                <w:rFonts w:hint="eastAsia"/>
                <w:color w:val="000000" w:themeColor="text1"/>
                <w:sz w:val="24"/>
                <w14:textFill>
                  <w14:solidFill>
                    <w14:schemeClr w14:val="tx1"/>
                  </w14:solidFill>
                </w14:textFill>
              </w:rPr>
              <w:t>粉碎</w:t>
            </w:r>
            <w:r>
              <w:rPr>
                <w:color w:val="000000" w:themeColor="text1"/>
                <w:sz w:val="24"/>
                <w14:textFill>
                  <w14:solidFill>
                    <w14:schemeClr w14:val="tx1"/>
                  </w14:solidFill>
                </w14:textFill>
              </w:rPr>
              <w:t>粉尘（颗粒物PM10）</w:t>
            </w:r>
            <w:r>
              <w:rPr>
                <w:rFonts w:hint="eastAsia"/>
                <w:color w:val="000000" w:themeColor="text1"/>
                <w:sz w:val="24"/>
                <w14:textFill>
                  <w14:solidFill>
                    <w14:schemeClr w14:val="tx1"/>
                  </w14:solidFill>
                </w14:textFill>
              </w:rPr>
              <w:t>G2-4</w:t>
            </w:r>
            <w:r>
              <w:rPr>
                <w:color w:val="000000" w:themeColor="text1"/>
                <w:sz w:val="24"/>
                <w14:textFill>
                  <w14:solidFill>
                    <w14:schemeClr w14:val="tx1"/>
                  </w14:solidFill>
                </w14:textFill>
              </w:rPr>
              <w:t>；粉碎机运行的高噪声（≥85dB）</w:t>
            </w:r>
            <w:r>
              <w:rPr>
                <w:rFonts w:hint="eastAsia"/>
                <w:color w:val="000000" w:themeColor="text1"/>
                <w:sz w:val="24"/>
                <w14:textFill>
                  <w14:solidFill>
                    <w14:schemeClr w14:val="tx1"/>
                  </w14:solidFill>
                </w14:textFill>
              </w:rPr>
              <w:t>N2-8</w:t>
            </w:r>
            <w:r>
              <w:rPr>
                <w:color w:val="000000" w:themeColor="text1"/>
                <w:sz w:val="24"/>
                <w14:textFill>
                  <w14:solidFill>
                    <w14:schemeClr w14:val="tx1"/>
                  </w14:solidFill>
                </w14:textFill>
              </w:rPr>
              <w:t>。</w:t>
            </w:r>
          </w:p>
          <w:p w14:paraId="05FF7BFD">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 筛分工段</w:t>
            </w:r>
          </w:p>
          <w:p w14:paraId="3F9F6DA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粉碎物料进入振动筛或滚筒筛，通过孔径≤1mm的筛网分离合格细粉（进入成品环节）与粗粉（返回粉碎工段），保证成品粒度均匀。</w:t>
            </w:r>
          </w:p>
          <w:p w14:paraId="06F1C1D1">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：物料翻动产生的</w:t>
            </w:r>
            <w:r>
              <w:rPr>
                <w:rFonts w:hint="eastAsia"/>
                <w:color w:val="000000" w:themeColor="text1"/>
                <w:sz w:val="24"/>
                <w14:textFill>
                  <w14:solidFill>
                    <w14:schemeClr w14:val="tx1"/>
                  </w14:solidFill>
                </w14:textFill>
              </w:rPr>
              <w:t>筛分</w:t>
            </w:r>
            <w:r>
              <w:rPr>
                <w:color w:val="000000" w:themeColor="text1"/>
                <w:sz w:val="24"/>
                <w14:textFill>
                  <w14:solidFill>
                    <w14:schemeClr w14:val="tx1"/>
                  </w14:solidFill>
                </w14:textFill>
              </w:rPr>
              <w:t>粉尘（颗粒物）</w:t>
            </w:r>
            <w:r>
              <w:rPr>
                <w:rFonts w:hint="eastAsia"/>
                <w:color w:val="000000" w:themeColor="text1"/>
                <w:sz w:val="24"/>
                <w14:textFill>
                  <w14:solidFill>
                    <w14:schemeClr w14:val="tx1"/>
                  </w14:solidFill>
                </w14:textFill>
              </w:rPr>
              <w:t>G2-5</w:t>
            </w:r>
            <w:r>
              <w:rPr>
                <w:color w:val="000000" w:themeColor="text1"/>
                <w:sz w:val="24"/>
                <w14:textFill>
                  <w14:solidFill>
                    <w14:schemeClr w14:val="tx1"/>
                  </w14:solidFill>
                </w14:textFill>
              </w:rPr>
              <w:t>；筛分机运行的机械噪声</w:t>
            </w:r>
            <w:r>
              <w:rPr>
                <w:rFonts w:hint="eastAsia"/>
                <w:color w:val="000000" w:themeColor="text1"/>
                <w:sz w:val="24"/>
                <w14:textFill>
                  <w14:solidFill>
                    <w14:schemeClr w14:val="tx1"/>
                  </w14:solidFill>
                </w14:textFill>
              </w:rPr>
              <w:t>N2-9</w:t>
            </w:r>
            <w:r>
              <w:rPr>
                <w:color w:val="000000" w:themeColor="text1"/>
                <w:sz w:val="24"/>
                <w14:textFill>
                  <w14:solidFill>
                    <w14:schemeClr w14:val="tx1"/>
                  </w14:solidFill>
                </w14:textFill>
              </w:rPr>
              <w:t>；筛分出的</w:t>
            </w:r>
            <w:r>
              <w:rPr>
                <w:rFonts w:hint="eastAsia"/>
                <w:color w:val="000000" w:themeColor="text1"/>
                <w:sz w:val="24"/>
                <w14:textFill>
                  <w14:solidFill>
                    <w14:schemeClr w14:val="tx1"/>
                  </w14:solidFill>
                </w14:textFill>
              </w:rPr>
              <w:t>筛上物</w:t>
            </w:r>
            <w:r>
              <w:rPr>
                <w:color w:val="000000" w:themeColor="text1"/>
                <w:sz w:val="24"/>
                <w14:textFill>
                  <w14:solidFill>
                    <w14:schemeClr w14:val="tx1"/>
                  </w14:solidFill>
                </w14:textFill>
              </w:rPr>
              <w:t>（固废，回粉碎</w:t>
            </w:r>
            <w:r>
              <w:rPr>
                <w:rFonts w:hint="eastAsia"/>
                <w:color w:val="000000" w:themeColor="text1"/>
                <w:sz w:val="24"/>
                <w14:textFill>
                  <w14:solidFill>
                    <w14:schemeClr w14:val="tx1"/>
                  </w14:solidFill>
                </w14:textFill>
              </w:rPr>
              <w:t>工段</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S2-2</w:t>
            </w:r>
            <w:r>
              <w:rPr>
                <w:color w:val="000000" w:themeColor="text1"/>
                <w:sz w:val="24"/>
                <w14:textFill>
                  <w14:solidFill>
                    <w14:schemeClr w14:val="tx1"/>
                  </w14:solidFill>
                </w14:textFill>
              </w:rPr>
              <w:t>。</w:t>
            </w:r>
          </w:p>
          <w:p w14:paraId="5074497E">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（8）检验包装工段</w:t>
            </w:r>
          </w:p>
          <w:p w14:paraId="605F115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成品送检验室检测（有机质、氮磷钾、水分、粒度、重金属、有害菌等指标），符合GB/T 25247-2010标准后，通过自动包装机计量包装（25kg/袋或50kg/袋），封口贴标。</w:t>
            </w:r>
          </w:p>
          <w:p w14:paraId="4C25F973">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：检验样品废弃物（固废）</w:t>
            </w:r>
            <w:r>
              <w:rPr>
                <w:rFonts w:hint="eastAsia"/>
                <w:color w:val="000000" w:themeColor="text1"/>
                <w:sz w:val="24"/>
                <w14:textFill>
                  <w14:solidFill>
                    <w14:schemeClr w14:val="tx1"/>
                  </w14:solidFill>
                </w14:textFill>
              </w:rPr>
              <w:t>S2-3</w:t>
            </w:r>
            <w:r>
              <w:rPr>
                <w:color w:val="000000" w:themeColor="text1"/>
                <w:sz w:val="24"/>
                <w14:textFill>
                  <w14:solidFill>
                    <w14:schemeClr w14:val="tx1"/>
                  </w14:solidFill>
                </w14:textFill>
              </w:rPr>
              <w:t>；包装材料边角料（编织袋、塑料袋，固废）</w:t>
            </w:r>
            <w:r>
              <w:rPr>
                <w:rFonts w:hint="eastAsia"/>
                <w:color w:val="000000" w:themeColor="text1"/>
                <w:sz w:val="24"/>
                <w14:textFill>
                  <w14:solidFill>
                    <w14:schemeClr w14:val="tx1"/>
                  </w14:solidFill>
                </w14:textFill>
              </w:rPr>
              <w:t>S2-4</w:t>
            </w:r>
            <w:r>
              <w:rPr>
                <w:color w:val="000000" w:themeColor="text1"/>
                <w:sz w:val="24"/>
                <w14:textFill>
                  <w14:solidFill>
                    <w14:schemeClr w14:val="tx1"/>
                  </w14:solidFill>
                </w14:textFill>
              </w:rPr>
              <w:t>；包装机运行的机械噪声</w:t>
            </w:r>
            <w:r>
              <w:rPr>
                <w:rFonts w:hint="eastAsia"/>
                <w:color w:val="000000" w:themeColor="text1"/>
                <w:sz w:val="24"/>
                <w14:textFill>
                  <w14:solidFill>
                    <w14:schemeClr w14:val="tx1"/>
                  </w14:solidFill>
                </w14:textFill>
              </w:rPr>
              <w:t>N2-10,下料口粉尘G2-6</w:t>
            </w:r>
            <w:r>
              <w:rPr>
                <w:color w:val="000000" w:themeColor="text1"/>
                <w:sz w:val="24"/>
                <w14:textFill>
                  <w14:solidFill>
                    <w14:schemeClr w14:val="tx1"/>
                  </w14:solidFill>
                </w14:textFill>
              </w:rPr>
              <w:t>。</w:t>
            </w:r>
          </w:p>
          <w:p w14:paraId="6BA10B2B">
            <w:pPr>
              <w:pStyle w:val="8"/>
              <w:spacing w:line="360" w:lineRule="auto"/>
              <w:ind w:lef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（9）出库工段</w:t>
            </w:r>
          </w:p>
          <w:p w14:paraId="3F8A67F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包装成品通过叉车、传</w:t>
            </w:r>
            <w:r>
              <w:rPr>
                <w:rFonts w:hint="eastAsia" w:ascii="宋体" w:hAnsi="宋体" w:cs="宋体"/>
                <w:color w:val="000000" w:themeColor="text1"/>
                <w:sz w:val="24"/>
                <w14:textFill>
                  <w14:solidFill>
                    <w14:schemeClr w14:val="tx1"/>
                  </w14:solidFill>
                </w14:textFill>
              </w:rPr>
              <w:t>送带</w:t>
            </w:r>
            <w:r>
              <w:rPr>
                <w:color w:val="000000" w:themeColor="text1"/>
                <w:sz w:val="24"/>
                <w14:textFill>
                  <w14:solidFill>
                    <w14:schemeClr w14:val="tx1"/>
                  </w14:solidFill>
                </w14:textFill>
              </w:rPr>
              <w:t>运至仓库储存，根据订单装车出库交付客户。</w:t>
            </w:r>
          </w:p>
          <w:p w14:paraId="05FDB4D3">
            <w:pPr>
              <w:spacing w:line="360" w:lineRule="auto"/>
              <w:ind w:firstLine="482" w:firstLineChars="200"/>
              <w:rPr>
                <w:bCs/>
                <w:color w:val="000000" w:themeColor="text1"/>
                <w:kern w:val="0"/>
                <w:szCs w:val="21"/>
                <w14:textFill>
                  <w14:solidFill>
                    <w14:schemeClr w14:val="tx1"/>
                  </w14:solidFill>
                </w14:textFill>
              </w:rPr>
            </w:pPr>
            <w:r>
              <w:rPr>
                <w:b/>
                <w:color w:val="000000" w:themeColor="text1"/>
                <w:sz w:val="24"/>
                <w14:textFill>
                  <w14:solidFill>
                    <w14:schemeClr w14:val="tx1"/>
                  </w14:solidFill>
                </w14:textFill>
              </w:rPr>
              <w:t>产污节点</w:t>
            </w:r>
            <w:r>
              <w:rPr>
                <w:color w:val="000000" w:themeColor="text1"/>
                <w:sz w:val="24"/>
                <w14:textFill>
                  <w14:solidFill>
                    <w14:schemeClr w14:val="tx1"/>
                  </w14:solidFill>
                </w14:textFill>
              </w:rPr>
              <w:t>：叉车搬运的交通噪声N2-</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tc>
      </w:tr>
      <w:tr w14:paraId="6AE30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42D0411A">
            <w:pPr>
              <w:pStyle w:val="39"/>
              <w:widowControl w:val="0"/>
              <w:spacing w:before="0" w:beforeAutospacing="0" w:after="0" w:afterAutospacing="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bCs/>
                <w:color w:val="000000" w:themeColor="text1"/>
                <w:kern w:val="0"/>
                <w14:textFill>
                  <w14:solidFill>
                    <w14:schemeClr w14:val="tx1"/>
                  </w14:solidFill>
                </w14:textFill>
              </w:rPr>
              <w:t>与项目有关的原有环境污</w:t>
            </w:r>
            <w:r>
              <w:rPr>
                <w:rFonts w:hint="eastAsia" w:ascii="Times New Roman" w:hAnsi="Times New Roman"/>
                <w:bCs/>
                <w:color w:val="000000" w:themeColor="text1"/>
                <w:kern w:val="0"/>
                <w14:textFill>
                  <w14:solidFill>
                    <w14:schemeClr w14:val="tx1"/>
                  </w14:solidFill>
                </w14:textFill>
              </w:rPr>
              <w:t>染问题</w:t>
            </w:r>
          </w:p>
        </w:tc>
        <w:tc>
          <w:tcPr>
            <w:tcW w:w="8547" w:type="dxa"/>
          </w:tcPr>
          <w:p w14:paraId="6219A616">
            <w:pPr>
              <w:tabs>
                <w:tab w:val="left" w:pos="2395"/>
              </w:tabs>
              <w:spacing w:line="360" w:lineRule="auto"/>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一、现有工程环保手续情况：</w:t>
            </w:r>
          </w:p>
          <w:p w14:paraId="5AE7D6DA">
            <w:pPr>
              <w:tabs>
                <w:tab w:val="left" w:pos="2395"/>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2"/>
                <w14:textFill>
                  <w14:solidFill>
                    <w14:schemeClr w14:val="tx1"/>
                  </w14:solidFill>
                </w14:textFill>
              </w:rPr>
              <w:t>建设单位于2022年5月10日取得昆明市生态环境局寻甸分局关于《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2</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39</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w:t>
            </w:r>
            <w:r>
              <w:rPr>
                <w:rFonts w:hint="eastAsia"/>
                <w:color w:val="000000" w:themeColor="text1"/>
                <w:kern w:val="0"/>
                <w:sz w:val="24"/>
                <w14:textFill>
                  <w14:solidFill>
                    <w14:schemeClr w14:val="tx1"/>
                  </w14:solidFill>
                </w14:textFill>
              </w:rPr>
              <w:t>建设过程发生重大变动，于2023年6月21日取得昆生环寻复〔2023〕24号昆明市生态环境局寻甸分局关于对《云南锦创环境科技有限公司果蔬废弃物处理项目（变更）环境影响报告表的批复》。</w:t>
            </w:r>
            <w:r>
              <w:rPr>
                <w:rFonts w:hint="eastAsia"/>
                <w:color w:val="000000" w:themeColor="text1"/>
                <w:sz w:val="24"/>
                <w:szCs w:val="22"/>
                <w14:textFill>
                  <w14:solidFill>
                    <w14:schemeClr w14:val="tx1"/>
                  </w14:solidFill>
                </w14:textFill>
              </w:rPr>
              <w:t>在设备安装过程中，由于烟气处理措施与项目实际不适用，导致废气污染措施发生变化，污染量增加10%以上，项目发生重大变动重新报批，其余建设内容在重新报批前建设完成。并于2024年10月16日取得昆明市生态环境局寻甸分局关于《</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环境影响报告表（重新报批）》的批复，昆生环寻复</w:t>
            </w:r>
            <w:r>
              <w:rPr>
                <w:color w:val="000000" w:themeColor="text1"/>
                <w:sz w:val="24"/>
                <w:szCs w:val="22"/>
                <w14:textFill>
                  <w14:solidFill>
                    <w14:schemeClr w14:val="tx1"/>
                  </w14:solidFill>
                </w14:textFill>
              </w:rPr>
              <w:t>[202</w:t>
            </w:r>
            <w:r>
              <w:rPr>
                <w:rFonts w:hint="eastAsia"/>
                <w:color w:val="000000" w:themeColor="text1"/>
                <w:sz w:val="24"/>
                <w:szCs w:val="22"/>
                <w14:textFill>
                  <w14:solidFill>
                    <w14:schemeClr w14:val="tx1"/>
                  </w14:solidFill>
                </w14:textFill>
              </w:rPr>
              <w:t>4</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22</w:t>
            </w:r>
            <w:r>
              <w:rPr>
                <w:color w:val="000000" w:themeColor="text1"/>
                <w:sz w:val="24"/>
                <w:szCs w:val="22"/>
                <w14:textFill>
                  <w14:solidFill>
                    <w14:schemeClr w14:val="tx1"/>
                  </w14:solidFill>
                </w14:textFill>
              </w:rPr>
              <w:t>号</w:t>
            </w:r>
            <w:r>
              <w:rPr>
                <w:rFonts w:hint="eastAsia"/>
                <w:color w:val="000000" w:themeColor="text1"/>
                <w:sz w:val="24"/>
                <w:szCs w:val="22"/>
                <w14:textFill>
                  <w14:solidFill>
                    <w14:schemeClr w14:val="tx1"/>
                  </w14:solidFill>
                </w14:textFill>
              </w:rPr>
              <w:t>。于2024年 12月16日进行了排污许可登记，登记编号为 91530129MA7BBA1DXW001X，有效期为 2024 年 12 月 16 日至2029 年 12 月 15 日。</w:t>
            </w:r>
            <w:r>
              <w:rPr>
                <w:rFonts w:hint="eastAsia"/>
                <w:color w:val="000000" w:themeColor="text1"/>
                <w:sz w:val="24"/>
                <w:szCs w:val="22"/>
                <w:lang w:val="en-US" w:eastAsia="zh-CN"/>
                <w14:textFill>
                  <w14:solidFill>
                    <w14:schemeClr w14:val="tx1"/>
                  </w14:solidFill>
                </w14:textFill>
              </w:rPr>
              <w:t>于2024年12月26日编制完成《</w:t>
            </w:r>
            <w:r>
              <w:rPr>
                <w:rFonts w:hint="eastAsia" w:ascii="宋体" w:hAnsi="宋体" w:cs="宋体"/>
                <w:color w:val="000000" w:themeColor="text1"/>
                <w:kern w:val="0"/>
                <w:sz w:val="24"/>
                <w:lang w:bidi="ar"/>
                <w14:textFill>
                  <w14:solidFill>
                    <w14:schemeClr w14:val="tx1"/>
                  </w14:solidFill>
                </w14:textFill>
              </w:rPr>
              <w:t>云南錦创环境科技有限公司</w:t>
            </w:r>
            <w:r>
              <w:rPr>
                <w:rFonts w:hint="eastAsia"/>
                <w:color w:val="000000" w:themeColor="text1"/>
                <w:sz w:val="24"/>
                <w:szCs w:val="22"/>
                <w:lang w:val="en-US" w:eastAsia="zh-CN"/>
                <w14:textFill>
                  <w14:solidFill>
                    <w14:schemeClr w14:val="tx1"/>
                  </w14:solidFill>
                </w14:textFill>
              </w:rPr>
              <w:t>突发环境事件应急预案》，风险等级为较大，备案号为530-129-2024-146-M。</w:t>
            </w:r>
            <w:r>
              <w:rPr>
                <w:rFonts w:hint="eastAsia"/>
                <w:color w:val="000000" w:themeColor="text1"/>
                <w:sz w:val="24"/>
                <w:szCs w:val="22"/>
                <w14:textFill>
                  <w14:solidFill>
                    <w14:schemeClr w14:val="tx1"/>
                  </w14:solidFill>
                </w14:textFill>
              </w:rPr>
              <w:t>于2025年2月委托</w:t>
            </w:r>
            <w:r>
              <w:rPr>
                <w:color w:val="000000" w:themeColor="text1"/>
                <w:sz w:val="24"/>
                <w14:textFill>
                  <w14:solidFill>
                    <w14:schemeClr w14:val="tx1"/>
                  </w14:solidFill>
                </w14:textFill>
              </w:rPr>
              <w:t>编制完成了《</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通过了</w:t>
            </w:r>
            <w:r>
              <w:rPr>
                <w:color w:val="000000" w:themeColor="text1"/>
                <w:sz w:val="24"/>
                <w14:textFill>
                  <w14:solidFill>
                    <w14:schemeClr w14:val="tx1"/>
                  </w14:solidFill>
                </w14:textFill>
              </w:rPr>
              <w:t>竣工环境保护验收。</w:t>
            </w:r>
            <w:r>
              <w:rPr>
                <w:rFonts w:hint="eastAsia"/>
                <w:color w:val="000000" w:themeColor="text1"/>
                <w:sz w:val="24"/>
                <w14:textFill>
                  <w14:solidFill>
                    <w14:schemeClr w14:val="tx1"/>
                  </w14:solidFill>
                </w14:textFill>
              </w:rPr>
              <w:t>原项目环保手续齐全。</w:t>
            </w:r>
          </w:p>
          <w:p w14:paraId="238950E9">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二、拟扩建项目与现有工程依托关系：</w:t>
            </w:r>
          </w:p>
          <w:p w14:paraId="7382C992">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目前，建设单位生产过程中产品为蔬菜干饲料。</w:t>
            </w:r>
            <w:r>
              <w:rPr>
                <w:rFonts w:hint="eastAsia"/>
                <w:color w:val="000000" w:themeColor="text1"/>
                <w:kern w:val="0"/>
                <w:sz w:val="24"/>
                <w14:textFill>
                  <w14:solidFill>
                    <w14:schemeClr w14:val="tx1"/>
                  </w14:solidFill>
                </w14:textFill>
              </w:rPr>
              <w:t>2025年8月，因公司考虑运营成本问题及市场问题，计划在原</w:t>
            </w:r>
            <w:r>
              <w:rPr>
                <w:rFonts w:hint="eastAsia" w:ascii="宋体" w:hAnsi="宋体" w:cs="宋体"/>
                <w:color w:val="000000" w:themeColor="text1"/>
                <w:kern w:val="0"/>
                <w:sz w:val="24"/>
                <w:lang w:bidi="ar"/>
                <w14:textFill>
                  <w14:solidFill>
                    <w14:schemeClr w14:val="tx1"/>
                  </w14:solidFill>
                </w14:textFill>
              </w:rPr>
              <w:t>果蔬废弃物处理生产线基础上，</w:t>
            </w:r>
            <w:r>
              <w:rPr>
                <w:color w:val="000000" w:themeColor="text1"/>
                <w:kern w:val="0"/>
                <w:sz w:val="24"/>
                <w:lang w:bidi="ar"/>
                <w14:textFill>
                  <w14:solidFill>
                    <w14:schemeClr w14:val="tx1"/>
                  </w14:solidFill>
                </w14:textFill>
              </w:rPr>
              <w:t>增设2条生产线</w:t>
            </w:r>
            <w:r>
              <w:rPr>
                <w:color w:val="000000" w:themeColor="text1"/>
                <w:kern w:val="0"/>
                <w:sz w:val="24"/>
                <w14:textFill>
                  <w14:solidFill>
                    <w14:schemeClr w14:val="tx1"/>
                  </w14:solidFill>
                </w14:textFill>
              </w:rPr>
              <w:t>进行有机肥制造，</w:t>
            </w:r>
            <w:r>
              <w:rPr>
                <w:rFonts w:hint="eastAsia"/>
                <w:color w:val="000000" w:themeColor="text1"/>
                <w:kern w:val="0"/>
                <w:sz w:val="24"/>
                <w:lang w:val="en-US" w:eastAsia="zh-CN"/>
                <w14:textFill>
                  <w14:solidFill>
                    <w14:schemeClr w14:val="tx1"/>
                  </w14:solidFill>
                </w14:textFill>
              </w:rPr>
              <w:t>果蔬废弃物原料未增加，</w:t>
            </w:r>
            <w:r>
              <w:rPr>
                <w:color w:val="000000" w:themeColor="text1"/>
                <w:kern w:val="0"/>
                <w:sz w:val="24"/>
                <w14:textFill>
                  <w14:solidFill>
                    <w14:schemeClr w14:val="tx1"/>
                  </w14:solidFill>
                </w14:textFill>
              </w:rPr>
              <w:t>主要计划生产液态水溶肥及固态粉状有机肥两种产品。拟建项目新增用地租用大法古村土地3.6亩，进行粉状有机肥生产车间的建设。另水溶肥生产区域依托现云南锦创环境科技有限公司果蔬废弃物处理项目厂房内闲置区域（污水处理站旁空地），目前地面已硬化，租用自寻甸回族彝族自治县仁德</w:t>
            </w:r>
            <w:r>
              <w:rPr>
                <w:rFonts w:hint="eastAsia"/>
                <w:color w:val="000000" w:themeColor="text1"/>
                <w:kern w:val="0"/>
                <w:sz w:val="24"/>
                <w14:textFill>
                  <w14:solidFill>
                    <w14:schemeClr w14:val="tx1"/>
                  </w14:solidFill>
                </w14:textFill>
              </w:rPr>
              <w:t>街道办事处。</w:t>
            </w:r>
          </w:p>
          <w:p w14:paraId="2D71771F">
            <w:pPr>
              <w:numPr>
                <w:ilvl w:val="0"/>
                <w:numId w:val="13"/>
              </w:numPr>
              <w:spacing w:line="360" w:lineRule="auto"/>
              <w:ind w:firstLine="480" w:firstLineChars="200"/>
              <w:rPr>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现有工程基本情况</w:t>
            </w:r>
          </w:p>
          <w:p w14:paraId="6341A6F1">
            <w:pPr>
              <w:spacing w:line="360" w:lineRule="auto"/>
              <w:ind w:firstLine="480" w:firstLine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（1）生产规模及产品方案</w:t>
            </w:r>
          </w:p>
          <w:p w14:paraId="3C5C96DE">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项目生产规模和产品方案对比表</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6"/>
              <w:gridCol w:w="2277"/>
              <w:gridCol w:w="3411"/>
              <w:gridCol w:w="1809"/>
            </w:tblGrid>
            <w:tr w14:paraId="628D8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663" w:type="pct"/>
                  <w:vMerge w:val="restart"/>
                </w:tcPr>
                <w:p w14:paraId="69236FF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336" w:type="pct"/>
                  <w:gridSpan w:val="3"/>
                </w:tcPr>
                <w:p w14:paraId="1A1A3A72">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验收阶段</w:t>
                  </w:r>
                </w:p>
              </w:tc>
            </w:tr>
            <w:tr w14:paraId="1D74F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3" w:type="pct"/>
                  <w:vMerge w:val="continue"/>
                  <w:vAlign w:val="center"/>
                </w:tcPr>
                <w:p w14:paraId="67317BD8">
                  <w:pPr>
                    <w:adjustRightInd w:val="0"/>
                    <w:snapToGrid w:val="0"/>
                    <w:jc w:val="center"/>
                    <w:rPr>
                      <w:b/>
                      <w:bCs/>
                      <w:color w:val="000000" w:themeColor="text1"/>
                      <w:szCs w:val="21"/>
                      <w14:textFill>
                        <w14:solidFill>
                          <w14:schemeClr w14:val="tx1"/>
                        </w14:solidFill>
                      </w14:textFill>
                    </w:rPr>
                  </w:pPr>
                </w:p>
              </w:tc>
              <w:tc>
                <w:tcPr>
                  <w:tcW w:w="1317" w:type="pct"/>
                  <w:vAlign w:val="center"/>
                </w:tcPr>
                <w:p w14:paraId="0BB6CE1C">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产品名称</w:t>
                  </w:r>
                </w:p>
              </w:tc>
              <w:tc>
                <w:tcPr>
                  <w:tcW w:w="1973" w:type="pct"/>
                  <w:vAlign w:val="center"/>
                </w:tcPr>
                <w:p w14:paraId="6D461386">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产品规格</w:t>
                  </w:r>
                </w:p>
              </w:tc>
              <w:tc>
                <w:tcPr>
                  <w:tcW w:w="1045" w:type="pct"/>
                  <w:vAlign w:val="center"/>
                </w:tcPr>
                <w:p w14:paraId="3DD91EAE">
                  <w:pPr>
                    <w:adjustRightInd w:val="0"/>
                    <w:snapToGrid w:val="0"/>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数量</w:t>
                  </w:r>
                </w:p>
              </w:tc>
            </w:tr>
            <w:tr w14:paraId="787AE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3" w:type="pct"/>
                  <w:vAlign w:val="center"/>
                </w:tcPr>
                <w:p w14:paraId="0A8B822C">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317" w:type="pct"/>
                  <w:vAlign w:val="center"/>
                </w:tcPr>
                <w:p w14:paraId="0D89BF2D">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蔬菜干饲料</w:t>
                  </w:r>
                </w:p>
              </w:tc>
              <w:tc>
                <w:tcPr>
                  <w:tcW w:w="1973" w:type="pct"/>
                  <w:vAlign w:val="center"/>
                </w:tcPr>
                <w:p w14:paraId="1096F5D9">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根据市场需求调整</w:t>
                  </w:r>
                </w:p>
              </w:tc>
              <w:tc>
                <w:tcPr>
                  <w:tcW w:w="1045" w:type="pct"/>
                  <w:vAlign w:val="center"/>
                </w:tcPr>
                <w:p w14:paraId="06090F65">
                  <w:pPr>
                    <w:adjustRightInd w:val="0"/>
                    <w:snapToGrid w:val="0"/>
                    <w:jc w:val="center"/>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3.1万t/a</w:t>
                  </w:r>
                </w:p>
              </w:tc>
            </w:tr>
          </w:tbl>
          <w:p w14:paraId="3CE14840">
            <w:pPr>
              <w:spacing w:line="360" w:lineRule="auto"/>
              <w:ind w:firstLine="420" w:firstLine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Cs w:val="21"/>
                <w14:textFill>
                  <w14:solidFill>
                    <w14:schemeClr w14:val="tx1"/>
                  </w14:solidFill>
                </w14:textFill>
              </w:rPr>
              <w:t>注：市场原因，产量实际目前减少至3100吨/年。</w:t>
            </w:r>
          </w:p>
          <w:p w14:paraId="7295803F">
            <w:pPr>
              <w:numPr>
                <w:ilvl w:val="0"/>
                <w:numId w:val="14"/>
              </w:num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原辅材料</w:t>
            </w:r>
          </w:p>
          <w:p w14:paraId="63316AE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表2-</w:t>
            </w:r>
            <w:r>
              <w:rPr>
                <w:rFonts w:hint="eastAsia"/>
                <w:b/>
                <w:bCs/>
                <w:color w:val="000000" w:themeColor="text1"/>
                <w:szCs w:val="21"/>
                <w14:textFill>
                  <w14:solidFill>
                    <w14:schemeClr w14:val="tx1"/>
                  </w14:solidFill>
                </w14:textFill>
              </w:rPr>
              <w:t>9</w:t>
            </w:r>
            <w:r>
              <w:rPr>
                <w:b/>
                <w:bCs/>
                <w:color w:val="000000" w:themeColor="text1"/>
                <w:szCs w:val="21"/>
                <w14:textFill>
                  <w14:solidFill>
                    <w14:schemeClr w14:val="tx1"/>
                  </w14:solidFill>
                </w14:textFill>
              </w:rPr>
              <w:t>项目实际原辅材料消耗与环评对比表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663"/>
              <w:gridCol w:w="1647"/>
              <w:gridCol w:w="1770"/>
              <w:gridCol w:w="3112"/>
            </w:tblGrid>
            <w:tr w14:paraId="1A00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5BEA768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961" w:type="pct"/>
                  <w:vAlign w:val="center"/>
                </w:tcPr>
                <w:p w14:paraId="1F03186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952" w:type="pct"/>
                  <w:vAlign w:val="center"/>
                </w:tcPr>
                <w:p w14:paraId="56F37AF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环评消耗量</w:t>
                  </w:r>
                </w:p>
              </w:tc>
              <w:tc>
                <w:tcPr>
                  <w:tcW w:w="1023" w:type="pct"/>
                  <w:vAlign w:val="center"/>
                </w:tcPr>
                <w:p w14:paraId="23CFD37A">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实际消耗量</w:t>
                  </w:r>
                </w:p>
              </w:tc>
              <w:tc>
                <w:tcPr>
                  <w:tcW w:w="1798" w:type="pct"/>
                  <w:vAlign w:val="center"/>
                </w:tcPr>
                <w:p w14:paraId="2F71AE2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对比结果</w:t>
                  </w:r>
                </w:p>
              </w:tc>
            </w:tr>
            <w:tr w14:paraId="6D26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5BB9EC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61" w:type="pct"/>
                  <w:vAlign w:val="center"/>
                </w:tcPr>
                <w:p w14:paraId="11665C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果蔬废弃物</w:t>
                  </w:r>
                </w:p>
              </w:tc>
              <w:tc>
                <w:tcPr>
                  <w:tcW w:w="952" w:type="pct"/>
                  <w:vAlign w:val="center"/>
                </w:tcPr>
                <w:p w14:paraId="79D95B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1000t/d</w:t>
                  </w:r>
                </w:p>
              </w:tc>
              <w:tc>
                <w:tcPr>
                  <w:tcW w:w="1023" w:type="pct"/>
                  <w:vAlign w:val="center"/>
                </w:tcPr>
                <w:p w14:paraId="3BD78F06">
                  <w:pPr>
                    <w:jc w:val="center"/>
                    <w:rPr>
                      <w:color w:val="000000" w:themeColor="text1"/>
                      <w:szCs w:val="21"/>
                      <w:highlight w:val="red"/>
                      <w14:textFill>
                        <w14:solidFill>
                          <w14:schemeClr w14:val="tx1"/>
                        </w14:solidFill>
                      </w14:textFill>
                    </w:rPr>
                  </w:pPr>
                  <w:r>
                    <w:rPr>
                      <w:rFonts w:hint="eastAsia"/>
                      <w:color w:val="000000" w:themeColor="text1"/>
                      <w:szCs w:val="21"/>
                      <w14:textFill>
                        <w14:solidFill>
                          <w14:schemeClr w14:val="tx1"/>
                        </w14:solidFill>
                      </w14:textFill>
                    </w:rPr>
                    <w:t>1000</w:t>
                  </w:r>
                  <w:r>
                    <w:rPr>
                      <w:color w:val="000000" w:themeColor="text1"/>
                      <w:szCs w:val="21"/>
                      <w14:textFill>
                        <w14:solidFill>
                          <w14:schemeClr w14:val="tx1"/>
                        </w14:solidFill>
                      </w14:textFill>
                    </w:rPr>
                    <w:t>t/d</w:t>
                  </w:r>
                </w:p>
              </w:tc>
              <w:tc>
                <w:tcPr>
                  <w:tcW w:w="1798" w:type="pct"/>
                  <w:vAlign w:val="center"/>
                </w:tcPr>
                <w:p w14:paraId="7C7C81CF">
                  <w:pPr>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项目所使用的</w:t>
                  </w:r>
                  <w:r>
                    <w:rPr>
                      <w:rFonts w:hint="eastAsia"/>
                      <w:color w:val="000000" w:themeColor="text1"/>
                      <w:szCs w:val="21"/>
                      <w14:textFill>
                        <w14:solidFill>
                          <w14:schemeClr w14:val="tx1"/>
                        </w14:solidFill>
                      </w14:textFill>
                    </w:rPr>
                    <w:t>果蔬废弃物为品相不好、卖相不好的新鲜的废弃果蔬。验收阶段和环评阶段的主要原料均为果蔬废弃物，在来源和用量上未发生变化。</w:t>
                  </w:r>
                </w:p>
              </w:tc>
            </w:tr>
            <w:tr w14:paraId="7CF6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68D343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961" w:type="pct"/>
                  <w:vAlign w:val="center"/>
                </w:tcPr>
                <w:p w14:paraId="59CC4B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生物质颗粒燃料</w:t>
                  </w:r>
                </w:p>
              </w:tc>
              <w:tc>
                <w:tcPr>
                  <w:tcW w:w="952" w:type="pct"/>
                  <w:vAlign w:val="center"/>
                </w:tcPr>
                <w:p w14:paraId="19721E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11032t/a</w:t>
                  </w:r>
                </w:p>
              </w:tc>
              <w:tc>
                <w:tcPr>
                  <w:tcW w:w="1023" w:type="pct"/>
                  <w:vAlign w:val="center"/>
                </w:tcPr>
                <w:p w14:paraId="1FC95BFD">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10950t/a</w:t>
                  </w:r>
                </w:p>
              </w:tc>
              <w:tc>
                <w:tcPr>
                  <w:tcW w:w="1798" w:type="pct"/>
                  <w:vAlign w:val="center"/>
                </w:tcPr>
                <w:p w14:paraId="701FF7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增加0.74%</w:t>
                  </w:r>
                </w:p>
              </w:tc>
            </w:tr>
            <w:tr w14:paraId="4DCE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37175E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61" w:type="pct"/>
                  <w:vAlign w:val="center"/>
                </w:tcPr>
                <w:p w14:paraId="56B2B4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沼气</w:t>
                  </w:r>
                </w:p>
              </w:tc>
              <w:tc>
                <w:tcPr>
                  <w:tcW w:w="952" w:type="pct"/>
                  <w:vAlign w:val="center"/>
                </w:tcPr>
                <w:p w14:paraId="03C41C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23" w:type="pct"/>
                  <w:vAlign w:val="center"/>
                </w:tcPr>
                <w:p w14:paraId="2D8FD8F5">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110.97万m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798" w:type="pct"/>
                  <w:vAlign w:val="center"/>
                </w:tcPr>
                <w:p w14:paraId="38F5B42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5E89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04B9BB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61" w:type="pct"/>
                  <w:vAlign w:val="center"/>
                </w:tcPr>
                <w:p w14:paraId="1DE897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952" w:type="pct"/>
                  <w:vAlign w:val="center"/>
                </w:tcPr>
                <w:p w14:paraId="3E05FA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7175.555t/a</w:t>
                  </w:r>
                </w:p>
              </w:tc>
              <w:tc>
                <w:tcPr>
                  <w:tcW w:w="1023" w:type="pct"/>
                  <w:vAlign w:val="center"/>
                </w:tcPr>
                <w:p w14:paraId="3DE364DD">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5955.71t/a</w:t>
                  </w:r>
                </w:p>
              </w:tc>
              <w:tc>
                <w:tcPr>
                  <w:tcW w:w="1798" w:type="pct"/>
                  <w:vAlign w:val="center"/>
                </w:tcPr>
                <w:p w14:paraId="757AC7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减少17%</w:t>
                  </w:r>
                </w:p>
              </w:tc>
            </w:tr>
            <w:tr w14:paraId="115B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3D525A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61" w:type="pct"/>
                  <w:vAlign w:val="center"/>
                </w:tcPr>
                <w:p w14:paraId="52CB26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952" w:type="pct"/>
                  <w:vAlign w:val="center"/>
                </w:tcPr>
                <w:p w14:paraId="6DF0A62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582000kwh/a</w:t>
                  </w:r>
                </w:p>
              </w:tc>
              <w:tc>
                <w:tcPr>
                  <w:tcW w:w="1023" w:type="pct"/>
                  <w:vAlign w:val="center"/>
                </w:tcPr>
                <w:p w14:paraId="1E42C47A">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602000kwh/a</w:t>
                  </w:r>
                </w:p>
              </w:tc>
              <w:tc>
                <w:tcPr>
                  <w:tcW w:w="1798" w:type="pct"/>
                  <w:vAlign w:val="center"/>
                </w:tcPr>
                <w:p w14:paraId="37FAE534">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增加4.1%</w:t>
                  </w:r>
                </w:p>
              </w:tc>
            </w:tr>
            <w:tr w14:paraId="5EAA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4C05A2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961" w:type="pct"/>
                  <w:vAlign w:val="center"/>
                </w:tcPr>
                <w:p w14:paraId="64B570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脱硫剂</w:t>
                  </w:r>
                </w:p>
              </w:tc>
              <w:tc>
                <w:tcPr>
                  <w:tcW w:w="952" w:type="pct"/>
                  <w:vAlign w:val="center"/>
                </w:tcPr>
                <w:p w14:paraId="02BE02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16t/a</w:t>
                  </w:r>
                </w:p>
              </w:tc>
              <w:tc>
                <w:tcPr>
                  <w:tcW w:w="1023" w:type="pct"/>
                  <w:vAlign w:val="center"/>
                </w:tcPr>
                <w:p w14:paraId="0CEB479C">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16t/a</w:t>
                  </w:r>
                </w:p>
              </w:tc>
              <w:tc>
                <w:tcPr>
                  <w:tcW w:w="1798" w:type="pct"/>
                  <w:vAlign w:val="center"/>
                </w:tcPr>
                <w:p w14:paraId="778F21F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0D84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44E7D60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961" w:type="pct"/>
                  <w:vAlign w:val="center"/>
                </w:tcPr>
                <w:p w14:paraId="2132E4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生物除臭剂</w:t>
                  </w:r>
                </w:p>
              </w:tc>
              <w:tc>
                <w:tcPr>
                  <w:tcW w:w="952" w:type="pct"/>
                  <w:vAlign w:val="center"/>
                </w:tcPr>
                <w:p w14:paraId="15DB52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10t/a</w:t>
                  </w:r>
                </w:p>
              </w:tc>
              <w:tc>
                <w:tcPr>
                  <w:tcW w:w="1023" w:type="pct"/>
                  <w:vAlign w:val="center"/>
                </w:tcPr>
                <w:p w14:paraId="438BB23E">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10t/a</w:t>
                  </w:r>
                </w:p>
              </w:tc>
              <w:tc>
                <w:tcPr>
                  <w:tcW w:w="1798" w:type="pct"/>
                  <w:vAlign w:val="center"/>
                </w:tcPr>
                <w:p w14:paraId="5C725C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575F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6B0544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961" w:type="pct"/>
                  <w:vAlign w:val="center"/>
                </w:tcPr>
                <w:p w14:paraId="63AA44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活性炭</w:t>
                  </w:r>
                </w:p>
              </w:tc>
              <w:tc>
                <w:tcPr>
                  <w:tcW w:w="952" w:type="pct"/>
                  <w:vAlign w:val="center"/>
                </w:tcPr>
                <w:p w14:paraId="6A2D15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7.5t/a</w:t>
                  </w:r>
                </w:p>
              </w:tc>
              <w:tc>
                <w:tcPr>
                  <w:tcW w:w="1023" w:type="pct"/>
                  <w:vAlign w:val="center"/>
                </w:tcPr>
                <w:p w14:paraId="1626DB93">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7.5t/a</w:t>
                  </w:r>
                </w:p>
              </w:tc>
              <w:tc>
                <w:tcPr>
                  <w:tcW w:w="1798" w:type="pct"/>
                  <w:vAlign w:val="center"/>
                </w:tcPr>
                <w:p w14:paraId="4EAFE7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3F27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2A6F278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961" w:type="pct"/>
                  <w:vAlign w:val="center"/>
                </w:tcPr>
                <w:p w14:paraId="62A37C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絮凝剂</w:t>
                  </w:r>
                </w:p>
              </w:tc>
              <w:tc>
                <w:tcPr>
                  <w:tcW w:w="952" w:type="pct"/>
                  <w:vAlign w:val="center"/>
                </w:tcPr>
                <w:p w14:paraId="07A0B55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150t/a</w:t>
                  </w:r>
                </w:p>
              </w:tc>
              <w:tc>
                <w:tcPr>
                  <w:tcW w:w="1023" w:type="pct"/>
                  <w:vAlign w:val="center"/>
                </w:tcPr>
                <w:p w14:paraId="14C68314">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150t/a</w:t>
                  </w:r>
                </w:p>
              </w:tc>
              <w:tc>
                <w:tcPr>
                  <w:tcW w:w="1798" w:type="pct"/>
                  <w:vAlign w:val="center"/>
                </w:tcPr>
                <w:p w14:paraId="29FF21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7354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1D07FF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61" w:type="pct"/>
                  <w:vAlign w:val="center"/>
                </w:tcPr>
                <w:p w14:paraId="6C4AF0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石灰</w:t>
                  </w:r>
                </w:p>
              </w:tc>
              <w:tc>
                <w:tcPr>
                  <w:tcW w:w="952" w:type="pct"/>
                  <w:vAlign w:val="center"/>
                </w:tcPr>
                <w:p w14:paraId="6B06B6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3t/a</w:t>
                  </w:r>
                </w:p>
              </w:tc>
              <w:tc>
                <w:tcPr>
                  <w:tcW w:w="1023" w:type="pct"/>
                  <w:vAlign w:val="center"/>
                </w:tcPr>
                <w:p w14:paraId="7CB62108">
                  <w:pPr>
                    <w:jc w:val="center"/>
                    <w:rPr>
                      <w:color w:val="000000" w:themeColor="text1"/>
                      <w:szCs w:val="21"/>
                      <w:highlight w:val="red"/>
                      <w14:textFill>
                        <w14:solidFill>
                          <w14:schemeClr w14:val="tx1"/>
                        </w14:solidFill>
                      </w14:textFill>
                    </w:rPr>
                  </w:pPr>
                  <w:r>
                    <w:rPr>
                      <w:color w:val="000000" w:themeColor="text1"/>
                      <w:szCs w:val="21"/>
                      <w14:textFill>
                        <w14:solidFill>
                          <w14:schemeClr w14:val="tx1"/>
                        </w14:solidFill>
                      </w14:textFill>
                    </w:rPr>
                    <w:t>3t/a</w:t>
                  </w:r>
                </w:p>
              </w:tc>
              <w:tc>
                <w:tcPr>
                  <w:tcW w:w="1798" w:type="pct"/>
                  <w:vAlign w:val="center"/>
                </w:tcPr>
                <w:p w14:paraId="7A7AF7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未变化</w:t>
                  </w:r>
                </w:p>
              </w:tc>
            </w:tr>
            <w:tr w14:paraId="4E99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3" w:type="pct"/>
                  <w:vAlign w:val="center"/>
                </w:tcPr>
                <w:p w14:paraId="02A4D1F8">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w:t>
                  </w:r>
                </w:p>
              </w:tc>
              <w:tc>
                <w:tcPr>
                  <w:tcW w:w="961" w:type="pct"/>
                  <w:vAlign w:val="center"/>
                </w:tcPr>
                <w:p w14:paraId="6A13134E">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尿素</w:t>
                  </w:r>
                </w:p>
              </w:tc>
              <w:tc>
                <w:tcPr>
                  <w:tcW w:w="952" w:type="pct"/>
                  <w:vAlign w:val="center"/>
                </w:tcPr>
                <w:p w14:paraId="14D74D70">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1.1t/a</w:t>
                  </w:r>
                </w:p>
              </w:tc>
              <w:tc>
                <w:tcPr>
                  <w:tcW w:w="1023" w:type="pct"/>
                  <w:vAlign w:val="center"/>
                </w:tcPr>
                <w:p w14:paraId="5F380A03">
                  <w:pPr>
                    <w:jc w:val="center"/>
                    <w:rPr>
                      <w:b/>
                      <w:bCs/>
                      <w:color w:val="000000" w:themeColor="text1"/>
                      <w:sz w:val="24"/>
                      <w:highlight w:val="red"/>
                      <w14:textFill>
                        <w14:solidFill>
                          <w14:schemeClr w14:val="tx1"/>
                        </w14:solidFill>
                      </w14:textFill>
                    </w:rPr>
                  </w:pPr>
                  <w:r>
                    <w:rPr>
                      <w:color w:val="000000" w:themeColor="text1"/>
                      <w:szCs w:val="21"/>
                      <w14:textFill>
                        <w14:solidFill>
                          <w14:schemeClr w14:val="tx1"/>
                        </w14:solidFill>
                      </w14:textFill>
                    </w:rPr>
                    <w:t>1.1t/a</w:t>
                  </w:r>
                </w:p>
              </w:tc>
              <w:tc>
                <w:tcPr>
                  <w:tcW w:w="1798" w:type="pct"/>
                  <w:vAlign w:val="center"/>
                </w:tcPr>
                <w:p w14:paraId="399D4FC6">
                  <w:pPr>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未变化</w:t>
                  </w:r>
                </w:p>
              </w:tc>
            </w:tr>
          </w:tbl>
          <w:p w14:paraId="572148DC">
            <w:pPr>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工作制度及劳动定员</w:t>
            </w:r>
          </w:p>
          <w:p w14:paraId="429A45F7">
            <w:pPr>
              <w:spacing w:line="360" w:lineRule="auto"/>
              <w:ind w:firstLine="482" w:firstLineChars="200"/>
              <w:rPr>
                <w:color w:val="000000" w:themeColor="text1"/>
                <w:kern w:val="24"/>
                <w:sz w:val="24"/>
                <w:szCs w:val="28"/>
                <w14:textFill>
                  <w14:solidFill>
                    <w14:schemeClr w14:val="tx1"/>
                  </w14:solidFill>
                </w14:textFill>
              </w:rPr>
            </w:pPr>
            <w:r>
              <w:rPr>
                <w:rFonts w:hint="eastAsia"/>
                <w:b/>
                <w:color w:val="000000" w:themeColor="text1"/>
                <w:sz w:val="24"/>
                <w14:textFill>
                  <w14:solidFill>
                    <w14:schemeClr w14:val="tx1"/>
                  </w14:solidFill>
                </w14:textFill>
              </w:rPr>
              <w:t>验收</w:t>
            </w:r>
            <w:r>
              <w:rPr>
                <w:b/>
                <w:color w:val="000000" w:themeColor="text1"/>
                <w:sz w:val="24"/>
                <w14:textFill>
                  <w14:solidFill>
                    <w14:schemeClr w14:val="tx1"/>
                  </w14:solidFill>
                </w14:textFill>
              </w:rPr>
              <w:t>阶段：</w:t>
            </w:r>
            <w:r>
              <w:rPr>
                <w:rFonts w:hint="eastAsia"/>
                <w:bCs/>
                <w:color w:val="000000" w:themeColor="text1"/>
                <w:sz w:val="24"/>
                <w14:textFill>
                  <w14:solidFill>
                    <w14:schemeClr w14:val="tx1"/>
                  </w14:solidFill>
                </w14:textFill>
              </w:rPr>
              <w:t>现有</w:t>
            </w:r>
            <w:r>
              <w:rPr>
                <w:bCs/>
                <w:color w:val="000000" w:themeColor="text1"/>
                <w:sz w:val="24"/>
                <w14:textFill>
                  <w14:solidFill>
                    <w14:schemeClr w14:val="tx1"/>
                  </w14:solidFill>
                </w14:textFill>
              </w:rPr>
              <w:t>项目每年生产333天。果蔬废弃物</w:t>
            </w:r>
            <w:r>
              <w:rPr>
                <w:color w:val="000000" w:themeColor="text1"/>
                <w:sz w:val="24"/>
                <w14:textFill>
                  <w14:solidFill>
                    <w14:schemeClr w14:val="tx1"/>
                  </w14:solidFill>
                </w14:textFill>
              </w:rPr>
              <w:t>卸料系统、破碎压榨生产线每天工作8小时，尾渣烘干生产线每天20个小时，生产废水处理生产线每天24个小时。厂区</w:t>
            </w:r>
            <w:r>
              <w:rPr>
                <w:rFonts w:hint="eastAsia"/>
                <w:color w:val="000000" w:themeColor="text1"/>
                <w:sz w:val="24"/>
                <w14:textFill>
                  <w14:solidFill>
                    <w14:schemeClr w14:val="tx1"/>
                  </w14:solidFill>
                </w14:textFill>
              </w:rPr>
              <w:t>住宿</w:t>
            </w:r>
            <w:r>
              <w:rPr>
                <w:color w:val="000000" w:themeColor="text1"/>
                <w:sz w:val="24"/>
                <w14:textFill>
                  <w14:solidFill>
                    <w14:schemeClr w14:val="tx1"/>
                  </w14:solidFill>
                </w14:textFill>
              </w:rPr>
              <w:t>人数5人，在厂区就餐人数中餐38人，晚餐10人。</w:t>
            </w:r>
          </w:p>
          <w:p w14:paraId="39D62A64">
            <w:pPr>
              <w:spacing w:line="360" w:lineRule="auto"/>
              <w:ind w:firstLine="480" w:firstLine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（4）平面布置</w:t>
            </w:r>
          </w:p>
          <w:p w14:paraId="16ED5D7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有生产区和办公生活区。生产区由东北侧入口至西南侧依次布置有值班室、休息室、计量室、计量衡、车辆清洗池、洗车槽、卸料平台、破碎压榨脱水车间、一级烘干车间、废水收集池、二级烘干粉碎车间、生产废水处理系统；并在一级烘干车间热风炉旁设置低氮燃烧+尿素喷淋+降尘室、旋风除尘器、喷淋塔水膜除尘器；在二级烘干车间热风炉旁设置低氮燃烧+尿素喷淋+喷淋塔水膜除尘器+钠碱法脱硫；在粉碎机上设置1套布袋除尘器，粉碎粉尘经过布袋除尘器后和二级烘干车间废气一起通过喷淋塔水膜除尘器；在一级烘干车间东面分别设置2根15m高排气筒。办公生活区位于项目区西南侧，设有办公大楼、业务用房、停车位和公厕等；厨房废水隔油器设置在业务用房一层西南面，</w:t>
            </w:r>
            <w:r>
              <w:rPr>
                <w:rFonts w:hint="eastAsia"/>
                <w:color w:val="000000" w:themeColor="text1"/>
                <w:sz w:val="24"/>
                <w14:textFill>
                  <w14:solidFill>
                    <w14:schemeClr w14:val="tx1"/>
                  </w14:solidFill>
                </w14:textFill>
              </w:rPr>
              <w:t>容积1</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处理规模</w:t>
            </w:r>
            <w:r>
              <w:rPr>
                <w:color w:val="000000" w:themeColor="text1"/>
                <w:sz w:val="24"/>
                <w14:textFill>
                  <w14:solidFill>
                    <w14:schemeClr w14:val="tx1"/>
                  </w14:solidFill>
                </w14:textFill>
              </w:rPr>
              <w:t>3</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/h</w:t>
            </w:r>
            <w:r>
              <w:rPr>
                <w:color w:val="000000" w:themeColor="text1"/>
                <w:sz w:val="24"/>
                <w14:textFill>
                  <w14:solidFill>
                    <w14:schemeClr w14:val="tx1"/>
                  </w14:solidFill>
                </w14:textFill>
              </w:rPr>
              <w:t>；1号公厕西北面设置1个化粪池，容积3m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；2号公厕东南面设置1个化粪池，容积16m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；生活垃圾收集桶，设于办公区域内。</w:t>
            </w:r>
          </w:p>
          <w:p w14:paraId="2B764BCD">
            <w:pPr>
              <w:pStyle w:val="16"/>
              <w:spacing w:line="360" w:lineRule="auto"/>
              <w:jc w:val="center"/>
              <w:rPr>
                <w:rFonts w:ascii="Times New Roman" w:hAnsi="Times New Roman"/>
                <w:b/>
                <w:bCs/>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drawing>
                <wp:inline distT="0" distB="0" distL="114300" distR="114300">
                  <wp:extent cx="5505450" cy="3940810"/>
                  <wp:effectExtent l="0" t="0" r="11430" b="6350"/>
                  <wp:docPr id="40"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1" descr="IMG_256"/>
                          <pic:cNvPicPr>
                            <a:picLocks noChangeAspect="1"/>
                          </pic:cNvPicPr>
                        </pic:nvPicPr>
                        <pic:blipFill>
                          <a:blip r:embed="rId15"/>
                          <a:stretch>
                            <a:fillRect/>
                          </a:stretch>
                        </pic:blipFill>
                        <pic:spPr>
                          <a:xfrm>
                            <a:off x="0" y="0"/>
                            <a:ext cx="5505450" cy="3940810"/>
                          </a:xfrm>
                          <a:prstGeom prst="rect">
                            <a:avLst/>
                          </a:prstGeom>
                          <a:noFill/>
                          <a:ln>
                            <a:noFill/>
                          </a:ln>
                        </pic:spPr>
                      </pic:pic>
                    </a:graphicData>
                  </a:graphic>
                </wp:inline>
              </w:drawing>
            </w:r>
          </w:p>
          <w:p w14:paraId="5AA69C5D">
            <w:pPr>
              <w:pStyle w:val="16"/>
              <w:spacing w:line="360" w:lineRule="auto"/>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图2-</w:t>
            </w:r>
            <w:r>
              <w:rPr>
                <w:rFonts w:hint="eastAsia" w:ascii="Times New Roman" w:hAnsi="Times New Roman"/>
                <w:b/>
                <w:bCs/>
                <w:color w:val="000000" w:themeColor="text1"/>
                <w:sz w:val="24"/>
                <w:szCs w:val="24"/>
                <w14:textFill>
                  <w14:solidFill>
                    <w14:schemeClr w14:val="tx1"/>
                  </w14:solidFill>
                </w14:textFill>
              </w:rPr>
              <w:t>6</w:t>
            </w:r>
            <w:r>
              <w:rPr>
                <w:rFonts w:ascii="Times New Roman" w:hAnsi="Times New Roman"/>
                <w:b/>
                <w:bCs/>
                <w:color w:val="000000" w:themeColor="text1"/>
                <w:sz w:val="24"/>
                <w:szCs w:val="24"/>
                <w14:textFill>
                  <w14:solidFill>
                    <w14:schemeClr w14:val="tx1"/>
                  </w14:solidFill>
                </w14:textFill>
              </w:rPr>
              <w:t xml:space="preserve"> 原项目总平面</w:t>
            </w:r>
            <w:r>
              <w:rPr>
                <w:rFonts w:hint="eastAsia" w:ascii="Times New Roman" w:hAnsi="Times New Roman"/>
                <w:b/>
                <w:bCs/>
                <w:color w:val="000000" w:themeColor="text1"/>
                <w:sz w:val="24"/>
                <w:szCs w:val="24"/>
                <w14:textFill>
                  <w14:solidFill>
                    <w14:schemeClr w14:val="tx1"/>
                  </w14:solidFill>
                </w14:textFill>
              </w:rPr>
              <w:t>布置</w:t>
            </w:r>
            <w:r>
              <w:rPr>
                <w:rFonts w:ascii="Times New Roman" w:hAnsi="Times New Roman"/>
                <w:b/>
                <w:bCs/>
                <w:color w:val="000000" w:themeColor="text1"/>
                <w:sz w:val="24"/>
                <w:szCs w:val="24"/>
                <w14:textFill>
                  <w14:solidFill>
                    <w14:schemeClr w14:val="tx1"/>
                  </w14:solidFill>
                </w14:textFill>
              </w:rPr>
              <w:t>图</w:t>
            </w:r>
          </w:p>
          <w:p w14:paraId="11462EED">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（5）工艺流程</w:t>
            </w:r>
          </w:p>
          <w:p w14:paraId="04FAEF32">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果蔬废弃物粉碎压榨脱水工艺流程简述：</w:t>
            </w:r>
          </w:p>
          <w:p w14:paraId="5EA14BC6">
            <w:pPr>
              <w:tabs>
                <w:tab w:val="left" w:pos="840"/>
              </w:tabs>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项目所使用的</w:t>
            </w:r>
            <w:r>
              <w:rPr>
                <w:color w:val="000000" w:themeColor="text1"/>
                <w:sz w:val="24"/>
                <w14:textFill>
                  <w14:solidFill>
                    <w14:schemeClr w14:val="tx1"/>
                  </w14:solidFill>
                </w14:textFill>
              </w:rPr>
              <w:t>果蔬废弃物已经由供货商进行初步筛选过，主要为品相不好、卖相不好的新鲜的废弃果蔬，不含有腐烂菜叶及其它杂质，进场后无需进行拣选。果蔬废弃物经粉碎、压榨脱水后形成果蔬渣，再对果蔬渣进行烘干、粉碎、包装为蔬菜干饲料。各部分工艺流程描述如下。</w:t>
            </w:r>
          </w:p>
          <w:p w14:paraId="71F9AE3C">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卸料</w:t>
            </w:r>
          </w:p>
          <w:p w14:paraId="5B21A14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果蔬废弃物收集车将收集来的果蔬废弃物卸入卸料仓，物料经过料仓螺旋输送</w:t>
            </w:r>
            <w:r>
              <w:rPr>
                <w:rFonts w:hint="eastAsia"/>
                <w:color w:val="000000" w:themeColor="text1"/>
                <w:sz w:val="24"/>
                <w14:textFill>
                  <w14:solidFill>
                    <w14:schemeClr w14:val="tx1"/>
                  </w14:solidFill>
                </w14:textFill>
              </w:rPr>
              <w:t>机</w:t>
            </w:r>
            <w:r>
              <w:rPr>
                <w:color w:val="000000" w:themeColor="text1"/>
                <w:sz w:val="24"/>
                <w14:textFill>
                  <w14:solidFill>
                    <w14:schemeClr w14:val="tx1"/>
                  </w14:solidFill>
                </w14:textFill>
              </w:rPr>
              <w:t>输送至皮带输送机。由皮带输送机输送到粉碎分选机进料斗。卸料阶段主要污染物为设备噪声和卸料时产生的废水（卸料渗滤液）、卸料产生的果蔬废弃物异味。卸料废水（卸料渗滤液）通过管道</w:t>
            </w:r>
            <w:r>
              <w:rPr>
                <w:bCs/>
                <w:color w:val="000000" w:themeColor="text1"/>
                <w:sz w:val="24"/>
                <w14:textFill>
                  <w14:solidFill>
                    <w14:schemeClr w14:val="tx1"/>
                  </w14:solidFill>
                </w14:textFill>
              </w:rPr>
              <w:t>进入二级烘干车间内的废水收集池后，由生产废水处理系统处理</w:t>
            </w:r>
            <w:r>
              <w:rPr>
                <w:color w:val="000000" w:themeColor="text1"/>
                <w:sz w:val="24"/>
                <w14:textFill>
                  <w14:solidFill>
                    <w14:schemeClr w14:val="tx1"/>
                  </w14:solidFill>
                </w14:textFill>
              </w:rPr>
              <w:t>达到《污水排入城镇下水道水质标准》（GB/T31962-2015）表1中A等级标准后，排入寻甸县污水处理厂。原料进场后直接卸料进入120m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的卸料仓，然后进入粉碎分选环节。设置一个临时原料堆场，仅供卸料仓无法正常运行时使用，因此异味主要产生于卸料、临时堆放环节，通过喷洒除臭剂进行控制。</w:t>
            </w:r>
          </w:p>
          <w:p w14:paraId="40BF7B4A">
            <w:pPr>
              <w:spacing w:line="360" w:lineRule="auto"/>
              <w:ind w:firstLine="482" w:firstLineChars="200"/>
              <w:rPr>
                <w:b/>
                <w:bCs/>
                <w:color w:val="000000" w:themeColor="text1"/>
                <w:sz w:val="24"/>
                <w:shd w:val="clear" w:color="auto" w:fill="FFFFFF"/>
                <w14:textFill>
                  <w14:solidFill>
                    <w14:schemeClr w14:val="tx1"/>
                  </w14:solidFill>
                </w14:textFill>
              </w:rPr>
            </w:pPr>
            <w:r>
              <w:rPr>
                <w:rFonts w:hint="eastAsia"/>
                <w:b/>
                <w:bCs/>
                <w:color w:val="000000" w:themeColor="text1"/>
                <w:sz w:val="24"/>
                <w:shd w:val="clear" w:color="auto" w:fill="FFFFFF"/>
                <w14:textFill>
                  <w14:solidFill>
                    <w14:schemeClr w14:val="tx1"/>
                  </w14:solidFill>
                </w14:textFill>
              </w:rPr>
              <w:t>2）</w:t>
            </w:r>
            <w:r>
              <w:rPr>
                <w:b/>
                <w:bCs/>
                <w:color w:val="000000" w:themeColor="text1"/>
                <w:sz w:val="24"/>
                <w:shd w:val="clear" w:color="auto" w:fill="FFFFFF"/>
                <w14:textFill>
                  <w14:solidFill>
                    <w14:schemeClr w14:val="tx1"/>
                  </w14:solidFill>
                </w14:textFill>
              </w:rPr>
              <w:t>粉碎分选</w:t>
            </w:r>
          </w:p>
          <w:p w14:paraId="582B8278">
            <w:pPr>
              <w:spacing w:line="360" w:lineRule="auto"/>
              <w:ind w:firstLine="480" w:firstLineChars="200"/>
              <w:rPr>
                <w:color w:val="000000" w:themeColor="text1"/>
                <w:kern w:val="0"/>
                <w:sz w:val="24"/>
                <w14:textFill>
                  <w14:solidFill>
                    <w14:schemeClr w14:val="tx1"/>
                  </w14:solidFill>
                </w14:textFill>
              </w:rPr>
            </w:pPr>
            <w:r>
              <w:rPr>
                <w:color w:val="000000" w:themeColor="text1"/>
                <w:sz w:val="24"/>
                <w:shd w:val="clear" w:color="auto" w:fill="FFFFFF"/>
                <w14:textFill>
                  <w14:solidFill>
                    <w14:schemeClr w14:val="tx1"/>
                  </w14:solidFill>
                </w14:textFill>
              </w:rPr>
              <w:t>原料由机器料斗进入粉碎分选一体机，筛孔直径10mm；在机器最底层设置有抛料板，粉碎好的物料从出料口抛出。粉碎前物料</w:t>
            </w:r>
            <w:r>
              <w:rPr>
                <w:color w:val="000000" w:themeColor="text1"/>
                <w:sz w:val="24"/>
                <w14:textFill>
                  <w14:solidFill>
                    <w14:schemeClr w14:val="tx1"/>
                  </w14:solidFill>
                </w14:textFill>
              </w:rPr>
              <w:t>含水率约90%，因此粉碎过程中不会产生粉尘，主要为设备噪声和粉碎分选产生的废水（粉碎分选渗滤液）、粉碎分选产生的果蔬废弃物异味。粉碎分选废水（粉碎分选渗滤液）通过管道进入</w:t>
            </w:r>
            <w:r>
              <w:rPr>
                <w:bCs/>
                <w:color w:val="000000" w:themeColor="text1"/>
                <w:sz w:val="24"/>
                <w14:textFill>
                  <w14:solidFill>
                    <w14:schemeClr w14:val="tx1"/>
                  </w14:solidFill>
                </w14:textFill>
              </w:rPr>
              <w:t>二级烘干车间内的</w:t>
            </w:r>
            <w:r>
              <w:rPr>
                <w:color w:val="000000" w:themeColor="text1"/>
                <w:sz w:val="24"/>
                <w14:textFill>
                  <w14:solidFill>
                    <w14:schemeClr w14:val="tx1"/>
                  </w14:solidFill>
                </w14:textFill>
              </w:rPr>
              <w:t>废水收集池后，由生产废水处理系统处理达到《污水排入城镇下水道水质标准》（GB/T31962-2015）表1中A等级标准后，排入寻甸县污水处理厂。粉碎分选产生的果蔬废弃物异味通过喷洒除臭剂进行控制。</w:t>
            </w:r>
          </w:p>
          <w:p w14:paraId="4C7AC9A1">
            <w:pPr>
              <w:tabs>
                <w:tab w:val="left" w:pos="840"/>
              </w:tabs>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压榨脱水</w:t>
            </w:r>
          </w:p>
          <w:p w14:paraId="484DA601">
            <w:pPr>
              <w:spacing w:line="360" w:lineRule="auto"/>
              <w:ind w:firstLine="480" w:firstLineChars="200"/>
              <w:rPr>
                <w:color w:val="000000" w:themeColor="text1"/>
                <w:sz w:val="24"/>
                <w:shd w:val="clear" w:color="auto" w:fill="FFFFFF"/>
                <w14:textFill>
                  <w14:solidFill>
                    <w14:schemeClr w14:val="tx1"/>
                  </w14:solidFill>
                </w14:textFill>
              </w:rPr>
            </w:pPr>
            <w:r>
              <w:rPr>
                <w:color w:val="000000" w:themeColor="text1"/>
                <w:sz w:val="24"/>
                <w:shd w:val="clear" w:color="auto" w:fill="FFFFFF"/>
                <w14:textFill>
                  <w14:solidFill>
                    <w14:schemeClr w14:val="tx1"/>
                  </w14:solidFill>
                </w14:textFill>
              </w:rPr>
              <w:t>粉碎后的物料经过螺旋输送机提升到螺旋压榨机进行一次压榨脱水，一次压榨脱水后含水率在80%左右。一次压榨后的物料</w:t>
            </w:r>
            <w:r>
              <w:rPr>
                <w:rFonts w:hint="eastAsia"/>
                <w:color w:val="000000" w:themeColor="text1"/>
                <w:sz w:val="24"/>
                <w:shd w:val="clear" w:color="auto" w:fill="FFFFFF"/>
                <w14:textFill>
                  <w14:solidFill>
                    <w14:schemeClr w14:val="tx1"/>
                  </w14:solidFill>
                </w14:textFill>
              </w:rPr>
              <w:t>通过</w:t>
            </w:r>
            <w:r>
              <w:rPr>
                <w:color w:val="000000" w:themeColor="text1"/>
                <w:sz w:val="24"/>
                <w:shd w:val="clear" w:color="auto" w:fill="FFFFFF"/>
                <w14:textFill>
                  <w14:solidFill>
                    <w14:schemeClr w14:val="tx1"/>
                  </w14:solidFill>
                </w14:textFill>
              </w:rPr>
              <w:t>螺旋输送机输送到二次压榨机入料口，再用螺旋压榨机进行二次压榨脱水，二次压榨脱水后含水率约70%左右。螺旋压榨机是一种利用物理挤压方式进行脱水的设备，该设备由驱动系统、进料箱、螺旋绞龙、筛网、气动阻料装置、集水槽、机架等部分构成，物料从进料箱进入设备，在螺旋绞龙的输送下受到逐级递进压力挤压，多余水分经过筛网由出液口排出，去水分物料在螺旋绞龙的继续输送下，顶开阻料装置由出料口排出设备，进入烘干区域。压榨脱水阶段主要污染物为废水及设备噪声，废水通过管道进入二级烘干车间内的废水收集池后，由生产废水处理系统处理达到《污水排入城镇下水道水质标准》（GB/T31962-2015）表1中A等级标准后，排入寻甸县污水处理厂。</w:t>
            </w:r>
          </w:p>
          <w:p w14:paraId="2ADEACFC">
            <w:pPr>
              <w:tabs>
                <w:tab w:val="left" w:pos="624"/>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drawing>
                <wp:inline distT="0" distB="0" distL="114300" distR="114300">
                  <wp:extent cx="5243830" cy="2785110"/>
                  <wp:effectExtent l="0" t="0" r="0" b="0"/>
                  <wp:docPr id="41" name="图片 82" descr="果蔬废弃物粉碎压榨脱水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2" descr="果蔬废弃物粉碎压榨脱水工艺流程图"/>
                          <pic:cNvPicPr>
                            <a:picLocks noChangeAspect="1"/>
                          </pic:cNvPicPr>
                        </pic:nvPicPr>
                        <pic:blipFill>
                          <a:blip r:embed="rId16"/>
                          <a:stretch>
                            <a:fillRect/>
                          </a:stretch>
                        </pic:blipFill>
                        <pic:spPr>
                          <a:xfrm>
                            <a:off x="0" y="0"/>
                            <a:ext cx="5243830" cy="2785110"/>
                          </a:xfrm>
                          <a:prstGeom prst="rect">
                            <a:avLst/>
                          </a:prstGeom>
                          <a:noFill/>
                          <a:ln>
                            <a:noFill/>
                          </a:ln>
                        </pic:spPr>
                      </pic:pic>
                    </a:graphicData>
                  </a:graphic>
                </wp:inline>
              </w:drawing>
            </w:r>
          </w:p>
          <w:p w14:paraId="58F07696">
            <w:pPr>
              <w:tabs>
                <w:tab w:val="left" w:pos="624"/>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果蔬废弃物粉碎压榨脱水工艺流程图</w:t>
            </w:r>
          </w:p>
          <w:p w14:paraId="22325994">
            <w:pPr>
              <w:tabs>
                <w:tab w:val="left" w:pos="840"/>
              </w:tabs>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②</w:t>
            </w:r>
            <w:r>
              <w:rPr>
                <w:b/>
                <w:color w:val="000000" w:themeColor="text1"/>
                <w:sz w:val="24"/>
                <w14:textFill>
                  <w14:solidFill>
                    <w14:schemeClr w14:val="tx1"/>
                  </w14:solidFill>
                </w14:textFill>
              </w:rPr>
              <w:t>果蔬渣烘干粉碎工艺流程</w:t>
            </w:r>
          </w:p>
          <w:p w14:paraId="1B284CA6">
            <w:pPr>
              <w:tabs>
                <w:tab w:val="left" w:pos="840"/>
              </w:tabs>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喂料</w:t>
            </w:r>
          </w:p>
          <w:p w14:paraId="632920A7">
            <w:pPr>
              <w:tabs>
                <w:tab w:val="left" w:pos="840"/>
              </w:tabs>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喂料</w:t>
            </w:r>
            <w:r>
              <w:rPr>
                <w:color w:val="000000" w:themeColor="text1"/>
                <w:kern w:val="0"/>
                <w:sz w:val="24"/>
                <w14:textFill>
                  <w14:solidFill>
                    <w14:schemeClr w14:val="tx1"/>
                  </w14:solidFill>
                </w14:textFill>
              </w:rPr>
              <w:t>料仓容积80m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，保证物料下料顺畅，避免一次性来料过多产生“蓬料”现象，保证强制向料仓底部拨料。</w:t>
            </w:r>
            <w:r>
              <w:rPr>
                <w:color w:val="000000" w:themeColor="text1"/>
                <w:sz w:val="24"/>
                <w14:textFill>
                  <w14:solidFill>
                    <w14:schemeClr w14:val="tx1"/>
                  </w14:solidFill>
                </w14:textFill>
              </w:rPr>
              <w:t>喂料阶段主要污染物为设备噪声。</w:t>
            </w:r>
          </w:p>
          <w:p w14:paraId="68CCC224">
            <w:pPr>
              <w:kinsoku w:val="0"/>
              <w:overflowPunct w:val="0"/>
              <w:autoSpaceDE w:val="0"/>
              <w:autoSpaceDN w:val="0"/>
              <w:adjustRightInd w:val="0"/>
              <w:spacing w:line="360" w:lineRule="auto"/>
              <w:ind w:right="96"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一级烘干</w:t>
            </w:r>
          </w:p>
          <w:p w14:paraId="19D7A760">
            <w:pPr>
              <w:kinsoku w:val="0"/>
              <w:overflowPunct w:val="0"/>
              <w:autoSpaceDE w:val="0"/>
              <w:autoSpaceDN w:val="0"/>
              <w:adjustRightInd w:val="0"/>
              <w:spacing w:line="360" w:lineRule="auto"/>
              <w:ind w:right="96" w:firstLine="480" w:firstLineChars="200"/>
              <w:rPr>
                <w:color w:val="000000" w:themeColor="text1"/>
                <w:spacing w:val="-4"/>
                <w:kern w:val="0"/>
                <w:sz w:val="24"/>
                <w14:textFill>
                  <w14:solidFill>
                    <w14:schemeClr w14:val="tx1"/>
                  </w14:solidFill>
                </w14:textFill>
              </w:rPr>
            </w:pPr>
            <w:r>
              <w:rPr>
                <w:color w:val="000000" w:themeColor="text1"/>
                <w:kern w:val="0"/>
                <w:sz w:val="24"/>
                <w14:textFill>
                  <w14:solidFill>
                    <w14:schemeClr w14:val="tx1"/>
                  </w14:solidFill>
                </w14:textFill>
              </w:rPr>
              <w:t>物料通过皮带输送机</w:t>
            </w:r>
            <w:r>
              <w:rPr>
                <w:color w:val="000000" w:themeColor="text1"/>
                <w:spacing w:val="-1"/>
                <w:kern w:val="0"/>
                <w:sz w:val="24"/>
                <w14:textFill>
                  <w14:solidFill>
                    <w14:schemeClr w14:val="tx1"/>
                  </w14:solidFill>
                </w14:textFill>
              </w:rPr>
              <w:t>输送到</w:t>
            </w:r>
            <w:r>
              <w:rPr>
                <w:color w:val="000000" w:themeColor="text1"/>
                <w:kern w:val="0"/>
                <w:sz w:val="24"/>
                <w14:textFill>
                  <w14:solidFill>
                    <w14:schemeClr w14:val="tx1"/>
                  </w14:solidFill>
                </w14:textFill>
              </w:rPr>
              <w:t>高效滚筒烘干机</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热风炉，一级烘干热风炉燃料为生物质。热风炉产生温度600-900℃热风和湿物料前端进入烘</w:t>
            </w:r>
            <w:r>
              <w:rPr>
                <w:color w:val="000000" w:themeColor="text1"/>
                <w:spacing w:val="-2"/>
                <w:kern w:val="0"/>
                <w:sz w:val="24"/>
                <w14:textFill>
                  <w14:solidFill>
                    <w14:schemeClr w14:val="tx1"/>
                  </w14:solidFill>
                </w14:textFill>
              </w:rPr>
              <w:t>干机，</w:t>
            </w:r>
            <w:r>
              <w:rPr>
                <w:color w:val="000000" w:themeColor="text1"/>
                <w:kern w:val="0"/>
                <w:sz w:val="24"/>
                <w14:textFill>
                  <w14:solidFill>
                    <w14:schemeClr w14:val="tx1"/>
                  </w14:solidFill>
                </w14:textFill>
              </w:rPr>
              <w:t>通过抄板的作用不断抄起、散落形成料幕，呈螺旋行进式前进，尽可能扩大物料与热风质热交换面积，物料与热风炉供应的高温热风直接接触进行质热交换，水分迅速</w:t>
            </w:r>
            <w:r>
              <w:rPr>
                <w:rFonts w:hint="eastAsia"/>
                <w:color w:val="000000" w:themeColor="text1"/>
                <w:kern w:val="0"/>
                <w:sz w:val="24"/>
                <w14:textFill>
                  <w14:solidFill>
                    <w14:schemeClr w14:val="tx1"/>
                  </w14:solidFill>
                </w14:textFill>
              </w:rPr>
              <w:t>蒸发</w:t>
            </w:r>
            <w:r>
              <w:rPr>
                <w:rFonts w:hint="eastAsia"/>
                <w:color w:val="000000" w:themeColor="text1"/>
                <w:kern w:val="0"/>
                <w:sz w:val="24"/>
                <w:lang w:eastAsia="zh-CN"/>
                <w14:textFill>
                  <w14:solidFill>
                    <w14:schemeClr w14:val="tx1"/>
                  </w14:solidFill>
                </w14:textFill>
              </w:rPr>
              <w:t>汽</w:t>
            </w:r>
            <w:r>
              <w:rPr>
                <w:rFonts w:hint="eastAsia"/>
                <w:color w:val="000000" w:themeColor="text1"/>
                <w:kern w:val="0"/>
                <w:sz w:val="24"/>
                <w14:textFill>
                  <w14:solidFill>
                    <w14:schemeClr w14:val="tx1"/>
                  </w14:solidFill>
                </w14:textFill>
              </w:rPr>
              <w:t>化</w:t>
            </w:r>
            <w:r>
              <w:rPr>
                <w:color w:val="000000" w:themeColor="text1"/>
                <w:spacing w:val="-3"/>
                <w:kern w:val="0"/>
                <w:sz w:val="24"/>
                <w14:textFill>
                  <w14:solidFill>
                    <w14:schemeClr w14:val="tx1"/>
                  </w14:solidFill>
                </w14:textFill>
              </w:rPr>
              <w:t>后物料被烘干，水分汽化随</w:t>
            </w:r>
            <w:r>
              <w:rPr>
                <w:color w:val="000000" w:themeColor="text1"/>
                <w:spacing w:val="-14"/>
                <w:kern w:val="0"/>
                <w:sz w:val="24"/>
                <w14:textFill>
                  <w14:solidFill>
                    <w14:schemeClr w14:val="tx1"/>
                  </w14:solidFill>
                </w14:textFill>
              </w:rPr>
              <w:t>废气排出烘干机，排风温度</w:t>
            </w:r>
            <w:r>
              <w:rPr>
                <w:color w:val="000000" w:themeColor="text1"/>
                <w:kern w:val="0"/>
                <w:sz w:val="24"/>
                <w14:textFill>
                  <w14:solidFill>
                    <w14:schemeClr w14:val="tx1"/>
                  </w14:solidFill>
                </w14:textFill>
              </w:rPr>
              <w:t>80-90℃，物料干燥从后端底部和旋风卸料器</w:t>
            </w:r>
            <w:r>
              <w:rPr>
                <w:color w:val="000000" w:themeColor="text1"/>
                <w:spacing w:val="-2"/>
                <w:kern w:val="0"/>
                <w:sz w:val="24"/>
                <w14:textFill>
                  <w14:solidFill>
                    <w14:schemeClr w14:val="tx1"/>
                  </w14:solidFill>
                </w14:textFill>
              </w:rPr>
              <w:t>排出，完成烘干过程。烘干机内层配</w:t>
            </w:r>
            <w:r>
              <w:rPr>
                <w:color w:val="000000" w:themeColor="text1"/>
                <w:spacing w:val="-3"/>
                <w:kern w:val="0"/>
                <w:sz w:val="24"/>
                <w14:textFill>
                  <w14:solidFill>
                    <w14:schemeClr w14:val="tx1"/>
                  </w14:solidFill>
                </w14:textFill>
              </w:rPr>
              <w:t>置打散、扬料及防粘壁结构，把结团</w:t>
            </w:r>
            <w:r>
              <w:rPr>
                <w:color w:val="000000" w:themeColor="text1"/>
                <w:spacing w:val="-4"/>
                <w:kern w:val="0"/>
                <w:sz w:val="24"/>
                <w14:textFill>
                  <w14:solidFill>
                    <w14:schemeClr w14:val="tx1"/>
                  </w14:solidFill>
                </w14:textFill>
              </w:rPr>
              <w:t>物料充分打散，提高物料与热风接触面积，提升烘干效率。</w:t>
            </w:r>
          </w:p>
          <w:p w14:paraId="34274158">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热风炉</w:t>
            </w:r>
            <w:r>
              <w:rPr>
                <w:color w:val="000000" w:themeColor="text1"/>
                <w:spacing w:val="-3"/>
                <w:kern w:val="0"/>
                <w:sz w:val="24"/>
                <w14:textFill>
                  <w14:solidFill>
                    <w14:schemeClr w14:val="tx1"/>
                  </w14:solidFill>
                </w14:textFill>
              </w:rPr>
              <w:t>配备相应</w:t>
            </w:r>
            <w:r>
              <w:rPr>
                <w:color w:val="000000" w:themeColor="text1"/>
                <w:kern w:val="0"/>
                <w:sz w:val="24"/>
                <w14:textFill>
                  <w14:solidFill>
                    <w14:schemeClr w14:val="tx1"/>
                  </w14:solidFill>
                </w14:textFill>
              </w:rPr>
              <w:t>燃烧蓄热室及挡火墙、沉降室等，具有特殊设计的多级配</w:t>
            </w:r>
            <w:r>
              <w:rPr>
                <w:color w:val="000000" w:themeColor="text1"/>
                <w:spacing w:val="-1"/>
                <w:kern w:val="0"/>
                <w:sz w:val="24"/>
                <w14:textFill>
                  <w14:solidFill>
                    <w14:schemeClr w14:val="tx1"/>
                  </w14:solidFill>
                </w14:textFill>
              </w:rPr>
              <w:t>风调温结构，能在短时间内使燃烧产</w:t>
            </w:r>
            <w:r>
              <w:rPr>
                <w:color w:val="000000" w:themeColor="text1"/>
                <w:spacing w:val="-3"/>
                <w:kern w:val="0"/>
                <w:sz w:val="24"/>
                <w14:textFill>
                  <w14:solidFill>
                    <w14:schemeClr w14:val="tx1"/>
                  </w14:solidFill>
                </w14:textFill>
              </w:rPr>
              <w:t>生高温涡流，具有燃烧完全，热利用率高，高效节能等优点，</w:t>
            </w:r>
            <w:r>
              <w:rPr>
                <w:color w:val="000000" w:themeColor="text1"/>
                <w:spacing w:val="-11"/>
                <w:kern w:val="0"/>
                <w:sz w:val="24"/>
                <w14:textFill>
                  <w14:solidFill>
                    <w14:schemeClr w14:val="tx1"/>
                  </w14:solidFill>
                </w14:textFill>
              </w:rPr>
              <w:t>热风炉发热量</w:t>
            </w:r>
            <w:r>
              <w:rPr>
                <w:color w:val="000000" w:themeColor="text1"/>
                <w:kern w:val="0"/>
                <w:sz w:val="24"/>
                <w14:textFill>
                  <w14:solidFill>
                    <w14:schemeClr w14:val="tx1"/>
                  </w14:solidFill>
                </w14:textFill>
              </w:rPr>
              <w:t>1200×10</w:t>
            </w:r>
            <w:r>
              <w:rPr>
                <w:color w:val="000000" w:themeColor="text1"/>
                <w:kern w:val="0"/>
                <w:sz w:val="24"/>
                <w:vertAlign w:val="superscript"/>
                <w14:textFill>
                  <w14:solidFill>
                    <w14:schemeClr w14:val="tx1"/>
                  </w14:solidFill>
                </w14:textFill>
              </w:rPr>
              <w:t>4</w:t>
            </w:r>
            <w:r>
              <w:rPr>
                <w:color w:val="000000" w:themeColor="text1"/>
                <w:kern w:val="0"/>
                <w:sz w:val="24"/>
                <w14:textFill>
                  <w14:solidFill>
                    <w14:schemeClr w14:val="tx1"/>
                  </w14:solidFill>
                </w14:textFill>
              </w:rPr>
              <w:t>kcal/h，</w:t>
            </w:r>
            <w:r>
              <w:rPr>
                <w:color w:val="000000" w:themeColor="text1"/>
                <w:spacing w:val="-12"/>
                <w:kern w:val="0"/>
                <w:sz w:val="24"/>
                <w14:textFill>
                  <w14:solidFill>
                    <w14:schemeClr w14:val="tx1"/>
                  </w14:solidFill>
                </w14:textFill>
              </w:rPr>
              <w:t>出口温度</w:t>
            </w:r>
            <w:r>
              <w:rPr>
                <w:color w:val="000000" w:themeColor="text1"/>
                <w:kern w:val="0"/>
                <w:sz w:val="24"/>
                <w14:textFill>
                  <w14:solidFill>
                    <w14:schemeClr w14:val="tx1"/>
                  </w14:solidFill>
                </w14:textFill>
              </w:rPr>
              <w:t>600-900℃可以按需调节，全自动控制，同时</w:t>
            </w:r>
            <w:r>
              <w:rPr>
                <w:rFonts w:hint="eastAsia"/>
                <w:color w:val="000000" w:themeColor="text1"/>
                <w:kern w:val="0"/>
                <w:sz w:val="24"/>
                <w:lang w:eastAsia="zh-CN"/>
                <w14:textFill>
                  <w14:solidFill>
                    <w14:schemeClr w14:val="tx1"/>
                  </w14:solidFill>
                </w14:textFill>
              </w:rPr>
              <w:t>在</w:t>
            </w:r>
            <w:r>
              <w:rPr>
                <w:color w:val="000000" w:themeColor="text1"/>
                <w:kern w:val="0"/>
                <w:sz w:val="24"/>
                <w14:textFill>
                  <w14:solidFill>
                    <w14:schemeClr w14:val="tx1"/>
                  </w14:solidFill>
                </w14:textFill>
              </w:rPr>
              <w:t>烘干的过程中起到高温灭菌的作用。经过一级高温烘干区处理后，使物料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达到40%，再进入低温烘干区全自动化网链烘干箱进行二级烘干处理。</w:t>
            </w:r>
          </w:p>
          <w:p w14:paraId="73312FB5">
            <w:pPr>
              <w:kinsoku w:val="0"/>
              <w:overflowPunct w:val="0"/>
              <w:autoSpaceDE w:val="0"/>
              <w:autoSpaceDN w:val="0"/>
              <w:adjustRightInd w:val="0"/>
              <w:spacing w:line="360" w:lineRule="auto"/>
              <w:ind w:right="96"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一级烘干主要污染物为热风炉燃料燃烧废气、烘干异味及设备噪声。热风炉燃料为生物质，燃料燃烧废气与80-90℃的烘干热气、烘干异味经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降尘室+旋风除尘+水膜喷淋除尘+1号15m高排气筒（DA001）排放</w:t>
            </w:r>
            <w:r>
              <w:rPr>
                <w:color w:val="000000" w:themeColor="text1"/>
                <w:sz w:val="24"/>
                <w14:textFill>
                  <w14:solidFill>
                    <w14:schemeClr w14:val="tx1"/>
                  </w14:solidFill>
                </w14:textFill>
              </w:rPr>
              <w:t>。</w:t>
            </w:r>
          </w:p>
          <w:p w14:paraId="79522514">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二级烘干</w:t>
            </w:r>
          </w:p>
          <w:p w14:paraId="03BC1F32">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使用低温网链全自动化烘干箱，烘干箱内保持80-85度恒温，起到高温灭菌的作用。</w:t>
            </w:r>
            <w:r>
              <w:rPr>
                <w:color w:val="000000" w:themeColor="text1"/>
                <w:spacing w:val="-1"/>
                <w:kern w:val="0"/>
                <w:sz w:val="24"/>
                <w14:textFill>
                  <w14:solidFill>
                    <w14:schemeClr w14:val="tx1"/>
                  </w14:solidFill>
                </w14:textFill>
              </w:rPr>
              <w:t>烘干机热源</w:t>
            </w:r>
            <w:r>
              <w:rPr>
                <w:rFonts w:hint="eastAsia"/>
                <w:color w:val="000000" w:themeColor="text1"/>
                <w:spacing w:val="-1"/>
                <w:kern w:val="0"/>
                <w:sz w:val="24"/>
                <w14:textFill>
                  <w14:solidFill>
                    <w14:schemeClr w14:val="tx1"/>
                  </w14:solidFill>
                </w14:textFill>
              </w:rPr>
              <w:t>来自</w:t>
            </w:r>
            <w:r>
              <w:rPr>
                <w:color w:val="000000" w:themeColor="text1"/>
                <w:kern w:val="0"/>
                <w:sz w:val="24"/>
                <w14:textFill>
                  <w14:solidFill>
                    <w14:schemeClr w14:val="tx1"/>
                  </w14:solidFill>
                </w14:textFill>
              </w:rPr>
              <w:t>热风炉，二级烘干热风炉燃料为生物质和沼气，沼气来源于</w:t>
            </w:r>
            <w:r>
              <w:rPr>
                <w:color w:val="000000" w:themeColor="text1"/>
                <w:sz w:val="24"/>
                <w14:textFill>
                  <w14:solidFill>
                    <w14:schemeClr w14:val="tx1"/>
                  </w14:solidFill>
                </w14:textFill>
              </w:rPr>
              <w:t>生产废水处理系统中厌氧环节，厌氧环节产生的沼气由管道引至二级烘干热风炉作为燃料燃烧，不设沼气储罐。</w:t>
            </w:r>
            <w:r>
              <w:rPr>
                <w:color w:val="000000" w:themeColor="text1"/>
                <w:kern w:val="0"/>
                <w:sz w:val="24"/>
                <w14:textFill>
                  <w14:solidFill>
                    <w14:schemeClr w14:val="tx1"/>
                  </w14:solidFill>
                </w14:textFill>
              </w:rPr>
              <w:t>尽可能扩大物料与热风直接接触及质热交换面积，物料经3小时持续烘干使物料</w:t>
            </w:r>
            <w:r>
              <w:rPr>
                <w:rFonts w:hint="eastAsia"/>
                <w:color w:val="000000" w:themeColor="text1"/>
                <w:kern w:val="0"/>
                <w:sz w:val="24"/>
                <w14:textFill>
                  <w14:solidFill>
                    <w14:schemeClr w14:val="tx1"/>
                  </w14:solidFill>
                </w14:textFill>
              </w:rPr>
              <w:t>水分</w:t>
            </w:r>
            <w:r>
              <w:rPr>
                <w:color w:val="000000" w:themeColor="text1"/>
                <w:kern w:val="0"/>
                <w:sz w:val="24"/>
                <w14:textFill>
                  <w14:solidFill>
                    <w14:schemeClr w14:val="tx1"/>
                  </w14:solidFill>
                </w14:textFill>
              </w:rPr>
              <w:t>由原来40%烘干至12.8%的饲用</w:t>
            </w:r>
            <w:r>
              <w:rPr>
                <w:rFonts w:hint="eastAsia"/>
                <w:color w:val="000000" w:themeColor="text1"/>
                <w:kern w:val="0"/>
                <w:sz w:val="24"/>
                <w14:textFill>
                  <w14:solidFill>
                    <w14:schemeClr w14:val="tx1"/>
                  </w14:solidFill>
                </w14:textFill>
              </w:rPr>
              <w:t>原料水分</w:t>
            </w:r>
            <w:r>
              <w:rPr>
                <w:color w:val="000000" w:themeColor="text1"/>
                <w:kern w:val="0"/>
                <w:sz w:val="24"/>
                <w14:textFill>
                  <w14:solidFill>
                    <w14:schemeClr w14:val="tx1"/>
                  </w14:solidFill>
                </w14:textFill>
              </w:rPr>
              <w:t>标准。完成干燥过程进入冷却环节。</w:t>
            </w:r>
          </w:p>
          <w:p w14:paraId="142E391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二级烘干主要污染物为热风炉燃料燃烧废气、烘干异味及设备噪声。二级烘干的热风炉燃料为生物质及生产废水处理产生的沼气，燃料燃烧废气与50-60℃的烘干热气、烘干异味经</w:t>
            </w:r>
            <w:r>
              <w:rPr>
                <w:color w:val="000000" w:themeColor="text1"/>
                <w:sz w:val="24"/>
                <w14:textFill>
                  <w14:solidFill>
                    <w14:schemeClr w14:val="tx1"/>
                  </w14:solidFill>
                </w14:textFill>
              </w:rPr>
              <w:t>低氮燃烧+尿素喷淋</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w:t>
            </w:r>
            <w:r>
              <w:rPr>
                <w:color w:val="000000" w:themeColor="text1"/>
                <w:kern w:val="0"/>
                <w:sz w:val="24"/>
                <w14:textFill>
                  <w14:solidFill>
                    <w14:schemeClr w14:val="tx1"/>
                  </w14:solidFill>
                </w14:textFill>
              </w:rPr>
              <w:t>+2号15m高排气筒（DA002）排放</w:t>
            </w:r>
            <w:r>
              <w:rPr>
                <w:color w:val="000000" w:themeColor="text1"/>
                <w:sz w:val="24"/>
                <w14:textFill>
                  <w14:solidFill>
                    <w14:schemeClr w14:val="tx1"/>
                  </w14:solidFill>
                </w14:textFill>
              </w:rPr>
              <w:t>。</w:t>
            </w:r>
          </w:p>
          <w:p w14:paraId="6E3FA6C3">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冷却</w:t>
            </w:r>
          </w:p>
          <w:p w14:paraId="7DAC27A6">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经低温烘干箱烘干的物料温度偏高，而且烘干的物料表面还有多余</w:t>
            </w:r>
            <w:r>
              <w:rPr>
                <w:rFonts w:hint="eastAsia"/>
                <w:color w:val="000000" w:themeColor="text1"/>
                <w:kern w:val="0"/>
                <w:sz w:val="24"/>
                <w14:textFill>
                  <w14:solidFill>
                    <w14:schemeClr w14:val="tx1"/>
                  </w14:solidFill>
                </w14:textFill>
              </w:rPr>
              <w:t>水蒸气</w:t>
            </w:r>
            <w:r>
              <w:rPr>
                <w:color w:val="000000" w:themeColor="text1"/>
                <w:kern w:val="0"/>
                <w:sz w:val="24"/>
                <w14:textFill>
                  <w14:solidFill>
                    <w14:schemeClr w14:val="tx1"/>
                  </w14:solidFill>
                </w14:textFill>
              </w:rPr>
              <w:t>需及时排出，所以烘干的物料需及时进行冷却处理保证其产品的质量及</w:t>
            </w:r>
            <w:r>
              <w:rPr>
                <w:rFonts w:hint="eastAsia"/>
                <w:color w:val="000000" w:themeColor="text1"/>
                <w:kern w:val="0"/>
                <w:sz w:val="24"/>
                <w14:textFill>
                  <w14:solidFill>
                    <w14:schemeClr w14:val="tx1"/>
                  </w14:solidFill>
                </w14:textFill>
              </w:rPr>
              <w:t>水分含量</w:t>
            </w:r>
            <w:r>
              <w:rPr>
                <w:color w:val="000000" w:themeColor="text1"/>
                <w:kern w:val="0"/>
                <w:sz w:val="24"/>
                <w14:textFill>
                  <w14:solidFill>
                    <w14:schemeClr w14:val="tx1"/>
                  </w14:solidFill>
                </w14:textFill>
              </w:rPr>
              <w:t>。通过电源的冷却滚筒、冷却风机进行风冷冷却。冷却阶段主要污染物为设备噪声。</w:t>
            </w:r>
          </w:p>
          <w:p w14:paraId="1909D7D6">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粉碎</w:t>
            </w:r>
          </w:p>
          <w:p w14:paraId="1805F22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冷却后的物料经输送带输送至粉碎机进行粉碎，粉碎后物料粒径为2-3mm。粉碎阶段主要污染物为粉碎粉尘、异味及设备噪声。粉碎粉尘及异味经布袋除尘器+水膜喷淋除尘后经2号15m高排气筒（DA002）排放。</w:t>
            </w:r>
          </w:p>
          <w:p w14:paraId="5325DCF8">
            <w:pPr>
              <w:autoSpaceDE w:val="0"/>
              <w:autoSpaceDN w:val="0"/>
              <w:adjustRightIn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包装</w:t>
            </w:r>
          </w:p>
          <w:p w14:paraId="362E033B">
            <w:pPr>
              <w:autoSpaceDE w:val="0"/>
              <w:autoSpaceDN w:val="0"/>
              <w:adjustRightInd w:val="0"/>
              <w:spacing w:line="360" w:lineRule="auto"/>
              <w:ind w:left="420" w:leftChars="200"/>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对粉碎后的成品料进行包装外售。</w:t>
            </w:r>
            <w:r>
              <w:rPr>
                <w:color w:val="000000" w:themeColor="text1"/>
                <w:sz w:val="24"/>
                <w14:textFill>
                  <w14:solidFill>
                    <w14:schemeClr w14:val="tx1"/>
                  </w14:solidFill>
                </w14:textFill>
              </w:rPr>
              <w:t>包装阶段主要污染物为设备噪声。</w:t>
            </w:r>
          </w:p>
          <w:p w14:paraId="45AAC158">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55260" cy="6567170"/>
                  <wp:effectExtent l="0" t="0" r="0" b="0"/>
                  <wp:docPr id="42" name="图片 83" descr="工艺流程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3" descr="工艺流程0905"/>
                          <pic:cNvPicPr>
                            <a:picLocks noChangeAspect="1"/>
                          </pic:cNvPicPr>
                        </pic:nvPicPr>
                        <pic:blipFill>
                          <a:blip r:embed="rId17"/>
                          <a:stretch>
                            <a:fillRect/>
                          </a:stretch>
                        </pic:blipFill>
                        <pic:spPr>
                          <a:xfrm>
                            <a:off x="0" y="0"/>
                            <a:ext cx="5255260" cy="6567170"/>
                          </a:xfrm>
                          <a:prstGeom prst="rect">
                            <a:avLst/>
                          </a:prstGeom>
                          <a:noFill/>
                          <a:ln>
                            <a:noFill/>
                          </a:ln>
                        </pic:spPr>
                      </pic:pic>
                    </a:graphicData>
                  </a:graphic>
                </wp:inline>
              </w:drawing>
            </w:r>
          </w:p>
          <w:p w14:paraId="797A70F9">
            <w:pPr>
              <w:pStyle w:val="16"/>
              <w:jc w:val="center"/>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图2-</w:t>
            </w:r>
            <w:r>
              <w:rPr>
                <w:rFonts w:hint="eastAsia" w:ascii="Times New Roman" w:hAnsi="Times New Roman"/>
                <w:b/>
                <w:bCs/>
                <w:color w:val="000000" w:themeColor="text1"/>
                <w:sz w:val="24"/>
                <w:szCs w:val="24"/>
                <w14:textFill>
                  <w14:solidFill>
                    <w14:schemeClr w14:val="tx1"/>
                  </w14:solidFill>
                </w14:textFill>
              </w:rPr>
              <w:t>8</w:t>
            </w:r>
            <w:r>
              <w:rPr>
                <w:rFonts w:ascii="Times New Roman" w:hAnsi="Times New Roman"/>
                <w:b/>
                <w:bCs/>
                <w:color w:val="000000" w:themeColor="text1"/>
                <w:sz w:val="24"/>
                <w:szCs w:val="24"/>
                <w14:textFill>
                  <w14:solidFill>
                    <w14:schemeClr w14:val="tx1"/>
                  </w14:solidFill>
                </w14:textFill>
              </w:rPr>
              <w:t xml:space="preserve">   果蔬渣烘干粉碎工艺流程图</w:t>
            </w:r>
          </w:p>
          <w:p w14:paraId="272F86DE">
            <w:pPr>
              <w:tabs>
                <w:tab w:val="left" w:pos="840"/>
              </w:tabs>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③</w:t>
            </w:r>
            <w:r>
              <w:rPr>
                <w:b/>
                <w:bCs/>
                <w:color w:val="000000" w:themeColor="text1"/>
                <w:kern w:val="0"/>
                <w:sz w:val="24"/>
                <w14:textFill>
                  <w14:solidFill>
                    <w14:schemeClr w14:val="tx1"/>
                  </w14:solidFill>
                </w14:textFill>
              </w:rPr>
              <w:t>生产废水处理系统工艺</w:t>
            </w:r>
          </w:p>
          <w:p w14:paraId="108CA4EE">
            <w:pPr>
              <w:tabs>
                <w:tab w:val="left" w:pos="840"/>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卸料产生的废水（卸料渗滤液）、</w:t>
            </w: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粉碎分选产生的废水（粉碎分选渗滤液）、</w:t>
            </w:r>
            <w:r>
              <w:rPr>
                <w:color w:val="000000" w:themeColor="text1"/>
                <w:sz w:val="24"/>
                <w14:textFill>
                  <w14:solidFill>
                    <w14:schemeClr w14:val="tx1"/>
                  </w14:solidFill>
                </w14:textFill>
              </w:rPr>
              <w:t>果蔬废弃物</w:t>
            </w:r>
            <w:r>
              <w:rPr>
                <w:color w:val="000000" w:themeColor="text1"/>
                <w:kern w:val="0"/>
                <w:sz w:val="24"/>
                <w14:textFill>
                  <w14:solidFill>
                    <w14:schemeClr w14:val="tx1"/>
                  </w14:solidFill>
                </w14:textFill>
              </w:rPr>
              <w:t>压榨脱水工艺中脱出的废水，</w:t>
            </w:r>
            <w:r>
              <w:rPr>
                <w:color w:val="000000" w:themeColor="text1"/>
                <w:sz w:val="24"/>
                <w14:textFill>
                  <w14:solidFill>
                    <w14:schemeClr w14:val="tx1"/>
                  </w14:solidFill>
                </w14:textFill>
              </w:rPr>
              <w:t>通过管道</w:t>
            </w:r>
            <w:r>
              <w:rPr>
                <w:bCs/>
                <w:color w:val="000000" w:themeColor="text1"/>
                <w:sz w:val="24"/>
                <w14:textFill>
                  <w14:solidFill>
                    <w14:schemeClr w14:val="tx1"/>
                  </w14:solidFill>
                </w14:textFill>
              </w:rPr>
              <w:t>进入二级烘干车间内的废水收集池后，由生产废水处理系统处理</w:t>
            </w:r>
            <w:r>
              <w:rPr>
                <w:color w:val="000000" w:themeColor="text1"/>
                <w:sz w:val="24"/>
                <w14:textFill>
                  <w14:solidFill>
                    <w14:schemeClr w14:val="tx1"/>
                  </w14:solidFill>
                </w14:textFill>
              </w:rPr>
              <w:t>后排放至寻甸县污水处理厂。主要工艺为：固液分离—絮凝反应-臭氧强氧化—IC厌氧—水解酸化—接触氧化—混凝沉淀。</w:t>
            </w:r>
          </w:p>
          <w:p w14:paraId="652CF2FF">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固液分离</w:t>
            </w:r>
          </w:p>
          <w:p w14:paraId="479440C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废水首先进入车间收集池，然后由泵提升进入固液分离机，</w:t>
            </w:r>
            <w:bookmarkStart w:id="27" w:name="_Hlk118229034"/>
            <w:r>
              <w:rPr>
                <w:color w:val="000000" w:themeColor="text1"/>
                <w:kern w:val="0"/>
                <w:sz w:val="24"/>
                <w14:textFill>
                  <w14:solidFill>
                    <w14:schemeClr w14:val="tx1"/>
                  </w14:solidFill>
                </w14:textFill>
              </w:rPr>
              <w:t>固液分离机可以大量去除水中的蔬菜纤维</w:t>
            </w:r>
            <w:bookmarkEnd w:id="27"/>
            <w:r>
              <w:rPr>
                <w:color w:val="000000" w:themeColor="text1"/>
                <w:kern w:val="0"/>
                <w:sz w:val="24"/>
                <w14:textFill>
                  <w14:solidFill>
                    <w14:schemeClr w14:val="tx1"/>
                  </w14:solidFill>
                </w14:textFill>
              </w:rPr>
              <w:t>，固液分离机出水进入调节池，然后由泵提升进入叠螺机，对水中一些细小的植物纤维、悬浮物、</w:t>
            </w:r>
            <w:r>
              <w:rPr>
                <w:rFonts w:hint="eastAsia"/>
                <w:color w:val="000000" w:themeColor="text1"/>
                <w:kern w:val="0"/>
                <w:sz w:val="24"/>
                <w14:textFill>
                  <w14:solidFill>
                    <w14:schemeClr w14:val="tx1"/>
                  </w14:solidFill>
                </w14:textFill>
              </w:rPr>
              <w:t>漂浮物</w:t>
            </w:r>
            <w:r>
              <w:rPr>
                <w:color w:val="000000" w:themeColor="text1"/>
                <w:kern w:val="0"/>
                <w:sz w:val="24"/>
                <w14:textFill>
                  <w14:solidFill>
                    <w14:schemeClr w14:val="tx1"/>
                  </w14:solidFill>
                </w14:textFill>
              </w:rPr>
              <w:t>等进行脱水，滤液进入中间池1，这时中间池1内的污水已经去除了大量蔬菜纤维，水中也</w:t>
            </w:r>
            <w:r>
              <w:rPr>
                <w:rFonts w:hint="eastAsia"/>
                <w:color w:val="000000" w:themeColor="text1"/>
                <w:kern w:val="0"/>
                <w:sz w:val="24"/>
                <w14:textFill>
                  <w14:solidFill>
                    <w14:schemeClr w14:val="tx1"/>
                  </w14:solidFill>
                </w14:textFill>
              </w:rPr>
              <w:t>不再</w:t>
            </w:r>
            <w:r>
              <w:rPr>
                <w:color w:val="000000" w:themeColor="text1"/>
                <w:kern w:val="0"/>
                <w:sz w:val="24"/>
                <w14:textFill>
                  <w14:solidFill>
                    <w14:schemeClr w14:val="tx1"/>
                  </w14:solidFill>
                </w14:textFill>
              </w:rPr>
              <w:t>呈现明显的绿色，可进入后续处理。</w:t>
            </w:r>
          </w:p>
          <w:p w14:paraId="1FB0FE3C">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絮凝反应、臭氧强氧化</w:t>
            </w:r>
          </w:p>
          <w:p w14:paraId="0DF9ACED">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中间池1出水由污水泵提升进入臭氧反应器，在臭氧反应器内充入臭氧，通过强氧化气浮一体机对污水进行强氧化反应，同时</w:t>
            </w:r>
            <w:r>
              <w:rPr>
                <w:rFonts w:hint="eastAsia"/>
                <w:color w:val="000000" w:themeColor="text1"/>
                <w:kern w:val="0"/>
                <w:sz w:val="24"/>
                <w14:textFill>
                  <w14:solidFill>
                    <w14:schemeClr w14:val="tx1"/>
                  </w14:solidFill>
                </w14:textFill>
              </w:rPr>
              <w:t>加入</w:t>
            </w:r>
            <w:r>
              <w:rPr>
                <w:color w:val="000000" w:themeColor="text1"/>
                <w:kern w:val="0"/>
                <w:sz w:val="24"/>
                <w14:textFill>
                  <w14:solidFill>
                    <w14:schemeClr w14:val="tx1"/>
                  </w14:solidFill>
                </w14:textFill>
              </w:rPr>
              <w:t>PAC、PAM进行絮凝反应，然后出水进入中间池2，然后进入IC厌氧塔。</w:t>
            </w:r>
          </w:p>
          <w:p w14:paraId="28337235">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IC厌氧</w:t>
            </w:r>
          </w:p>
          <w:p w14:paraId="11518210">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中间池2出水由污水提升泵提升进入IC厌氧塔，进行废水的厌氧发酵处理，在无分子氧的情况下，通过厌氧微生物的作用，将各种复杂的有机物分解成小分子有机物甲烷和二氧化碳。IC反应通过产生甲烷气体方式去除部分COD，同时将难生物降解的大分子有机物降解为小分子有机物。反应器由下而上共分为5个区：混合区、第1厌氧区、第2厌氧区、沉淀区和气液分离区。</w:t>
            </w:r>
          </w:p>
          <w:p w14:paraId="372985E7">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混合区：反应器底部进水、颗粒污泥和气液分离区回流的泥水混合物有效地在此区混合。</w:t>
            </w:r>
          </w:p>
          <w:p w14:paraId="0610B7F9">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第1厌氧区：混合区形成的泥水混合物进入该区，在高浓度污泥作用下，大部分有机物转化为沼气，厌氧环节产生的沼气由管道引至二级烘干热风炉作为燃料燃烧，不设沼气储罐。混合液上升流和沼气的剧烈扰动使该反应区内污泥呈膨胀和流化状态，加强了泥水表面接触，污泥由此而保持着高的活性。随着沼气产量的增多，一部分泥水混合物被沼气提升至顶部的气液分离区。</w:t>
            </w:r>
          </w:p>
          <w:p w14:paraId="26E8097A">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气液分离区：被提升的混合物中的沼气在此与泥水分离并导出处理系统，泥水混合物则沿着回流管返回到最下端的混合区，与反应器底部的污泥和进水充分混合，实现了混合液的内部循环。</w:t>
            </w:r>
          </w:p>
          <w:p w14:paraId="2BF1E8B5">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第2厌氧区：经第1厌氧区处理后的废水，除一部分被沼气提升外，其余的都通过三相分离器进入第2厌氧区。该区污泥浓度较低，且废水中大部分有机物已在第1厌氧区被降解，因此沼气产生量较少。沼气通过沼气管导入气液分离区，对第2厌氧区的扰动很小，这为污泥的停留提供了有利条件。</w:t>
            </w:r>
          </w:p>
          <w:p w14:paraId="29C6D755">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沉淀区：第2厌氧区的泥水混合物在沉淀区进行固液分离，上清液由出水管排走，沉淀的颗粒污泥返回第2厌氧区污泥床。</w:t>
            </w:r>
          </w:p>
          <w:p w14:paraId="450DE258">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从IC反应器工作原理中可见，反应器通过2层三相分离器来实现高污泥浓度；通过大量沼气和内循环的剧烈扰动，使泥水充分接触，获得良好的传质效果。</w:t>
            </w:r>
          </w:p>
          <w:p w14:paraId="2CF82534">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水解酸化、接触氧化</w:t>
            </w:r>
          </w:p>
          <w:p w14:paraId="024613CB">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IC厌氧塔出水进入水解酸化池，在水解酸化池内将大分子有机物分解成小分子有机物，有利于后续好氧工艺的处理，水解酸化池出水进入生物接触氧化池，生物法工作过程为：通过驯化培养而聚集的优势微生物群体，在生长过程中利用周围环境中的营养物质即水中的有机污染物质进行新陈代谢，达到降解污染物、净化水质的目的，出水进入沉淀池。</w:t>
            </w:r>
          </w:p>
          <w:p w14:paraId="11F468A1">
            <w:pPr>
              <w:tabs>
                <w:tab w:val="left" w:pos="840"/>
              </w:tabs>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混凝沉淀、排放</w:t>
            </w:r>
          </w:p>
          <w:p w14:paraId="70D8964B">
            <w:pPr>
              <w:tabs>
                <w:tab w:val="left" w:pos="840"/>
              </w:tabs>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沉淀池出水进入反应池，在反应池内投加粉末活性炭净化水质，出水由污水泵提升进入微气泡反应沉淀一体机，加入PAC、PAM进行混凝反应，出水进入清水池，出水达标排放。</w:t>
            </w:r>
          </w:p>
          <w:p w14:paraId="480112D3">
            <w:pPr>
              <w:spacing w:line="360" w:lineRule="auto"/>
              <w:ind w:left="420" w:left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（四）现有工程污染物排放情况：</w:t>
            </w:r>
          </w:p>
          <w:p w14:paraId="69C88747">
            <w:pPr>
              <w:spacing w:line="360" w:lineRule="auto"/>
              <w:ind w:firstLine="480" w:firstLineChars="200"/>
              <w:rPr>
                <w:b/>
                <w:bCs/>
                <w:color w:val="000000" w:themeColor="text1"/>
                <w:kern w:val="0"/>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rFonts w:hint="eastAsia"/>
                <w:color w:val="000000" w:themeColor="text1"/>
                <w:sz w:val="24"/>
                <w:szCs w:val="22"/>
                <w14:textFill>
                  <w14:solidFill>
                    <w14:schemeClr w14:val="tx1"/>
                  </w14:solidFill>
                </w14:textFill>
              </w:rPr>
              <w:t>已正式投产。参考</w:t>
            </w:r>
            <w:r>
              <w:rPr>
                <w:color w:val="000000" w:themeColor="text1"/>
                <w:sz w:val="24"/>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云南錦创环境科技有限公司果蔬废弃物处理项目</w:t>
            </w:r>
            <w:r>
              <w:rPr>
                <w:color w:val="000000" w:themeColor="text1"/>
                <w:sz w:val="24"/>
                <w14:textFill>
                  <w14:solidFill>
                    <w14:schemeClr w14:val="tx1"/>
                  </w14:solidFill>
                </w14:textFill>
              </w:rPr>
              <w:t>竣工环境保护验收监测报告表》</w:t>
            </w:r>
            <w:r>
              <w:rPr>
                <w:rFonts w:hint="eastAsia"/>
                <w:color w:val="000000" w:themeColor="text1"/>
                <w:sz w:val="24"/>
                <w14:textFill>
                  <w14:solidFill>
                    <w14:schemeClr w14:val="tx1"/>
                  </w14:solidFill>
                </w14:textFill>
              </w:rPr>
              <w:t>本项目</w:t>
            </w:r>
            <w:r>
              <w:rPr>
                <w:color w:val="000000" w:themeColor="text1"/>
                <w:kern w:val="0"/>
                <w:sz w:val="24"/>
                <w14:textFill>
                  <w14:solidFill>
                    <w14:schemeClr w14:val="tx1"/>
                  </w14:solidFill>
                </w14:textFill>
              </w:rPr>
              <w:t>原有环境污</w:t>
            </w:r>
            <w:r>
              <w:rPr>
                <w:rFonts w:hint="eastAsia"/>
                <w:color w:val="000000" w:themeColor="text1"/>
                <w:kern w:val="0"/>
                <w:sz w:val="24"/>
                <w14:textFill>
                  <w14:solidFill>
                    <w14:schemeClr w14:val="tx1"/>
                  </w14:solidFill>
                </w14:textFill>
              </w:rPr>
              <w:t>染如下：</w:t>
            </w:r>
          </w:p>
          <w:p w14:paraId="59050B59">
            <w:pPr>
              <w:spacing w:before="48" w:beforeLines="20" w:line="360" w:lineRule="auto"/>
              <w:ind w:firstLine="480" w:firstLineChars="200"/>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（1）废水：</w:t>
            </w:r>
          </w:p>
          <w:p w14:paraId="4822A4DB">
            <w:pPr>
              <w:spacing w:before="48" w:beforeLines="20" w:line="360" w:lineRule="auto"/>
              <w:ind w:firstLine="480" w:firstLineChars="200"/>
              <w:rPr>
                <w:color w:val="000000" w:themeColor="text1"/>
                <w:sz w:val="24"/>
                <w14:textFill>
                  <w14:solidFill>
                    <w14:schemeClr w14:val="tx1"/>
                  </w14:solidFill>
                </w14:textFill>
              </w:rPr>
            </w:pPr>
            <w:r>
              <w:rPr>
                <w:rFonts w:hint="eastAsia" w:eastAsia="Calibri"/>
                <w:color w:val="000000" w:themeColor="text1"/>
                <w:kern w:val="0"/>
                <w:sz w:val="24"/>
                <w14:textFill>
                  <w14:solidFill>
                    <w14:schemeClr w14:val="tx1"/>
                  </w14:solidFill>
                </w14:textFill>
              </w:rPr>
              <w:t>现有工程</w:t>
            </w:r>
            <w:r>
              <w:rPr>
                <w:color w:val="000000" w:themeColor="text1"/>
                <w:sz w:val="24"/>
                <w14:textFill>
                  <w14:solidFill>
                    <w14:schemeClr w14:val="tx1"/>
                  </w14:solidFill>
                </w14:textFill>
              </w:rPr>
              <w:t>运营期用水主要为车辆清洗，车间地面清洗用水，钠碱法脱硫用水，生活办公用水和绿化用水，水膜喷淋用水等；废水主要为果蔬废弃物压榨废水、车辆清洗废水，车间地面清洗废水，水膜喷淋湿法脱硫废水和生活办公废水等。</w:t>
            </w:r>
          </w:p>
          <w:p w14:paraId="170E98B1">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果蔬压榨废水</w:t>
            </w:r>
          </w:p>
          <w:p w14:paraId="734DE179">
            <w:pPr>
              <w:spacing w:before="48" w:beforeLines="20"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根据实际运行情况，项目果蔬压榨废水产生量约为</w:t>
            </w:r>
            <w:r>
              <w:rPr>
                <w:rFonts w:hint="eastAsia"/>
                <w:color w:val="000000" w:themeColor="text1"/>
                <w:sz w:val="24"/>
                <w14:textFill>
                  <w14:solidFill>
                    <w14:schemeClr w14:val="tx1"/>
                  </w14:solidFill>
                </w14:textFill>
              </w:rPr>
              <w:t>700</w:t>
            </w:r>
            <w:r>
              <w:rPr>
                <w:color w:val="000000" w:themeColor="text1"/>
                <w:sz w:val="24"/>
                <w14:textFill>
                  <w14:solidFill>
                    <w14:schemeClr w14:val="tx1"/>
                  </w14:solidFill>
                </w14:textFill>
              </w:rPr>
              <w:t>t/d。</w:t>
            </w:r>
          </w:p>
          <w:p w14:paraId="1FD747C4">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②</w:t>
            </w:r>
            <w:r>
              <w:rPr>
                <w:b/>
                <w:bCs/>
                <w:color w:val="000000" w:themeColor="text1"/>
                <w:sz w:val="24"/>
                <w14:textFill>
                  <w14:solidFill>
                    <w14:schemeClr w14:val="tx1"/>
                  </w14:solidFill>
                </w14:textFill>
              </w:rPr>
              <w:t>车辆清洗用排水</w:t>
            </w:r>
          </w:p>
          <w:p w14:paraId="68E5190D">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项目设有车辆洗消间，主要是对运输果蔬废弃物的车辆卸料后进行清洗，清洗不添加洗涤剂。根据实际运行情况，洗车用水量约10m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/d，3330m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/a；废水量为8m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/d，2664m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59BD5813">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③</w:t>
            </w:r>
            <w:r>
              <w:rPr>
                <w:b/>
                <w:bCs/>
                <w:color w:val="000000" w:themeColor="text1"/>
                <w:sz w:val="24"/>
                <w14:textFill>
                  <w14:solidFill>
                    <w14:schemeClr w14:val="tx1"/>
                  </w14:solidFill>
                </w14:textFill>
              </w:rPr>
              <w:t>车间地面清洗用排水</w:t>
            </w:r>
          </w:p>
          <w:p w14:paraId="5886065A">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根据实际运行情况，项目地面清洁用水量约3m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/d，999m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/a；废水产生量约2.4m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/d，799.2m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55FFB419">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④</w:t>
            </w:r>
            <w:r>
              <w:rPr>
                <w:b/>
                <w:bCs/>
                <w:color w:val="000000" w:themeColor="text1"/>
                <w:sz w:val="24"/>
                <w14:textFill>
                  <w14:solidFill>
                    <w14:schemeClr w14:val="tx1"/>
                  </w14:solidFill>
                </w14:textFill>
              </w:rPr>
              <w:t>水膜喷淋湿法脱硫用水</w:t>
            </w:r>
          </w:p>
          <w:p w14:paraId="22159372">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w:t>
            </w:r>
            <w:r>
              <w:rPr>
                <w:color w:val="000000" w:themeColor="text1"/>
                <w:kern w:val="0"/>
                <w:sz w:val="24"/>
                <w14:textFill>
                  <w14:solidFill>
                    <w14:schemeClr w14:val="tx1"/>
                  </w14:solidFill>
                </w14:textFill>
              </w:rPr>
              <w:t>水膜喷淋除尘</w:t>
            </w:r>
            <w:r>
              <w:rPr>
                <w:color w:val="000000" w:themeColor="text1"/>
                <w:sz w:val="24"/>
                <w14:textFill>
                  <w14:solidFill>
                    <w14:schemeClr w14:val="tx1"/>
                  </w14:solidFill>
                </w14:textFill>
              </w:rPr>
              <w:t>+钠碱法脱硫方式排水量</w:t>
            </w:r>
            <w:r>
              <w:rPr>
                <w:bCs/>
                <w:color w:val="000000" w:themeColor="text1"/>
                <w:sz w:val="24"/>
                <w14:textFill>
                  <w14:solidFill>
                    <w14:schemeClr w14:val="tx1"/>
                  </w14:solidFill>
                </w14:textFill>
              </w:rPr>
              <w:t>0.04m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/d，13.32m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color w:val="000000" w:themeColor="text1"/>
                <w:sz w:val="24"/>
                <w14:textFill>
                  <w14:solidFill>
                    <w14:schemeClr w14:val="tx1"/>
                  </w14:solidFill>
                </w14:textFill>
              </w:rPr>
              <w:t>补充新鲜水0.54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/d，179.82m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p>
          <w:p w14:paraId="64138219">
            <w:pPr>
              <w:spacing w:before="48" w:beforeLines="2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⑤</w:t>
            </w:r>
            <w:r>
              <w:rPr>
                <w:b/>
                <w:color w:val="000000" w:themeColor="text1"/>
                <w:sz w:val="24"/>
                <w14:textFill>
                  <w14:solidFill>
                    <w14:schemeClr w14:val="tx1"/>
                  </w14:solidFill>
                </w14:textFill>
              </w:rPr>
              <w:t>尿素喷淋用水</w:t>
            </w:r>
          </w:p>
          <w:p w14:paraId="16676CC3">
            <w:pPr>
              <w:spacing w:before="48" w:beforeLines="2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w:t>
            </w:r>
            <w:r>
              <w:rPr>
                <w:bCs/>
                <w:color w:val="000000" w:themeColor="text1"/>
                <w:sz w:val="24"/>
                <w14:textFill>
                  <w14:solidFill>
                    <w14:schemeClr w14:val="tx1"/>
                  </w14:solidFill>
                </w14:textFill>
              </w:rPr>
              <w:t>，尿素喷淋的用水量为0.03m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/d，9.9m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/a。尿素喷淋用水量少，剩余水分在高温状态下发生气化外排，无废水产生。</w:t>
            </w:r>
          </w:p>
          <w:p w14:paraId="22C10ED8">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⑥</w:t>
            </w:r>
            <w:r>
              <w:rPr>
                <w:b/>
                <w:bCs/>
                <w:color w:val="000000" w:themeColor="text1"/>
                <w:sz w:val="24"/>
                <w14:textFill>
                  <w14:solidFill>
                    <w14:schemeClr w14:val="tx1"/>
                  </w14:solidFill>
                </w14:textFill>
              </w:rPr>
              <w:t>生活办公用排水</w:t>
            </w:r>
          </w:p>
          <w:p w14:paraId="71158DD8">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color w:val="000000" w:themeColor="text1"/>
                <w:sz w:val="24"/>
                <w14:textFill>
                  <w14:solidFill>
                    <w14:schemeClr w14:val="tx1"/>
                  </w14:solidFill>
                </w14:textFill>
              </w:rPr>
              <w:t>根据实际运行情况，厨房用水量约0.48m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/d，159.84m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/a，厨房废水量约0.384m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/d，127.872m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/a。住宿人员办公生活用水总量约0.45m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/d，149.85m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/a，非住宿人员办公用水量为0.84m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/d，279.72m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/a，则员工办公生活总用水量为1.29m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/d，429.57m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/a，办公生活废水量为1.032m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/d，343.656m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/a。采用新鲜水。该废水中主要污染物为CODcr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、氨</w:t>
            </w:r>
            <w:r>
              <w:rPr>
                <w:color w:val="000000" w:themeColor="text1"/>
                <w:sz w:val="24"/>
                <w14:textFill>
                  <w14:solidFill>
                    <w14:schemeClr w14:val="tx1"/>
                  </w14:solidFill>
                </w14:textFill>
              </w:rPr>
              <w:t>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47080904">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⑦</w:t>
            </w:r>
            <w:r>
              <w:rPr>
                <w:b/>
                <w:bCs/>
                <w:color w:val="000000" w:themeColor="text1"/>
                <w:sz w:val="24"/>
                <w14:textFill>
                  <w14:solidFill>
                    <w14:schemeClr w14:val="tx1"/>
                  </w14:solidFill>
                </w14:textFill>
              </w:rPr>
              <w:t>冲厕用排水</w:t>
            </w:r>
          </w:p>
          <w:p w14:paraId="0EDD5FE6">
            <w:pPr>
              <w:spacing w:before="48" w:beforeLines="20" w:line="360" w:lineRule="auto"/>
              <w:ind w:firstLine="480" w:firstLineChars="200"/>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bCs/>
                <w:color w:val="000000" w:themeColor="text1"/>
                <w:sz w:val="24"/>
                <w14:textFill>
                  <w14:solidFill>
                    <w14:schemeClr w14:val="tx1"/>
                  </w14:solidFill>
                </w14:textFill>
              </w:rPr>
              <w:t>按照实际运行情况，冲厕用水量约1.645m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/d，547.785m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/a。冲厕废水产生量约1.316m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/d，438.228m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w:t>
            </w:r>
            <w:r>
              <w:rPr>
                <w:color w:val="000000" w:themeColor="text1"/>
                <w:sz w:val="24"/>
                <w14:textFill>
                  <w14:solidFill>
                    <w14:schemeClr w14:val="tx1"/>
                  </w14:solidFill>
                </w14:textFill>
              </w:rPr>
              <w:t>该废水中主要污染物为CODcr</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氨氮</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SS等。</w:t>
            </w:r>
          </w:p>
          <w:p w14:paraId="68EE0848">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⑧</w:t>
            </w:r>
            <w:r>
              <w:rPr>
                <w:b/>
                <w:bCs/>
                <w:color w:val="000000" w:themeColor="text1"/>
                <w:sz w:val="24"/>
                <w14:textFill>
                  <w14:solidFill>
                    <w14:schemeClr w14:val="tx1"/>
                  </w14:solidFill>
                </w14:textFill>
              </w:rPr>
              <w:t>绿化用水</w:t>
            </w:r>
          </w:p>
          <w:p w14:paraId="0A57281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w:t>
            </w:r>
            <w:r>
              <w:rPr>
                <w:bCs/>
                <w:color w:val="000000" w:themeColor="text1"/>
                <w:sz w:val="24"/>
                <w14:textFill>
                  <w14:solidFill>
                    <w14:schemeClr w14:val="tx1"/>
                  </w14:solidFill>
                </w14:textFill>
              </w:rPr>
              <w:t>项目绿化面积约为</w:t>
            </w:r>
            <w:r>
              <w:rPr>
                <w:color w:val="000000" w:themeColor="text1"/>
                <w:sz w:val="24"/>
                <w14:textFill>
                  <w14:solidFill>
                    <w14:schemeClr w14:val="tx1"/>
                  </w14:solidFill>
                </w14:textFill>
              </w:rPr>
              <w:t>300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，晴天每天浇一次水，根据实际运行情况并结合寻甸县</w:t>
            </w:r>
            <w:r>
              <w:rPr>
                <w:color w:val="000000" w:themeColor="text1"/>
                <w:kern w:val="0"/>
                <w:sz w:val="24"/>
                <w14:textFill>
                  <w14:solidFill>
                    <w14:schemeClr w14:val="tx1"/>
                  </w14:solidFill>
                </w14:textFill>
              </w:rPr>
              <w:t>多年气象参数，寻甸县</w:t>
            </w:r>
            <w:r>
              <w:rPr>
                <w:bCs/>
                <w:color w:val="000000" w:themeColor="text1"/>
                <w:sz w:val="24"/>
                <w14:textFill>
                  <w14:solidFill>
                    <w14:schemeClr w14:val="tx1"/>
                  </w14:solidFill>
                </w14:textFill>
              </w:rPr>
              <w:t>年均雨天约141天，晴天约224天。则项目晴天绿化用水约0.9m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/d，201.6m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/a，采用新鲜水，全部消耗，无废水产生。</w:t>
            </w:r>
          </w:p>
          <w:p w14:paraId="5DE312A8">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表</w:t>
            </w:r>
            <w:r>
              <w:rPr>
                <w:rFonts w:hint="eastAsia"/>
                <w:b/>
                <w:bCs/>
                <w:color w:val="000000" w:themeColor="text1"/>
                <w:position w:val="2"/>
                <w14:textFill>
                  <w14:solidFill>
                    <w14:schemeClr w14:val="tx1"/>
                  </w14:solidFill>
                </w14:textFill>
              </w:rPr>
              <w:t>2</w:t>
            </w:r>
            <w:r>
              <w:rPr>
                <w:b/>
                <w:bCs/>
                <w:color w:val="000000" w:themeColor="text1"/>
                <w:position w:val="2"/>
                <w14:textFill>
                  <w14:solidFill>
                    <w14:schemeClr w14:val="tx1"/>
                  </w14:solidFill>
                </w14:textFill>
              </w:rPr>
              <w:t>-1</w:t>
            </w:r>
            <w:r>
              <w:rPr>
                <w:rFonts w:hint="eastAsia"/>
                <w:b/>
                <w:bCs/>
                <w:color w:val="000000" w:themeColor="text1"/>
                <w:position w:val="2"/>
                <w14:textFill>
                  <w14:solidFill>
                    <w14:schemeClr w14:val="tx1"/>
                  </w14:solidFill>
                </w14:textFill>
              </w:rPr>
              <w:t>0</w:t>
            </w:r>
            <w:r>
              <w:rPr>
                <w:b/>
                <w:bCs/>
                <w:color w:val="000000" w:themeColor="text1"/>
                <w:position w:val="2"/>
                <w14:textFill>
                  <w14:solidFill>
                    <w14:schemeClr w14:val="tx1"/>
                  </w14:solidFill>
                </w14:textFill>
              </w:rPr>
              <w:t xml:space="preserve"> 项目废水产排情况一览表</w:t>
            </w:r>
          </w:p>
          <w:tbl>
            <w:tblPr>
              <w:tblStyle w:val="23"/>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44"/>
              <w:gridCol w:w="756"/>
              <w:gridCol w:w="578"/>
              <w:gridCol w:w="822"/>
              <w:gridCol w:w="767"/>
              <w:gridCol w:w="634"/>
              <w:gridCol w:w="802"/>
              <w:gridCol w:w="790"/>
              <w:gridCol w:w="845"/>
              <w:gridCol w:w="622"/>
              <w:gridCol w:w="1080"/>
            </w:tblGrid>
            <w:tr w14:paraId="15DB5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3" w:hRule="atLeast"/>
              </w:trPr>
              <w:tc>
                <w:tcPr>
                  <w:tcW w:w="547" w:type="pct"/>
                  <w:vAlign w:val="center"/>
                </w:tcPr>
                <w:p w14:paraId="395F898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水量</w:t>
                  </w:r>
                </w:p>
              </w:tc>
              <w:tc>
                <w:tcPr>
                  <w:tcW w:w="431" w:type="pct"/>
                  <w:vAlign w:val="center"/>
                </w:tcPr>
                <w:p w14:paraId="4712D13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果蔬废弃物</w:t>
                  </w:r>
                </w:p>
              </w:tc>
              <w:tc>
                <w:tcPr>
                  <w:tcW w:w="335" w:type="pct"/>
                  <w:vAlign w:val="center"/>
                </w:tcPr>
                <w:p w14:paraId="1B0DC5F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车辆清洗</w:t>
                  </w:r>
                </w:p>
              </w:tc>
              <w:tc>
                <w:tcPr>
                  <w:tcW w:w="476" w:type="pct"/>
                  <w:vAlign w:val="center"/>
                </w:tcPr>
                <w:p w14:paraId="792F922F">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车间地面清洗</w:t>
                  </w:r>
                </w:p>
              </w:tc>
              <w:tc>
                <w:tcPr>
                  <w:tcW w:w="444" w:type="pct"/>
                  <w:vAlign w:val="center"/>
                </w:tcPr>
                <w:p w14:paraId="6AA59E0A">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水膜喷淋湿法脱硫用水</w:t>
                  </w:r>
                </w:p>
              </w:tc>
              <w:tc>
                <w:tcPr>
                  <w:tcW w:w="367" w:type="pct"/>
                  <w:vAlign w:val="center"/>
                </w:tcPr>
                <w:p w14:paraId="41B6204D">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尿素喷淋用水</w:t>
                  </w:r>
                </w:p>
              </w:tc>
              <w:tc>
                <w:tcPr>
                  <w:tcW w:w="464" w:type="pct"/>
                  <w:vAlign w:val="center"/>
                </w:tcPr>
                <w:p w14:paraId="30710FE3">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厨房</w:t>
                  </w:r>
                </w:p>
                <w:p w14:paraId="57C68A7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457" w:type="pct"/>
                  <w:vAlign w:val="center"/>
                </w:tcPr>
                <w:p w14:paraId="3934EFD2">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生活</w:t>
                  </w:r>
                </w:p>
                <w:p w14:paraId="33BF8213">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办公</w:t>
                  </w:r>
                </w:p>
              </w:tc>
              <w:tc>
                <w:tcPr>
                  <w:tcW w:w="489" w:type="pct"/>
                  <w:vAlign w:val="center"/>
                </w:tcPr>
                <w:p w14:paraId="281D6C64">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冲厕</w:t>
                  </w:r>
                </w:p>
                <w:p w14:paraId="24EE34D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360" w:type="pct"/>
                  <w:vAlign w:val="center"/>
                </w:tcPr>
                <w:p w14:paraId="3B8B34E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绿化用水</w:t>
                  </w:r>
                </w:p>
              </w:tc>
              <w:tc>
                <w:tcPr>
                  <w:tcW w:w="625" w:type="pct"/>
                  <w:vAlign w:val="center"/>
                </w:tcPr>
                <w:p w14:paraId="77B2932B">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合计</w:t>
                  </w:r>
                </w:p>
              </w:tc>
            </w:tr>
            <w:tr w14:paraId="4E3FD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547" w:type="pct"/>
                  <w:vAlign w:val="center"/>
                </w:tcPr>
                <w:p w14:paraId="07AF6AF8">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w:t>
                  </w:r>
                </w:p>
                <w:p w14:paraId="4F265A18">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18" name="直接连接符 13"/>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3" o:spid="_x0000_s1026" o:spt="20" style="position:absolute;left:0pt;margin-left:324pt;margin-top:12.6pt;height:31.2pt;width:0.05pt;z-index:251663360;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AR3bkq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431" w:type="pct"/>
                  <w:vAlign w:val="center"/>
                </w:tcPr>
                <w:p w14:paraId="1884233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35" w:type="pct"/>
                  <w:vAlign w:val="center"/>
                </w:tcPr>
                <w:p w14:paraId="2BC2D58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476" w:type="pct"/>
                  <w:vAlign w:val="center"/>
                </w:tcPr>
                <w:p w14:paraId="2923327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444" w:type="pct"/>
                  <w:vAlign w:val="center"/>
                </w:tcPr>
                <w:p w14:paraId="156C3D3B">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0.54</w:t>
                  </w:r>
                </w:p>
              </w:tc>
              <w:tc>
                <w:tcPr>
                  <w:tcW w:w="367" w:type="pct"/>
                  <w:vAlign w:val="center"/>
                </w:tcPr>
                <w:p w14:paraId="5C2D0A4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0.03</w:t>
                  </w:r>
                </w:p>
              </w:tc>
              <w:tc>
                <w:tcPr>
                  <w:tcW w:w="464" w:type="pct"/>
                  <w:vAlign w:val="center"/>
                </w:tcPr>
                <w:p w14:paraId="771030A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0.48</w:t>
                  </w:r>
                </w:p>
              </w:tc>
              <w:tc>
                <w:tcPr>
                  <w:tcW w:w="457" w:type="pct"/>
                  <w:vAlign w:val="center"/>
                </w:tcPr>
                <w:p w14:paraId="37FC736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1.29</w:t>
                  </w:r>
                </w:p>
              </w:tc>
              <w:tc>
                <w:tcPr>
                  <w:tcW w:w="489" w:type="pct"/>
                  <w:vAlign w:val="center"/>
                </w:tcPr>
                <w:p w14:paraId="371A2CA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1.645</w:t>
                  </w:r>
                </w:p>
              </w:tc>
              <w:tc>
                <w:tcPr>
                  <w:tcW w:w="360" w:type="pct"/>
                  <w:vAlign w:val="center"/>
                </w:tcPr>
                <w:p w14:paraId="41FF9E9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625" w:type="pct"/>
                  <w:vAlign w:val="center"/>
                </w:tcPr>
                <w:p w14:paraId="1D8381A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17.885（晴天），</w:t>
                  </w:r>
                </w:p>
                <w:p w14:paraId="47CC913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16.985（雨天）</w:t>
                  </w:r>
                </w:p>
              </w:tc>
            </w:tr>
            <w:tr w14:paraId="1B626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547" w:type="pct"/>
                  <w:vAlign w:val="center"/>
                </w:tcPr>
                <w:p w14:paraId="5D649AC3">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用水量（t/a）</w:t>
                  </w:r>
                </w:p>
              </w:tc>
              <w:tc>
                <w:tcPr>
                  <w:tcW w:w="431" w:type="pct"/>
                  <w:vAlign w:val="center"/>
                </w:tcPr>
                <w:p w14:paraId="5E6FC68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35" w:type="pct"/>
                  <w:vAlign w:val="center"/>
                </w:tcPr>
                <w:p w14:paraId="5AC8D78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3330</w:t>
                  </w:r>
                </w:p>
              </w:tc>
              <w:tc>
                <w:tcPr>
                  <w:tcW w:w="476" w:type="pct"/>
                  <w:vAlign w:val="center"/>
                </w:tcPr>
                <w:p w14:paraId="59E3389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999</w:t>
                  </w:r>
                </w:p>
              </w:tc>
              <w:tc>
                <w:tcPr>
                  <w:tcW w:w="444" w:type="pct"/>
                  <w:vAlign w:val="center"/>
                </w:tcPr>
                <w:p w14:paraId="3D1DEBA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179.82</w:t>
                  </w:r>
                </w:p>
              </w:tc>
              <w:tc>
                <w:tcPr>
                  <w:tcW w:w="367" w:type="pct"/>
                  <w:vAlign w:val="center"/>
                </w:tcPr>
                <w:p w14:paraId="3DB219E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9.99</w:t>
                  </w:r>
                </w:p>
              </w:tc>
              <w:tc>
                <w:tcPr>
                  <w:tcW w:w="464" w:type="pct"/>
                  <w:vAlign w:val="center"/>
                </w:tcPr>
                <w:p w14:paraId="19E18E3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159.84</w:t>
                  </w:r>
                </w:p>
              </w:tc>
              <w:tc>
                <w:tcPr>
                  <w:tcW w:w="457" w:type="pct"/>
                  <w:vAlign w:val="center"/>
                </w:tcPr>
                <w:p w14:paraId="436F9A6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429.57</w:t>
                  </w:r>
                </w:p>
              </w:tc>
              <w:tc>
                <w:tcPr>
                  <w:tcW w:w="489" w:type="pct"/>
                  <w:vAlign w:val="center"/>
                </w:tcPr>
                <w:p w14:paraId="0B8F410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547.785</w:t>
                  </w:r>
                </w:p>
              </w:tc>
              <w:tc>
                <w:tcPr>
                  <w:tcW w:w="360" w:type="pct"/>
                  <w:vAlign w:val="center"/>
                </w:tcPr>
                <w:p w14:paraId="73D4CA00">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299.7</w:t>
                  </w:r>
                </w:p>
              </w:tc>
              <w:tc>
                <w:tcPr>
                  <w:tcW w:w="625" w:type="pct"/>
                  <w:vAlign w:val="center"/>
                </w:tcPr>
                <w:p w14:paraId="4E09608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5955.71</w:t>
                  </w:r>
                </w:p>
              </w:tc>
            </w:tr>
            <w:tr w14:paraId="0F093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547" w:type="pct"/>
                  <w:vAlign w:val="center"/>
                </w:tcPr>
                <w:p w14:paraId="1132AEA4">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w:t>
                  </w:r>
                </w:p>
                <w:p w14:paraId="700806DC">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19" name="直接连接符 12"/>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2" o:spid="_x0000_s1026" o:spt="20" style="position:absolute;left:0pt;margin-left:324pt;margin-top:12.6pt;height:31.2pt;width:0.05pt;z-index:251664384;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NKdg42AAAAAkBAAAPAAAA&#10;AAAAAAEAIAAAACIAAABkcnMvZG93bnJldi54bWxQSwECFAAUAAAACACHTuJAnJP6GaMBAAA0AwAA&#10;DgAAAAAAAAABACAAAAAnAQAAZHJzL2Uyb0RvYy54bWxQSwUGAAAAAAYABgBZAQAAPAU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431" w:type="pct"/>
                  <w:vAlign w:val="center"/>
                </w:tcPr>
                <w:p w14:paraId="561D792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700</w:t>
                  </w:r>
                </w:p>
              </w:tc>
              <w:tc>
                <w:tcPr>
                  <w:tcW w:w="335" w:type="pct"/>
                  <w:vAlign w:val="center"/>
                </w:tcPr>
                <w:p w14:paraId="5167E3E1">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476" w:type="pct"/>
                  <w:vAlign w:val="center"/>
                </w:tcPr>
                <w:p w14:paraId="2A59106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w:t>
                  </w:r>
                </w:p>
              </w:tc>
              <w:tc>
                <w:tcPr>
                  <w:tcW w:w="444" w:type="pct"/>
                  <w:vAlign w:val="center"/>
                </w:tcPr>
                <w:p w14:paraId="10790EC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0.04</w:t>
                  </w:r>
                </w:p>
              </w:tc>
              <w:tc>
                <w:tcPr>
                  <w:tcW w:w="367" w:type="pct"/>
                  <w:vAlign w:val="center"/>
                </w:tcPr>
                <w:p w14:paraId="071C6E1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64" w:type="pct"/>
                  <w:vAlign w:val="center"/>
                </w:tcPr>
                <w:p w14:paraId="48E611D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0.384</w:t>
                  </w:r>
                </w:p>
              </w:tc>
              <w:tc>
                <w:tcPr>
                  <w:tcW w:w="457" w:type="pct"/>
                  <w:vAlign w:val="center"/>
                </w:tcPr>
                <w:p w14:paraId="10E92C85">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1.032</w:t>
                  </w:r>
                </w:p>
              </w:tc>
              <w:tc>
                <w:tcPr>
                  <w:tcW w:w="489" w:type="pct"/>
                  <w:vAlign w:val="center"/>
                </w:tcPr>
                <w:p w14:paraId="417C694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1.316</w:t>
                  </w:r>
                </w:p>
              </w:tc>
              <w:tc>
                <w:tcPr>
                  <w:tcW w:w="360" w:type="pct"/>
                  <w:vAlign w:val="center"/>
                </w:tcPr>
                <w:p w14:paraId="22A7E018">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25" w:type="pct"/>
                  <w:vAlign w:val="center"/>
                </w:tcPr>
                <w:p w14:paraId="51855030">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713.17</w:t>
                  </w:r>
                </w:p>
              </w:tc>
            </w:tr>
            <w:tr w14:paraId="48666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547" w:type="pct"/>
                  <w:vAlign w:val="center"/>
                </w:tcPr>
                <w:p w14:paraId="39BC81F6">
                  <w:pPr>
                    <w:spacing w:before="48" w:beforeLines="20"/>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废水量（t/a）</w:t>
                  </w:r>
                </w:p>
              </w:tc>
              <w:tc>
                <w:tcPr>
                  <w:tcW w:w="431" w:type="pct"/>
                  <w:vAlign w:val="center"/>
                </w:tcPr>
                <w:p w14:paraId="28EDF0AF">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233100</w:t>
                  </w:r>
                </w:p>
              </w:tc>
              <w:tc>
                <w:tcPr>
                  <w:tcW w:w="335" w:type="pct"/>
                  <w:vAlign w:val="center"/>
                </w:tcPr>
                <w:p w14:paraId="564775D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2664</w:t>
                  </w:r>
                </w:p>
              </w:tc>
              <w:tc>
                <w:tcPr>
                  <w:tcW w:w="476" w:type="pct"/>
                  <w:vAlign w:val="center"/>
                </w:tcPr>
                <w:p w14:paraId="0F4EE99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799.2</w:t>
                  </w:r>
                </w:p>
              </w:tc>
              <w:tc>
                <w:tcPr>
                  <w:tcW w:w="444" w:type="pct"/>
                  <w:vAlign w:val="center"/>
                </w:tcPr>
                <w:p w14:paraId="73A36F4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13.32</w:t>
                  </w:r>
                </w:p>
              </w:tc>
              <w:tc>
                <w:tcPr>
                  <w:tcW w:w="367" w:type="pct"/>
                  <w:vAlign w:val="center"/>
                </w:tcPr>
                <w:p w14:paraId="7C719402">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464" w:type="pct"/>
                  <w:vAlign w:val="center"/>
                </w:tcPr>
                <w:p w14:paraId="1B4E002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127.872</w:t>
                  </w:r>
                </w:p>
              </w:tc>
              <w:tc>
                <w:tcPr>
                  <w:tcW w:w="457" w:type="pct"/>
                  <w:vAlign w:val="center"/>
                </w:tcPr>
                <w:p w14:paraId="222EBE21">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343.66</w:t>
                  </w:r>
                </w:p>
              </w:tc>
              <w:tc>
                <w:tcPr>
                  <w:tcW w:w="489" w:type="pct"/>
                  <w:vAlign w:val="center"/>
                </w:tcPr>
                <w:p w14:paraId="43B28E34">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438.228</w:t>
                  </w:r>
                </w:p>
              </w:tc>
              <w:tc>
                <w:tcPr>
                  <w:tcW w:w="360" w:type="pct"/>
                  <w:vAlign w:val="center"/>
                </w:tcPr>
                <w:p w14:paraId="03DEFC6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25" w:type="pct"/>
                  <w:vAlign w:val="center"/>
                </w:tcPr>
                <w:p w14:paraId="0A2665F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237486.276</w:t>
                  </w:r>
                </w:p>
              </w:tc>
            </w:tr>
          </w:tbl>
          <w:p w14:paraId="3B8B934D">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表</w:t>
            </w:r>
            <w:r>
              <w:rPr>
                <w:rFonts w:hint="eastAsia"/>
                <w:b/>
                <w:bCs/>
                <w:color w:val="000000" w:themeColor="text1"/>
                <w:position w:val="2"/>
                <w14:textFill>
                  <w14:solidFill>
                    <w14:schemeClr w14:val="tx1"/>
                  </w14:solidFill>
                </w14:textFill>
              </w:rPr>
              <w:t>2</w:t>
            </w:r>
            <w:r>
              <w:rPr>
                <w:b/>
                <w:bCs/>
                <w:color w:val="000000" w:themeColor="text1"/>
                <w:position w:val="2"/>
                <w14:textFill>
                  <w14:solidFill>
                    <w14:schemeClr w14:val="tx1"/>
                  </w14:solidFill>
                </w14:textFill>
              </w:rPr>
              <w:t>-</w:t>
            </w:r>
            <w:r>
              <w:rPr>
                <w:rFonts w:hint="eastAsia"/>
                <w:b/>
                <w:bCs/>
                <w:color w:val="000000" w:themeColor="text1"/>
                <w:position w:val="2"/>
                <w14:textFill>
                  <w14:solidFill>
                    <w14:schemeClr w14:val="tx1"/>
                  </w14:solidFill>
                </w14:textFill>
              </w:rPr>
              <w:t>11</w:t>
            </w:r>
            <w:r>
              <w:rPr>
                <w:b/>
                <w:bCs/>
                <w:color w:val="000000" w:themeColor="text1"/>
                <w:position w:val="2"/>
                <w14:textFill>
                  <w14:solidFill>
                    <w14:schemeClr w14:val="tx1"/>
                  </w14:solidFill>
                </w14:textFill>
              </w:rPr>
              <w:t xml:space="preserve"> 项目废水污染物排放达标情况一览表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50"/>
              <w:gridCol w:w="1109"/>
              <w:gridCol w:w="1020"/>
              <w:gridCol w:w="913"/>
              <w:gridCol w:w="931"/>
              <w:gridCol w:w="931"/>
              <w:gridCol w:w="858"/>
              <w:gridCol w:w="912"/>
            </w:tblGrid>
            <w:tr w14:paraId="163A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gridSpan w:val="2"/>
                  <w:vAlign w:val="center"/>
                </w:tcPr>
                <w:p w14:paraId="27DC8790">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项目</w:t>
                  </w:r>
                </w:p>
              </w:tc>
              <w:tc>
                <w:tcPr>
                  <w:tcW w:w="561" w:type="pct"/>
                  <w:vAlign w:val="center"/>
                </w:tcPr>
                <w:p w14:paraId="132F9581">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废水量</w:t>
                  </w:r>
                </w:p>
              </w:tc>
              <w:tc>
                <w:tcPr>
                  <w:tcW w:w="600" w:type="pct"/>
                  <w:vAlign w:val="center"/>
                </w:tcPr>
                <w:p w14:paraId="4CD5D384">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单位</w:t>
                  </w:r>
                </w:p>
              </w:tc>
              <w:tc>
                <w:tcPr>
                  <w:tcW w:w="538" w:type="pct"/>
                  <w:vAlign w:val="center"/>
                </w:tcPr>
                <w:p w14:paraId="7D879AB9">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CODcr</w:t>
                  </w:r>
                </w:p>
              </w:tc>
              <w:tc>
                <w:tcPr>
                  <w:tcW w:w="548" w:type="pct"/>
                  <w:vAlign w:val="center"/>
                </w:tcPr>
                <w:p w14:paraId="4199E6D6">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BOD</w:t>
                  </w:r>
                  <w:r>
                    <w:rPr>
                      <w:b/>
                      <w:bCs/>
                      <w:color w:val="000000" w:themeColor="text1"/>
                      <w:position w:val="2"/>
                      <w:vertAlign w:val="subscript"/>
                      <w14:textFill>
                        <w14:solidFill>
                          <w14:schemeClr w14:val="tx1"/>
                        </w14:solidFill>
                      </w14:textFill>
                    </w:rPr>
                    <w:t>5</w:t>
                  </w:r>
                </w:p>
              </w:tc>
              <w:tc>
                <w:tcPr>
                  <w:tcW w:w="548" w:type="pct"/>
                  <w:vAlign w:val="center"/>
                </w:tcPr>
                <w:p w14:paraId="3610E485">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SS</w:t>
                  </w:r>
                </w:p>
              </w:tc>
              <w:tc>
                <w:tcPr>
                  <w:tcW w:w="506" w:type="pct"/>
                  <w:vAlign w:val="center"/>
                </w:tcPr>
                <w:p w14:paraId="43BBFCFC">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氨氮</w:t>
                  </w:r>
                </w:p>
              </w:tc>
              <w:tc>
                <w:tcPr>
                  <w:tcW w:w="537" w:type="pct"/>
                  <w:vAlign w:val="center"/>
                </w:tcPr>
                <w:p w14:paraId="7EA3B8FC">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总磷</w:t>
                  </w:r>
                </w:p>
              </w:tc>
            </w:tr>
            <w:tr w14:paraId="454D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380E1C49">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环评</w:t>
                  </w:r>
                </w:p>
                <w:p w14:paraId="60D14F90">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阶段</w:t>
                  </w:r>
                </w:p>
              </w:tc>
              <w:tc>
                <w:tcPr>
                  <w:tcW w:w="732" w:type="pct"/>
                  <w:vAlign w:val="center"/>
                </w:tcPr>
                <w:p w14:paraId="4EA48B10">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废水出水浓度</w:t>
                  </w:r>
                </w:p>
              </w:tc>
              <w:tc>
                <w:tcPr>
                  <w:tcW w:w="561" w:type="pct"/>
                  <w:vAlign w:val="center"/>
                </w:tcPr>
                <w:p w14:paraId="4595F110">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w:t>
                  </w:r>
                </w:p>
              </w:tc>
              <w:tc>
                <w:tcPr>
                  <w:tcW w:w="600" w:type="pct"/>
                  <w:vAlign w:val="center"/>
                </w:tcPr>
                <w:p w14:paraId="127482DA">
                  <w:pPr>
                    <w:widowControl/>
                    <w:jc w:val="center"/>
                    <w:textAlignment w:val="center"/>
                    <w:rPr>
                      <w:b/>
                      <w:bCs/>
                      <w:color w:val="000000" w:themeColor="text1"/>
                      <w:position w:val="2"/>
                      <w14:textFill>
                        <w14:solidFill>
                          <w14:schemeClr w14:val="tx1"/>
                        </w14:solidFill>
                      </w14:textFill>
                    </w:rPr>
                  </w:pPr>
                  <w:r>
                    <w:rPr>
                      <w:color w:val="000000" w:themeColor="text1"/>
                      <w:szCs w:val="21"/>
                      <w14:textFill>
                        <w14:solidFill>
                          <w14:schemeClr w14:val="tx1"/>
                        </w14:solidFill>
                      </w14:textFill>
                    </w:rPr>
                    <w:t>mg/L</w:t>
                  </w:r>
                </w:p>
              </w:tc>
              <w:tc>
                <w:tcPr>
                  <w:tcW w:w="538" w:type="pct"/>
                  <w:vAlign w:val="center"/>
                </w:tcPr>
                <w:p w14:paraId="3CCE5294">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175.83 </w:t>
                  </w:r>
                </w:p>
              </w:tc>
              <w:tc>
                <w:tcPr>
                  <w:tcW w:w="548" w:type="pct"/>
                  <w:vAlign w:val="center"/>
                </w:tcPr>
                <w:p w14:paraId="1BBB0C02">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232.07 </w:t>
                  </w:r>
                </w:p>
              </w:tc>
              <w:tc>
                <w:tcPr>
                  <w:tcW w:w="548" w:type="pct"/>
                  <w:vAlign w:val="center"/>
                </w:tcPr>
                <w:p w14:paraId="534B6EDD">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41.69 </w:t>
                  </w:r>
                </w:p>
              </w:tc>
              <w:tc>
                <w:tcPr>
                  <w:tcW w:w="506" w:type="pct"/>
                  <w:vAlign w:val="center"/>
                </w:tcPr>
                <w:p w14:paraId="2E9CCB4D">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13.62 </w:t>
                  </w:r>
                </w:p>
              </w:tc>
              <w:tc>
                <w:tcPr>
                  <w:tcW w:w="537" w:type="pct"/>
                  <w:vAlign w:val="center"/>
                </w:tcPr>
                <w:p w14:paraId="40334794">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7.69 </w:t>
                  </w:r>
                </w:p>
              </w:tc>
            </w:tr>
            <w:tr w14:paraId="7501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7B1A2A75">
                  <w:pPr>
                    <w:adjustRightInd w:val="0"/>
                    <w:snapToGrid w:val="0"/>
                    <w:spacing w:before="48" w:beforeLines="20" w:line="360" w:lineRule="auto"/>
                    <w:jc w:val="center"/>
                    <w:rPr>
                      <w:b/>
                      <w:bCs/>
                      <w:color w:val="000000" w:themeColor="text1"/>
                      <w:position w:val="2"/>
                      <w14:textFill>
                        <w14:solidFill>
                          <w14:schemeClr w14:val="tx1"/>
                        </w14:solidFill>
                      </w14:textFill>
                    </w:rPr>
                  </w:pPr>
                </w:p>
              </w:tc>
              <w:tc>
                <w:tcPr>
                  <w:tcW w:w="732" w:type="pct"/>
                  <w:vAlign w:val="center"/>
                </w:tcPr>
                <w:p w14:paraId="56976221">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排放量</w:t>
                  </w:r>
                </w:p>
              </w:tc>
              <w:tc>
                <w:tcPr>
                  <w:tcW w:w="561" w:type="pct"/>
                  <w:vAlign w:val="center"/>
                </w:tcPr>
                <w:p w14:paraId="40139997">
                  <w:pPr>
                    <w:adjustRightInd w:val="0"/>
                    <w:snapToGrid w:val="0"/>
                    <w:spacing w:before="48" w:beforeLines="20" w:line="360" w:lineRule="auto"/>
                    <w:jc w:val="center"/>
                    <w:rPr>
                      <w:b/>
                      <w:bCs/>
                      <w:color w:val="000000" w:themeColor="text1"/>
                      <w:position w:val="2"/>
                      <w14:textFill>
                        <w14:solidFill>
                          <w14:schemeClr w14:val="tx1"/>
                        </w14:solidFill>
                      </w14:textFill>
                    </w:rPr>
                  </w:pPr>
                  <w:r>
                    <w:rPr>
                      <w:color w:val="000000" w:themeColor="text1"/>
                      <w:szCs w:val="21"/>
                      <w14:textFill>
                        <w14:solidFill>
                          <w14:schemeClr w14:val="tx1"/>
                        </w14:solidFill>
                      </w14:textFill>
                    </w:rPr>
                    <w:t>246579.84</w:t>
                  </w:r>
                </w:p>
              </w:tc>
              <w:tc>
                <w:tcPr>
                  <w:tcW w:w="600" w:type="pct"/>
                  <w:vAlign w:val="center"/>
                </w:tcPr>
                <w:p w14:paraId="3CF0AC66">
                  <w:pPr>
                    <w:widowControl/>
                    <w:jc w:val="center"/>
                    <w:textAlignment w:val="center"/>
                    <w:rPr>
                      <w:b/>
                      <w:bCs/>
                      <w:color w:val="000000" w:themeColor="text1"/>
                      <w:position w:val="2"/>
                      <w14:textFill>
                        <w14:solidFill>
                          <w14:schemeClr w14:val="tx1"/>
                        </w14:solidFill>
                      </w14:textFill>
                    </w:rPr>
                  </w:pPr>
                  <w:r>
                    <w:rPr>
                      <w:color w:val="000000" w:themeColor="text1"/>
                      <w:szCs w:val="21"/>
                      <w14:textFill>
                        <w14:solidFill>
                          <w14:schemeClr w14:val="tx1"/>
                        </w14:solidFill>
                      </w14:textFill>
                    </w:rPr>
                    <w:t>t/a</w:t>
                  </w:r>
                </w:p>
              </w:tc>
              <w:tc>
                <w:tcPr>
                  <w:tcW w:w="538" w:type="pct"/>
                  <w:vAlign w:val="center"/>
                </w:tcPr>
                <w:p w14:paraId="5A720095">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43.5154 </w:t>
                  </w:r>
                </w:p>
              </w:tc>
              <w:tc>
                <w:tcPr>
                  <w:tcW w:w="548" w:type="pct"/>
                  <w:vAlign w:val="center"/>
                </w:tcPr>
                <w:p w14:paraId="5D4ED458">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57.4339 </w:t>
                  </w:r>
                </w:p>
              </w:tc>
              <w:tc>
                <w:tcPr>
                  <w:tcW w:w="548" w:type="pct"/>
                  <w:vAlign w:val="center"/>
                </w:tcPr>
                <w:p w14:paraId="0BC0E673">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10.3181 </w:t>
                  </w:r>
                </w:p>
              </w:tc>
              <w:tc>
                <w:tcPr>
                  <w:tcW w:w="506" w:type="pct"/>
                  <w:vAlign w:val="center"/>
                </w:tcPr>
                <w:p w14:paraId="281A8EEB">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3.3697 </w:t>
                  </w:r>
                </w:p>
              </w:tc>
              <w:tc>
                <w:tcPr>
                  <w:tcW w:w="537" w:type="pct"/>
                  <w:vAlign w:val="center"/>
                </w:tcPr>
                <w:p w14:paraId="65773C7C">
                  <w:pPr>
                    <w:widowControl/>
                    <w:jc w:val="center"/>
                    <w:textAlignment w:val="center"/>
                    <w:rPr>
                      <w:b/>
                      <w:bCs/>
                      <w:color w:val="000000" w:themeColor="text1"/>
                      <w:position w:val="2"/>
                      <w14:textFill>
                        <w14:solidFill>
                          <w14:schemeClr w14:val="tx1"/>
                        </w14:solidFill>
                      </w14:textFill>
                    </w:rPr>
                  </w:pPr>
                  <w:r>
                    <w:rPr>
                      <w:rFonts w:eastAsia="Tahoma"/>
                      <w:color w:val="000000" w:themeColor="text1"/>
                      <w:kern w:val="0"/>
                      <w:szCs w:val="21"/>
                      <w:lang w:bidi="ar"/>
                      <w14:textFill>
                        <w14:solidFill>
                          <w14:schemeClr w14:val="tx1"/>
                        </w14:solidFill>
                      </w14:textFill>
                    </w:rPr>
                    <w:t xml:space="preserve">1.9026 </w:t>
                  </w:r>
                </w:p>
              </w:tc>
            </w:tr>
            <w:tr w14:paraId="4F51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restart"/>
                  <w:vAlign w:val="center"/>
                </w:tcPr>
                <w:p w14:paraId="065B317E">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验收</w:t>
                  </w:r>
                </w:p>
                <w:p w14:paraId="6DC2BBBF">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阶段</w:t>
                  </w:r>
                </w:p>
              </w:tc>
              <w:tc>
                <w:tcPr>
                  <w:tcW w:w="732" w:type="pct"/>
                  <w:vAlign w:val="center"/>
                </w:tcPr>
                <w:p w14:paraId="617425AB">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废水出水浓度</w:t>
                  </w:r>
                </w:p>
              </w:tc>
              <w:tc>
                <w:tcPr>
                  <w:tcW w:w="561" w:type="pct"/>
                  <w:vAlign w:val="center"/>
                </w:tcPr>
                <w:p w14:paraId="21BBC2F1">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w:t>
                  </w:r>
                </w:p>
              </w:tc>
              <w:tc>
                <w:tcPr>
                  <w:tcW w:w="600" w:type="pct"/>
                  <w:vAlign w:val="center"/>
                </w:tcPr>
                <w:p w14:paraId="6F902EB7">
                  <w:pPr>
                    <w:widowControl/>
                    <w:jc w:val="center"/>
                    <w:textAlignment w:val="center"/>
                    <w:rPr>
                      <w:color w:val="000000" w:themeColor="text1"/>
                      <w:position w:val="2"/>
                      <w14:textFill>
                        <w14:solidFill>
                          <w14:schemeClr w14:val="tx1"/>
                        </w14:solidFill>
                      </w14:textFill>
                    </w:rPr>
                  </w:pPr>
                  <w:r>
                    <w:rPr>
                      <w:color w:val="000000" w:themeColor="text1"/>
                      <w:szCs w:val="21"/>
                      <w14:textFill>
                        <w14:solidFill>
                          <w14:schemeClr w14:val="tx1"/>
                        </w14:solidFill>
                      </w14:textFill>
                    </w:rPr>
                    <w:t>mg/L</w:t>
                  </w:r>
                </w:p>
              </w:tc>
              <w:tc>
                <w:tcPr>
                  <w:tcW w:w="538" w:type="pct"/>
                  <w:vAlign w:val="center"/>
                </w:tcPr>
                <w:p w14:paraId="479F8954">
                  <w:pPr>
                    <w:adjustRightInd w:val="0"/>
                    <w:snapToGrid w:val="0"/>
                    <w:spacing w:before="48" w:beforeLines="20" w:line="360" w:lineRule="auto"/>
                    <w:jc w:val="center"/>
                    <w:rPr>
                      <w:color w:val="000000" w:themeColor="text1"/>
                      <w:position w:val="2"/>
                      <w14:textFill>
                        <w14:solidFill>
                          <w14:schemeClr w14:val="tx1"/>
                        </w14:solidFill>
                      </w14:textFill>
                    </w:rPr>
                  </w:pPr>
                  <w:r>
                    <w:rPr>
                      <w:rFonts w:hint="eastAsia"/>
                      <w:color w:val="000000" w:themeColor="text1"/>
                      <w:position w:val="2"/>
                      <w14:textFill>
                        <w14:solidFill>
                          <w14:schemeClr w14:val="tx1"/>
                        </w14:solidFill>
                      </w14:textFill>
                    </w:rPr>
                    <w:t>169</w:t>
                  </w:r>
                </w:p>
              </w:tc>
              <w:tc>
                <w:tcPr>
                  <w:tcW w:w="548" w:type="pct"/>
                  <w:vAlign w:val="center"/>
                </w:tcPr>
                <w:p w14:paraId="6007085D">
                  <w:pPr>
                    <w:adjustRightInd w:val="0"/>
                    <w:snapToGrid w:val="0"/>
                    <w:spacing w:before="48" w:beforeLines="20" w:line="360" w:lineRule="auto"/>
                    <w:jc w:val="center"/>
                    <w:rPr>
                      <w:color w:val="000000" w:themeColor="text1"/>
                      <w:position w:val="2"/>
                      <w14:textFill>
                        <w14:solidFill>
                          <w14:schemeClr w14:val="tx1"/>
                        </w14:solidFill>
                      </w14:textFill>
                    </w:rPr>
                  </w:pPr>
                  <w:r>
                    <w:rPr>
                      <w:rFonts w:hint="eastAsia"/>
                      <w:color w:val="000000" w:themeColor="text1"/>
                      <w:position w:val="2"/>
                      <w14:textFill>
                        <w14:solidFill>
                          <w14:schemeClr w14:val="tx1"/>
                        </w14:solidFill>
                      </w14:textFill>
                    </w:rPr>
                    <w:t>62.5</w:t>
                  </w:r>
                </w:p>
              </w:tc>
              <w:tc>
                <w:tcPr>
                  <w:tcW w:w="548" w:type="pct"/>
                  <w:vAlign w:val="center"/>
                </w:tcPr>
                <w:p w14:paraId="3E228782">
                  <w:pPr>
                    <w:adjustRightInd w:val="0"/>
                    <w:snapToGrid w:val="0"/>
                    <w:spacing w:before="48" w:beforeLines="20" w:line="360" w:lineRule="auto"/>
                    <w:jc w:val="center"/>
                    <w:rPr>
                      <w:color w:val="000000" w:themeColor="text1"/>
                      <w:position w:val="2"/>
                      <w14:textFill>
                        <w14:solidFill>
                          <w14:schemeClr w14:val="tx1"/>
                        </w14:solidFill>
                      </w14:textFill>
                    </w:rPr>
                  </w:pPr>
                  <w:r>
                    <w:rPr>
                      <w:rFonts w:hint="eastAsia"/>
                      <w:color w:val="000000" w:themeColor="text1"/>
                      <w:position w:val="2"/>
                      <w14:textFill>
                        <w14:solidFill>
                          <w14:schemeClr w14:val="tx1"/>
                        </w14:solidFill>
                      </w14:textFill>
                    </w:rPr>
                    <w:t>37</w:t>
                  </w:r>
                </w:p>
              </w:tc>
              <w:tc>
                <w:tcPr>
                  <w:tcW w:w="506" w:type="pct"/>
                  <w:vAlign w:val="center"/>
                </w:tcPr>
                <w:p w14:paraId="0727EAD1">
                  <w:pPr>
                    <w:adjustRightInd w:val="0"/>
                    <w:snapToGrid w:val="0"/>
                    <w:spacing w:before="48" w:beforeLines="20" w:line="360" w:lineRule="auto"/>
                    <w:jc w:val="center"/>
                    <w:rPr>
                      <w:color w:val="000000" w:themeColor="text1"/>
                      <w:position w:val="2"/>
                      <w14:textFill>
                        <w14:solidFill>
                          <w14:schemeClr w14:val="tx1"/>
                        </w14:solidFill>
                      </w14:textFill>
                    </w:rPr>
                  </w:pPr>
                  <w:r>
                    <w:rPr>
                      <w:rFonts w:hint="eastAsia"/>
                      <w:color w:val="000000" w:themeColor="text1"/>
                      <w:position w:val="2"/>
                      <w14:textFill>
                        <w14:solidFill>
                          <w14:schemeClr w14:val="tx1"/>
                        </w14:solidFill>
                      </w14:textFill>
                    </w:rPr>
                    <w:t>12.3</w:t>
                  </w:r>
                </w:p>
              </w:tc>
              <w:tc>
                <w:tcPr>
                  <w:tcW w:w="537" w:type="pct"/>
                  <w:vAlign w:val="center"/>
                </w:tcPr>
                <w:p w14:paraId="19ACC0A1">
                  <w:pPr>
                    <w:adjustRightInd w:val="0"/>
                    <w:snapToGrid w:val="0"/>
                    <w:spacing w:before="48" w:beforeLines="20" w:line="360" w:lineRule="auto"/>
                    <w:jc w:val="center"/>
                    <w:rPr>
                      <w:color w:val="000000" w:themeColor="text1"/>
                      <w:position w:val="2"/>
                      <w14:textFill>
                        <w14:solidFill>
                          <w14:schemeClr w14:val="tx1"/>
                        </w14:solidFill>
                      </w14:textFill>
                    </w:rPr>
                  </w:pPr>
                  <w:r>
                    <w:rPr>
                      <w:rFonts w:hint="eastAsia"/>
                      <w:color w:val="000000" w:themeColor="text1"/>
                      <w:position w:val="2"/>
                      <w14:textFill>
                        <w14:solidFill>
                          <w14:schemeClr w14:val="tx1"/>
                        </w14:solidFill>
                      </w14:textFill>
                    </w:rPr>
                    <w:t>7.14</w:t>
                  </w:r>
                </w:p>
              </w:tc>
            </w:tr>
            <w:tr w14:paraId="57FE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Merge w:val="continue"/>
                  <w:vAlign w:val="center"/>
                </w:tcPr>
                <w:p w14:paraId="150E8EB5">
                  <w:pPr>
                    <w:adjustRightInd w:val="0"/>
                    <w:snapToGrid w:val="0"/>
                    <w:spacing w:before="48" w:beforeLines="20" w:line="360" w:lineRule="auto"/>
                    <w:jc w:val="center"/>
                    <w:rPr>
                      <w:b/>
                      <w:bCs/>
                      <w:color w:val="000000" w:themeColor="text1"/>
                      <w:position w:val="2"/>
                      <w14:textFill>
                        <w14:solidFill>
                          <w14:schemeClr w14:val="tx1"/>
                        </w14:solidFill>
                      </w14:textFill>
                    </w:rPr>
                  </w:pPr>
                </w:p>
              </w:tc>
              <w:tc>
                <w:tcPr>
                  <w:tcW w:w="732" w:type="pct"/>
                  <w:vAlign w:val="center"/>
                </w:tcPr>
                <w:p w14:paraId="5E8DDD25">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排放量</w:t>
                  </w:r>
                  <w:r>
                    <w:rPr>
                      <w:rFonts w:hint="eastAsia"/>
                      <w:b/>
                      <w:bCs/>
                      <w:color w:val="000000" w:themeColor="text1"/>
                      <w:position w:val="2"/>
                      <w14:textFill>
                        <w14:solidFill>
                          <w14:schemeClr w14:val="tx1"/>
                        </w14:solidFill>
                      </w14:textFill>
                    </w:rPr>
                    <w:t>（实际情况根据工况95%折算）</w:t>
                  </w:r>
                </w:p>
              </w:tc>
              <w:tc>
                <w:tcPr>
                  <w:tcW w:w="561" w:type="pct"/>
                  <w:vAlign w:val="center"/>
                </w:tcPr>
                <w:p w14:paraId="51F6D61F">
                  <w:pPr>
                    <w:adjustRightInd w:val="0"/>
                    <w:snapToGrid w:val="0"/>
                    <w:spacing w:before="48" w:beforeLines="20" w:line="360" w:lineRule="auto"/>
                    <w:jc w:val="center"/>
                    <w:rPr>
                      <w:b/>
                      <w:bCs/>
                      <w:color w:val="000000" w:themeColor="text1"/>
                      <w:position w:val="2"/>
                      <w14:textFill>
                        <w14:solidFill>
                          <w14:schemeClr w14:val="tx1"/>
                        </w14:solidFill>
                      </w14:textFill>
                    </w:rPr>
                  </w:pPr>
                  <w:r>
                    <w:rPr>
                      <w:rFonts w:hint="eastAsia"/>
                      <w:color w:val="000000" w:themeColor="text1"/>
                      <w:sz w:val="18"/>
                      <w:szCs w:val="18"/>
                      <w14:textFill>
                        <w14:solidFill>
                          <w14:schemeClr w14:val="tx1"/>
                        </w14:solidFill>
                      </w14:textFill>
                    </w:rPr>
                    <w:t>237486.276</w:t>
                  </w:r>
                </w:p>
              </w:tc>
              <w:tc>
                <w:tcPr>
                  <w:tcW w:w="600" w:type="pct"/>
                  <w:vAlign w:val="center"/>
                </w:tcPr>
                <w:p w14:paraId="7CE4419A">
                  <w:pPr>
                    <w:widowControl/>
                    <w:jc w:val="center"/>
                    <w:textAlignment w:val="center"/>
                    <w:rPr>
                      <w:color w:val="000000" w:themeColor="text1"/>
                      <w:position w:val="2"/>
                      <w14:textFill>
                        <w14:solidFill>
                          <w14:schemeClr w14:val="tx1"/>
                        </w14:solidFill>
                      </w14:textFill>
                    </w:rPr>
                  </w:pPr>
                  <w:r>
                    <w:rPr>
                      <w:color w:val="000000" w:themeColor="text1"/>
                      <w:szCs w:val="21"/>
                      <w14:textFill>
                        <w14:solidFill>
                          <w14:schemeClr w14:val="tx1"/>
                        </w14:solidFill>
                      </w14:textFill>
                    </w:rPr>
                    <w:t>t/a</w:t>
                  </w:r>
                </w:p>
              </w:tc>
              <w:tc>
                <w:tcPr>
                  <w:tcW w:w="538" w:type="pct"/>
                  <w:vAlign w:val="center"/>
                </w:tcPr>
                <w:p w14:paraId="0A177EA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42.25</w:t>
                  </w:r>
                </w:p>
              </w:tc>
              <w:tc>
                <w:tcPr>
                  <w:tcW w:w="548" w:type="pct"/>
                  <w:vAlign w:val="center"/>
                </w:tcPr>
                <w:p w14:paraId="5A5B1752">
                  <w:pPr>
                    <w:widowControl/>
                    <w:jc w:val="center"/>
                    <w:textAlignment w:val="center"/>
                    <w:rPr>
                      <w:rFonts w:eastAsia="Tahom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15.624</w:t>
                  </w:r>
                  <w:r>
                    <w:rPr>
                      <w:rFonts w:eastAsia="Tahoma"/>
                      <w:color w:val="000000" w:themeColor="text1"/>
                      <w:kern w:val="0"/>
                      <w:szCs w:val="21"/>
                      <w:lang w:bidi="ar"/>
                      <w14:textFill>
                        <w14:solidFill>
                          <w14:schemeClr w14:val="tx1"/>
                        </w14:solidFill>
                      </w14:textFill>
                    </w:rPr>
                    <w:t xml:space="preserve"> </w:t>
                  </w:r>
                </w:p>
              </w:tc>
              <w:tc>
                <w:tcPr>
                  <w:tcW w:w="548" w:type="pct"/>
                  <w:vAlign w:val="center"/>
                </w:tcPr>
                <w:p w14:paraId="764A8B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9.249</w:t>
                  </w:r>
                </w:p>
              </w:tc>
              <w:tc>
                <w:tcPr>
                  <w:tcW w:w="506" w:type="pct"/>
                  <w:vAlign w:val="center"/>
                </w:tcPr>
                <w:p w14:paraId="5EC5EF1C">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3.075</w:t>
                  </w:r>
                </w:p>
              </w:tc>
              <w:tc>
                <w:tcPr>
                  <w:tcW w:w="537" w:type="pct"/>
                  <w:vAlign w:val="center"/>
                </w:tcPr>
                <w:p w14:paraId="6DCEB71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1.75</w:t>
                  </w:r>
                </w:p>
              </w:tc>
            </w:tr>
            <w:tr w14:paraId="7E64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vAlign w:val="center"/>
                </w:tcPr>
                <w:p w14:paraId="59D5BB1C">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排放标准</w:t>
                  </w:r>
                </w:p>
              </w:tc>
              <w:tc>
                <w:tcPr>
                  <w:tcW w:w="732" w:type="pct"/>
                  <w:vAlign w:val="center"/>
                </w:tcPr>
                <w:p w14:paraId="67787535">
                  <w:pPr>
                    <w:adjustRightInd w:val="0"/>
                    <w:snapToGrid w:val="0"/>
                    <w:spacing w:before="48" w:beforeLines="20" w:line="360" w:lineRule="auto"/>
                    <w:jc w:val="center"/>
                    <w:rPr>
                      <w:b/>
                      <w:bCs/>
                      <w:color w:val="000000" w:themeColor="text1"/>
                      <w:position w:val="2"/>
                      <w14:textFill>
                        <w14:solidFill>
                          <w14:schemeClr w14:val="tx1"/>
                        </w14:solidFill>
                      </w14:textFill>
                    </w:rPr>
                  </w:pPr>
                  <w:r>
                    <w:rPr>
                      <w:b/>
                      <w:bCs/>
                      <w:color w:val="000000" w:themeColor="text1"/>
                      <w:position w:val="2"/>
                      <w14:textFill>
                        <w14:solidFill>
                          <w14:schemeClr w14:val="tx1"/>
                        </w14:solidFill>
                      </w14:textFill>
                    </w:rPr>
                    <w:t>废水出水浓度</w:t>
                  </w:r>
                </w:p>
              </w:tc>
              <w:tc>
                <w:tcPr>
                  <w:tcW w:w="561" w:type="pct"/>
                  <w:vAlign w:val="center"/>
                </w:tcPr>
                <w:p w14:paraId="6E0B24F5">
                  <w:pPr>
                    <w:adjustRightInd w:val="0"/>
                    <w:snapToGrid w:val="0"/>
                    <w:spacing w:before="48" w:beforeLines="20" w:line="360" w:lineRule="auto"/>
                    <w:jc w:val="center"/>
                    <w:rPr>
                      <w:color w:val="000000" w:themeColor="text1"/>
                      <w:szCs w:val="21"/>
                      <w14:textFill>
                        <w14:solidFill>
                          <w14:schemeClr w14:val="tx1"/>
                        </w14:solidFill>
                      </w14:textFill>
                    </w:rPr>
                  </w:pPr>
                  <w:r>
                    <w:rPr>
                      <w:b/>
                      <w:bCs/>
                      <w:color w:val="000000" w:themeColor="text1"/>
                      <w:position w:val="2"/>
                      <w14:textFill>
                        <w14:solidFill>
                          <w14:schemeClr w14:val="tx1"/>
                        </w14:solidFill>
                      </w14:textFill>
                    </w:rPr>
                    <w:t>-</w:t>
                  </w:r>
                </w:p>
              </w:tc>
              <w:tc>
                <w:tcPr>
                  <w:tcW w:w="600" w:type="pct"/>
                  <w:vAlign w:val="center"/>
                </w:tcPr>
                <w:p w14:paraId="2E3AF48E">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538" w:type="pct"/>
                  <w:vAlign w:val="center"/>
                </w:tcPr>
                <w:p w14:paraId="52C473BE">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500</w:t>
                  </w:r>
                </w:p>
              </w:tc>
              <w:tc>
                <w:tcPr>
                  <w:tcW w:w="548" w:type="pct"/>
                  <w:vAlign w:val="center"/>
                </w:tcPr>
                <w:p w14:paraId="5932A30B">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350</w:t>
                  </w:r>
                </w:p>
              </w:tc>
              <w:tc>
                <w:tcPr>
                  <w:tcW w:w="548" w:type="pct"/>
                  <w:vAlign w:val="center"/>
                </w:tcPr>
                <w:p w14:paraId="35E576D2">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400</w:t>
                  </w:r>
                </w:p>
              </w:tc>
              <w:tc>
                <w:tcPr>
                  <w:tcW w:w="506" w:type="pct"/>
                  <w:vAlign w:val="center"/>
                </w:tcPr>
                <w:p w14:paraId="0DB9CE68">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45</w:t>
                  </w:r>
                </w:p>
              </w:tc>
              <w:tc>
                <w:tcPr>
                  <w:tcW w:w="537" w:type="pct"/>
                  <w:vAlign w:val="center"/>
                </w:tcPr>
                <w:p w14:paraId="1431455D">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70</w:t>
                  </w:r>
                </w:p>
              </w:tc>
            </w:tr>
            <w:tr w14:paraId="6BF6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pct"/>
                  <w:gridSpan w:val="4"/>
                  <w:vAlign w:val="center"/>
                </w:tcPr>
                <w:p w14:paraId="4E465A45">
                  <w:pPr>
                    <w:widowControl/>
                    <w:jc w:val="center"/>
                    <w:textAlignment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c>
                <w:tcPr>
                  <w:tcW w:w="538" w:type="pct"/>
                  <w:vAlign w:val="center"/>
                </w:tcPr>
                <w:p w14:paraId="664FFE3D">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达标</w:t>
                  </w:r>
                </w:p>
              </w:tc>
              <w:tc>
                <w:tcPr>
                  <w:tcW w:w="548" w:type="pct"/>
                  <w:vAlign w:val="center"/>
                </w:tcPr>
                <w:p w14:paraId="3284A46A">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达标</w:t>
                  </w:r>
                </w:p>
              </w:tc>
              <w:tc>
                <w:tcPr>
                  <w:tcW w:w="548" w:type="pct"/>
                  <w:vAlign w:val="center"/>
                </w:tcPr>
                <w:p w14:paraId="36139EB4">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达标</w:t>
                  </w:r>
                </w:p>
              </w:tc>
              <w:tc>
                <w:tcPr>
                  <w:tcW w:w="506" w:type="pct"/>
                  <w:vAlign w:val="center"/>
                </w:tcPr>
                <w:p w14:paraId="5192CA3C">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达标</w:t>
                  </w:r>
                </w:p>
              </w:tc>
              <w:tc>
                <w:tcPr>
                  <w:tcW w:w="537" w:type="pct"/>
                  <w:vAlign w:val="center"/>
                </w:tcPr>
                <w:p w14:paraId="4FE32AAB">
                  <w:pPr>
                    <w:adjustRightInd w:val="0"/>
                    <w:snapToGrid w:val="0"/>
                    <w:spacing w:before="48" w:beforeLines="20" w:line="360" w:lineRule="auto"/>
                    <w:jc w:val="center"/>
                    <w:rPr>
                      <w:color w:val="000000" w:themeColor="text1"/>
                      <w:position w:val="2"/>
                      <w14:textFill>
                        <w14:solidFill>
                          <w14:schemeClr w14:val="tx1"/>
                        </w14:solidFill>
                      </w14:textFill>
                    </w:rPr>
                  </w:pPr>
                  <w:r>
                    <w:rPr>
                      <w:color w:val="000000" w:themeColor="text1"/>
                      <w:position w:val="2"/>
                      <w14:textFill>
                        <w14:solidFill>
                          <w14:schemeClr w14:val="tx1"/>
                        </w14:solidFill>
                      </w14:textFill>
                    </w:rPr>
                    <w:t>达标</w:t>
                  </w:r>
                </w:p>
              </w:tc>
            </w:tr>
          </w:tbl>
          <w:p w14:paraId="5CE5F609">
            <w:pPr>
              <w:spacing w:line="360" w:lineRule="auto"/>
              <w:ind w:left="420" w:leftChars="200"/>
              <w:jc w:val="left"/>
              <w:rPr>
                <w:rFonts w:eastAsia="Calibri"/>
                <w:b/>
                <w:bCs/>
                <w:color w:val="000000" w:themeColor="text1"/>
                <w:kern w:val="0"/>
                <w:sz w:val="24"/>
                <w14:textFill>
                  <w14:solidFill>
                    <w14:schemeClr w14:val="tx1"/>
                  </w14:solidFill>
                </w14:textFill>
              </w:rPr>
            </w:pPr>
          </w:p>
          <w:p w14:paraId="73B66DEE">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object>
                <v:shape id="_x0000_i1025" o:spt="75" type="#_x0000_t75" style="height:129pt;width:380.8pt;" o:ole="t" filled="f" o:preferrelative="t" stroked="f" coordsize="21600,21600">
                  <v:path/>
                  <v:fill on="f" focussize="0,0"/>
                  <v:stroke on="f" joinstyle="miter"/>
                  <v:imagedata r:id="rId19" o:title=""/>
                  <o:lock v:ext="edit" aspectratio="f"/>
                  <w10:wrap type="none"/>
                  <w10:anchorlock/>
                </v:shape>
                <o:OLEObject Type="Embed" ProgID="Visio.Drawing.11" ShapeID="_x0000_i1025" DrawAspect="Content" ObjectID="_1468075725" r:id="rId18">
                  <o:LockedField>false</o:LockedField>
                </o:OLEObject>
              </w:object>
            </w:r>
          </w:p>
          <w:p w14:paraId="207204F8">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6</w:t>
            </w:r>
            <w:r>
              <w:rPr>
                <w:b/>
                <w:bCs/>
                <w:color w:val="000000" w:themeColor="text1"/>
                <w:szCs w:val="21"/>
                <w14:textFill>
                  <w14:solidFill>
                    <w14:schemeClr w14:val="tx1"/>
                  </w14:solidFill>
                </w14:textFill>
              </w:rPr>
              <w:t>废水处理及废水监测示意图</w:t>
            </w:r>
          </w:p>
          <w:p w14:paraId="0C45370A">
            <w:pPr>
              <w:pStyle w:val="113"/>
              <w:rPr>
                <w:rFonts w:cs="Times New Roman"/>
                <w:color w:val="000000" w:themeColor="text1"/>
                <w:szCs w:val="24"/>
                <w14:textFill>
                  <w14:solidFill>
                    <w14:schemeClr w14:val="tx1"/>
                  </w14:solidFill>
                </w14:textFill>
              </w:rPr>
            </w:pPr>
            <w:r>
              <w:rPr>
                <w:rFonts w:hint="eastAsia" w:cs="Times New Roman"/>
                <w:color w:val="000000" w:themeColor="text1"/>
                <w:szCs w:val="24"/>
                <w14:textFill>
                  <w14:solidFill>
                    <w14:schemeClr w14:val="tx1"/>
                  </w14:solidFill>
                </w14:textFill>
              </w:rPr>
              <w:drawing>
                <wp:inline distT="0" distB="0" distL="114300" distR="114300">
                  <wp:extent cx="5053965" cy="3670300"/>
                  <wp:effectExtent l="0" t="0" r="5715" b="2540"/>
                  <wp:docPr id="43" name="图片 86" descr="绘图3（700水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descr="绘图3（700水量）"/>
                          <pic:cNvPicPr>
                            <a:picLocks noChangeAspect="1"/>
                          </pic:cNvPicPr>
                        </pic:nvPicPr>
                        <pic:blipFill>
                          <a:blip r:embed="rId20"/>
                          <a:stretch>
                            <a:fillRect/>
                          </a:stretch>
                        </pic:blipFill>
                        <pic:spPr>
                          <a:xfrm>
                            <a:off x="0" y="0"/>
                            <a:ext cx="5053965" cy="3670300"/>
                          </a:xfrm>
                          <a:prstGeom prst="rect">
                            <a:avLst/>
                          </a:prstGeom>
                          <a:noFill/>
                          <a:ln>
                            <a:noFill/>
                          </a:ln>
                        </pic:spPr>
                      </pic:pic>
                    </a:graphicData>
                  </a:graphic>
                </wp:inline>
              </w:drawing>
            </w:r>
          </w:p>
          <w:p w14:paraId="4B595483">
            <w:pPr>
              <w:snapToGrid w:val="0"/>
              <w:spacing w:before="48" w:beforeLines="20" w:line="360" w:lineRule="auto"/>
              <w:jc w:val="center"/>
              <w:rPr>
                <w:b/>
                <w:bCs/>
                <w:color w:val="000000" w:themeColor="text1"/>
                <w:szCs w:val="21"/>
                <w14:textFill>
                  <w14:solidFill>
                    <w14:schemeClr w14:val="tx1"/>
                  </w14:solidFill>
                </w14:textFill>
              </w:rPr>
            </w:pPr>
            <w:r>
              <w:rPr>
                <w:b/>
                <w:bCs/>
                <w:color w:val="000000" w:themeColor="text1"/>
                <w14:textFill>
                  <w14:solidFill>
                    <w14:schemeClr w14:val="tx1"/>
                  </w14:solidFill>
                </w14:textFill>
              </w:rPr>
              <w:t>图2-</w:t>
            </w:r>
            <w:r>
              <w:rPr>
                <w:rFonts w:hint="eastAsia"/>
                <w:b/>
                <w:bCs/>
                <w:color w:val="000000" w:themeColor="text1"/>
                <w14:textFill>
                  <w14:solidFill>
                    <w14:schemeClr w14:val="tx1"/>
                  </w14:solidFill>
                </w14:textFill>
              </w:rPr>
              <w:t>7现有项目</w:t>
            </w:r>
            <w:r>
              <w:rPr>
                <w:b/>
                <w:bCs/>
                <w:color w:val="000000" w:themeColor="text1"/>
                <w14:textFill>
                  <w14:solidFill>
                    <w14:schemeClr w14:val="tx1"/>
                  </w14:solidFill>
                </w14:textFill>
              </w:rPr>
              <w:t>运营期项目区水平衡图（m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/d）</w:t>
            </w:r>
          </w:p>
          <w:p w14:paraId="282E99B6">
            <w:pPr>
              <w:numPr>
                <w:ilvl w:val="0"/>
                <w:numId w:val="15"/>
              </w:numPr>
              <w:spacing w:line="360" w:lineRule="auto"/>
              <w:ind w:left="420" w:leftChars="200"/>
              <w:jc w:val="left"/>
              <w:rPr>
                <w:rFonts w:eastAsia="Calibri"/>
                <w:b/>
                <w:bCs/>
                <w:color w:val="000000" w:themeColor="text1"/>
                <w:kern w:val="0"/>
                <w:sz w:val="24"/>
                <w14:textFill>
                  <w14:solidFill>
                    <w14:schemeClr w14:val="tx1"/>
                  </w14:solidFill>
                </w14:textFill>
              </w:rPr>
            </w:pPr>
            <w:r>
              <w:rPr>
                <w:rFonts w:hint="eastAsia" w:eastAsia="Calibri"/>
                <w:b/>
                <w:bCs/>
                <w:color w:val="000000" w:themeColor="text1"/>
                <w:kern w:val="0"/>
                <w:sz w:val="24"/>
                <w14:textFill>
                  <w14:solidFill>
                    <w14:schemeClr w14:val="tx1"/>
                  </w14:solidFill>
                </w14:textFill>
              </w:rPr>
              <w:t>废气</w:t>
            </w:r>
          </w:p>
          <w:p w14:paraId="5B8F7E01">
            <w:pPr>
              <w:spacing w:before="48" w:beforeLines="2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项目运营过程中产生废气主要来自果蔬废弃物卸料、粉碎分选、烘干、烘干后粉碎产生的异味；</w:t>
            </w:r>
            <w:r>
              <w:rPr>
                <w:bCs/>
                <w:color w:val="000000" w:themeColor="text1"/>
                <w:sz w:val="24"/>
                <w14:textFill>
                  <w14:solidFill>
                    <w14:schemeClr w14:val="tx1"/>
                  </w14:solidFill>
                </w14:textFill>
              </w:rPr>
              <w:t>热风炉燃料燃烧废气和脱硝过程中产生的逃逸氨</w:t>
            </w:r>
            <w:r>
              <w:rPr>
                <w:color w:val="000000" w:themeColor="text1"/>
                <w:sz w:val="24"/>
                <w14:textFill>
                  <w14:solidFill>
                    <w14:schemeClr w14:val="tx1"/>
                  </w14:solidFill>
                </w14:textFill>
              </w:rPr>
              <w:t>；粉碎机粉尘；生产废水处理系统运行过程产生的恶臭气体；办公生活区员工食堂厨房产生的厨房油烟。</w:t>
            </w:r>
          </w:p>
          <w:p w14:paraId="4F7254DB">
            <w:pPr>
              <w:numPr>
                <w:ilvl w:val="1"/>
                <w:numId w:val="16"/>
              </w:numPr>
              <w:snapToGrid w:val="0"/>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有组织排放废气</w:t>
            </w:r>
          </w:p>
          <w:p w14:paraId="3C9DAB8D">
            <w:pPr>
              <w:pStyle w:val="5"/>
              <w:spacing w:line="360" w:lineRule="auto"/>
              <w:jc w:val="left"/>
              <w:rPr>
                <w:b/>
                <w:bCs/>
                <w:color w:val="000000" w:themeColor="text1"/>
                <w14:textFill>
                  <w14:solidFill>
                    <w14:schemeClr w14:val="tx1"/>
                  </w14:solidFill>
                </w14:textFill>
              </w:rPr>
            </w:pP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热风炉废气、粉碎机粉尘、烘干、粉碎异味（DA001、DA002）</w:t>
            </w:r>
          </w:p>
          <w:p w14:paraId="3D6C828F">
            <w:pPr>
              <w:pStyle w:val="5"/>
              <w:spacing w:line="360" w:lineRule="auto"/>
              <w:ind w:firstLine="720" w:firstLineChars="3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根据监测数据，计算如下：</w:t>
            </w:r>
          </w:p>
          <w:p w14:paraId="4B88F354">
            <w:pPr>
              <w:spacing w:before="48" w:beforeLines="20" w:line="360" w:lineRule="auto"/>
              <w:jc w:val="center"/>
              <w:rPr>
                <w:b/>
                <w:bCs/>
                <w:color w:val="000000" w:themeColor="text1"/>
                <w:sz w:val="24"/>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12</w:t>
            </w:r>
            <w:r>
              <w:rPr>
                <w:b/>
                <w:bCs/>
                <w:color w:val="000000" w:themeColor="text1"/>
                <w14:textFill>
                  <w14:solidFill>
                    <w14:schemeClr w14:val="tx1"/>
                  </w14:solidFill>
                </w14:textFill>
              </w:rPr>
              <w:t>热风炉燃料燃烧废气排放总量一览表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42"/>
              <w:gridCol w:w="1329"/>
              <w:gridCol w:w="1461"/>
              <w:gridCol w:w="1743"/>
              <w:gridCol w:w="1853"/>
              <w:gridCol w:w="1414"/>
            </w:tblGrid>
            <w:tr w14:paraId="18EB5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restart"/>
                  <w:vAlign w:val="center"/>
                </w:tcPr>
                <w:p w14:paraId="195FFC58">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w:t>
                  </w:r>
                </w:p>
              </w:tc>
              <w:tc>
                <w:tcPr>
                  <w:tcW w:w="769" w:type="pct"/>
                  <w:vMerge w:val="restart"/>
                  <w:vAlign w:val="center"/>
                </w:tcPr>
                <w:p w14:paraId="104D5415">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污染物指标</w:t>
                  </w:r>
                </w:p>
              </w:tc>
              <w:tc>
                <w:tcPr>
                  <w:tcW w:w="845" w:type="pct"/>
                  <w:vAlign w:val="center"/>
                </w:tcPr>
                <w:p w14:paraId="7B9935FE">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环评阶段</w:t>
                  </w:r>
                </w:p>
              </w:tc>
              <w:tc>
                <w:tcPr>
                  <w:tcW w:w="2898" w:type="pct"/>
                  <w:gridSpan w:val="3"/>
                  <w:vAlign w:val="center"/>
                </w:tcPr>
                <w:p w14:paraId="1B8A3912">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验收阶段</w:t>
                  </w:r>
                </w:p>
              </w:tc>
            </w:tr>
            <w:tr w14:paraId="7E09C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0B359C84">
                  <w:pPr>
                    <w:spacing w:before="48" w:beforeLines="20"/>
                    <w:jc w:val="center"/>
                    <w:rPr>
                      <w:b/>
                      <w:bCs/>
                      <w:color w:val="000000" w:themeColor="text1"/>
                      <w:szCs w:val="21"/>
                      <w14:textFill>
                        <w14:solidFill>
                          <w14:schemeClr w14:val="tx1"/>
                        </w14:solidFill>
                      </w14:textFill>
                    </w:rPr>
                  </w:pPr>
                </w:p>
              </w:tc>
              <w:tc>
                <w:tcPr>
                  <w:tcW w:w="769" w:type="pct"/>
                  <w:vMerge w:val="continue"/>
                  <w:vAlign w:val="center"/>
                </w:tcPr>
                <w:p w14:paraId="5A275AAC">
                  <w:pPr>
                    <w:spacing w:before="48" w:beforeLines="20"/>
                    <w:jc w:val="center"/>
                    <w:rPr>
                      <w:b/>
                      <w:bCs/>
                      <w:color w:val="000000" w:themeColor="text1"/>
                      <w:szCs w:val="21"/>
                      <w14:textFill>
                        <w14:solidFill>
                          <w14:schemeClr w14:val="tx1"/>
                        </w14:solidFill>
                      </w14:textFill>
                    </w:rPr>
                  </w:pPr>
                </w:p>
              </w:tc>
              <w:tc>
                <w:tcPr>
                  <w:tcW w:w="845" w:type="pct"/>
                  <w:vAlign w:val="center"/>
                </w:tcPr>
                <w:p w14:paraId="3719E029">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tc>
              <w:tc>
                <w:tcPr>
                  <w:tcW w:w="1008" w:type="pct"/>
                  <w:vAlign w:val="center"/>
                </w:tcPr>
                <w:p w14:paraId="26E7E650">
                  <w:pPr>
                    <w:spacing w:before="48" w:beforeLines="2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p w14:paraId="0DE81776">
                  <w:pPr>
                    <w:spacing w:before="48" w:beforeLines="20"/>
                    <w:jc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（根据验收监测工况95%折算）</w:t>
                  </w:r>
                </w:p>
              </w:tc>
              <w:tc>
                <w:tcPr>
                  <w:tcW w:w="1072" w:type="pct"/>
                  <w:vAlign w:val="center"/>
                </w:tcPr>
                <w:p w14:paraId="3B91DE74">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817" w:type="pct"/>
                  <w:vAlign w:val="center"/>
                </w:tcPr>
                <w:p w14:paraId="72EFF272">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w:t>
                  </w:r>
                  <w:r>
                    <w:rPr>
                      <w:rFonts w:hint="eastAsia"/>
                      <w:b/>
                      <w:bCs/>
                      <w:color w:val="000000" w:themeColor="text1"/>
                      <w:szCs w:val="21"/>
                      <w14:textFill>
                        <w14:solidFill>
                          <w14:schemeClr w14:val="tx1"/>
                        </w14:solidFill>
                      </w14:textFill>
                    </w:rPr>
                    <w:t>率</w:t>
                  </w:r>
                  <w:r>
                    <w:rPr>
                      <w:color w:val="000000" w:themeColor="text1"/>
                      <w:szCs w:val="21"/>
                      <w14:textFill>
                        <w14:solidFill>
                          <w14:schemeClr w14:val="tx1"/>
                        </w14:solidFill>
                      </w14:textFill>
                    </w:rPr>
                    <w:t>（kg/h）</w:t>
                  </w:r>
                </w:p>
              </w:tc>
            </w:tr>
            <w:tr w14:paraId="44FA1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487" w:type="pct"/>
                  <w:vMerge w:val="restart"/>
                  <w:vAlign w:val="center"/>
                </w:tcPr>
                <w:p w14:paraId="7BD119E8">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DA001</w:t>
                  </w:r>
                </w:p>
              </w:tc>
              <w:tc>
                <w:tcPr>
                  <w:tcW w:w="769" w:type="pct"/>
                  <w:vAlign w:val="center"/>
                </w:tcPr>
                <w:p w14:paraId="1F323FCB">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二氧化硫</w:t>
                  </w:r>
                </w:p>
              </w:tc>
              <w:tc>
                <w:tcPr>
                  <w:tcW w:w="845" w:type="pct"/>
                  <w:vAlign w:val="center"/>
                </w:tcPr>
                <w:p w14:paraId="446BEE5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3.905</w:t>
                  </w:r>
                </w:p>
              </w:tc>
              <w:tc>
                <w:tcPr>
                  <w:tcW w:w="1008" w:type="pct"/>
                  <w:vAlign w:val="center"/>
                </w:tcPr>
                <w:p w14:paraId="69182D5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0.421 </w:t>
                  </w:r>
                </w:p>
              </w:tc>
              <w:tc>
                <w:tcPr>
                  <w:tcW w:w="1072" w:type="pct"/>
                  <w:vAlign w:val="center"/>
                </w:tcPr>
                <w:p w14:paraId="5B0B878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817" w:type="pct"/>
                  <w:vAlign w:val="center"/>
                </w:tcPr>
                <w:p w14:paraId="00B30EC3">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r>
            <w:tr w14:paraId="75DCF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17769CF2">
                  <w:pPr>
                    <w:spacing w:before="48" w:beforeLines="20"/>
                    <w:jc w:val="center"/>
                    <w:rPr>
                      <w:b/>
                      <w:bCs/>
                      <w:color w:val="000000" w:themeColor="text1"/>
                      <w:szCs w:val="21"/>
                      <w14:textFill>
                        <w14:solidFill>
                          <w14:schemeClr w14:val="tx1"/>
                        </w14:solidFill>
                      </w14:textFill>
                    </w:rPr>
                  </w:pPr>
                </w:p>
              </w:tc>
              <w:tc>
                <w:tcPr>
                  <w:tcW w:w="769" w:type="pct"/>
                  <w:vAlign w:val="center"/>
                </w:tcPr>
                <w:p w14:paraId="35962E7A">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颗粒物</w:t>
                  </w:r>
                </w:p>
              </w:tc>
              <w:tc>
                <w:tcPr>
                  <w:tcW w:w="845" w:type="pct"/>
                  <w:vAlign w:val="center"/>
                </w:tcPr>
                <w:p w14:paraId="4FF0432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0.045</w:t>
                  </w:r>
                </w:p>
              </w:tc>
              <w:tc>
                <w:tcPr>
                  <w:tcW w:w="1008" w:type="pct"/>
                  <w:vAlign w:val="center"/>
                </w:tcPr>
                <w:p w14:paraId="26D13158">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0.974 </w:t>
                  </w:r>
                </w:p>
              </w:tc>
              <w:tc>
                <w:tcPr>
                  <w:tcW w:w="1072" w:type="pct"/>
                  <w:vAlign w:val="center"/>
                </w:tcPr>
                <w:p w14:paraId="0FAEED5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w:t>
                  </w:r>
                </w:p>
              </w:tc>
              <w:tc>
                <w:tcPr>
                  <w:tcW w:w="817" w:type="pct"/>
                  <w:vAlign w:val="center"/>
                </w:tcPr>
                <w:p w14:paraId="09320C6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0.139</w:t>
                  </w:r>
                </w:p>
              </w:tc>
            </w:tr>
            <w:tr w14:paraId="08B5B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7B9C5043">
                  <w:pPr>
                    <w:spacing w:before="48" w:beforeLines="20"/>
                    <w:jc w:val="center"/>
                    <w:rPr>
                      <w:b/>
                      <w:bCs/>
                      <w:color w:val="000000" w:themeColor="text1"/>
                      <w:szCs w:val="21"/>
                      <w14:textFill>
                        <w14:solidFill>
                          <w14:schemeClr w14:val="tx1"/>
                        </w14:solidFill>
                      </w14:textFill>
                    </w:rPr>
                  </w:pPr>
                </w:p>
              </w:tc>
              <w:tc>
                <w:tcPr>
                  <w:tcW w:w="769" w:type="pct"/>
                  <w:vAlign w:val="center"/>
                </w:tcPr>
                <w:p w14:paraId="54C535DC">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氮氧化物</w:t>
                  </w:r>
                </w:p>
              </w:tc>
              <w:tc>
                <w:tcPr>
                  <w:tcW w:w="845" w:type="pct"/>
                  <w:vAlign w:val="center"/>
                </w:tcPr>
                <w:p w14:paraId="758839A6">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3.585</w:t>
                  </w:r>
                </w:p>
              </w:tc>
              <w:tc>
                <w:tcPr>
                  <w:tcW w:w="1008" w:type="pct"/>
                  <w:vAlign w:val="center"/>
                </w:tcPr>
                <w:p w14:paraId="47F72DF2">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2.033 </w:t>
                  </w:r>
                </w:p>
              </w:tc>
              <w:tc>
                <w:tcPr>
                  <w:tcW w:w="1072" w:type="pct"/>
                  <w:vAlign w:val="center"/>
                </w:tcPr>
                <w:p w14:paraId="23DD7550">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817" w:type="pct"/>
                  <w:vAlign w:val="center"/>
                </w:tcPr>
                <w:p w14:paraId="348F14F2">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0.29</w:t>
                  </w:r>
                </w:p>
              </w:tc>
            </w:tr>
            <w:tr w14:paraId="57BAD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62AF4094">
                  <w:pPr>
                    <w:spacing w:before="48" w:beforeLines="20"/>
                    <w:jc w:val="center"/>
                    <w:rPr>
                      <w:b/>
                      <w:bCs/>
                      <w:color w:val="000000" w:themeColor="text1"/>
                      <w:szCs w:val="21"/>
                      <w14:textFill>
                        <w14:solidFill>
                          <w14:schemeClr w14:val="tx1"/>
                        </w14:solidFill>
                      </w14:textFill>
                    </w:rPr>
                  </w:pPr>
                </w:p>
              </w:tc>
              <w:tc>
                <w:tcPr>
                  <w:tcW w:w="769" w:type="pct"/>
                  <w:vAlign w:val="center"/>
                </w:tcPr>
                <w:p w14:paraId="14FDF4C1">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w:t>
                  </w:r>
                </w:p>
              </w:tc>
              <w:tc>
                <w:tcPr>
                  <w:tcW w:w="845" w:type="pct"/>
                  <w:vAlign w:val="center"/>
                </w:tcPr>
                <w:p w14:paraId="797898A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0.1318</w:t>
                  </w:r>
                </w:p>
              </w:tc>
              <w:tc>
                <w:tcPr>
                  <w:tcW w:w="1008" w:type="pct"/>
                  <w:vAlign w:val="center"/>
                </w:tcPr>
                <w:p w14:paraId="0F2A04CF">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0.128 </w:t>
                  </w:r>
                </w:p>
              </w:tc>
              <w:tc>
                <w:tcPr>
                  <w:tcW w:w="1072" w:type="pct"/>
                  <w:vAlign w:val="center"/>
                </w:tcPr>
                <w:p w14:paraId="6505CF6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817" w:type="pct"/>
                  <w:vAlign w:val="center"/>
                </w:tcPr>
                <w:p w14:paraId="22C67CB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0.0182</w:t>
                  </w:r>
                </w:p>
              </w:tc>
            </w:tr>
            <w:tr w14:paraId="7CB36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487" w:type="pct"/>
                  <w:vMerge w:val="continue"/>
                  <w:vAlign w:val="center"/>
                </w:tcPr>
                <w:p w14:paraId="5A8D9B1A">
                  <w:pPr>
                    <w:spacing w:before="48" w:beforeLines="20"/>
                    <w:jc w:val="center"/>
                    <w:rPr>
                      <w:b/>
                      <w:bCs/>
                      <w:color w:val="000000" w:themeColor="text1"/>
                      <w:szCs w:val="21"/>
                      <w14:textFill>
                        <w14:solidFill>
                          <w14:schemeClr w14:val="tx1"/>
                        </w14:solidFill>
                      </w14:textFill>
                    </w:rPr>
                  </w:pPr>
                </w:p>
              </w:tc>
              <w:tc>
                <w:tcPr>
                  <w:tcW w:w="769" w:type="pct"/>
                  <w:vAlign w:val="center"/>
                </w:tcPr>
                <w:p w14:paraId="02AEDE4D">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硫化氢</w:t>
                  </w:r>
                </w:p>
              </w:tc>
              <w:tc>
                <w:tcPr>
                  <w:tcW w:w="845" w:type="pct"/>
                  <w:vAlign w:val="center"/>
                </w:tcPr>
                <w:p w14:paraId="279C00D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0.0264</w:t>
                  </w:r>
                </w:p>
              </w:tc>
              <w:tc>
                <w:tcPr>
                  <w:tcW w:w="1008" w:type="pct"/>
                  <w:vAlign w:val="center"/>
                </w:tcPr>
                <w:p w14:paraId="7D810F74">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0.026 </w:t>
                  </w:r>
                </w:p>
              </w:tc>
              <w:tc>
                <w:tcPr>
                  <w:tcW w:w="1072" w:type="pct"/>
                  <w:vAlign w:val="center"/>
                </w:tcPr>
                <w:p w14:paraId="37C47192">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817" w:type="pct"/>
                  <w:vAlign w:val="center"/>
                </w:tcPr>
                <w:p w14:paraId="14EEA8ED">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0.0037</w:t>
                  </w:r>
                </w:p>
              </w:tc>
            </w:tr>
            <w:tr w14:paraId="6ADBE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restart"/>
                  <w:vAlign w:val="center"/>
                </w:tcPr>
                <w:p w14:paraId="3E7B0F12">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DA002</w:t>
                  </w:r>
                </w:p>
              </w:tc>
              <w:tc>
                <w:tcPr>
                  <w:tcW w:w="769" w:type="pct"/>
                  <w:vAlign w:val="center"/>
                </w:tcPr>
                <w:p w14:paraId="63D7150C">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二氧化硫</w:t>
                  </w:r>
                </w:p>
              </w:tc>
              <w:tc>
                <w:tcPr>
                  <w:tcW w:w="845" w:type="pct"/>
                  <w:vAlign w:val="center"/>
                </w:tcPr>
                <w:p w14:paraId="5D1F634E">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13.891</w:t>
                  </w:r>
                </w:p>
              </w:tc>
              <w:tc>
                <w:tcPr>
                  <w:tcW w:w="1008" w:type="pct"/>
                  <w:vAlign w:val="center"/>
                </w:tcPr>
                <w:p w14:paraId="4BD2DA02">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0.701 </w:t>
                  </w:r>
                </w:p>
              </w:tc>
              <w:tc>
                <w:tcPr>
                  <w:tcW w:w="1072" w:type="pct"/>
                  <w:vAlign w:val="center"/>
                </w:tcPr>
                <w:p w14:paraId="24B3B8D0">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817" w:type="pct"/>
                  <w:vAlign w:val="center"/>
                </w:tcPr>
                <w:p w14:paraId="11EB2761">
                  <w:pPr>
                    <w:spacing w:before="48" w:beforeLines="2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0.1</w:t>
                  </w:r>
                </w:p>
              </w:tc>
            </w:tr>
            <w:tr w14:paraId="18819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87" w:type="pct"/>
                  <w:vMerge w:val="continue"/>
                  <w:vAlign w:val="center"/>
                </w:tcPr>
                <w:p w14:paraId="356FCAE4">
                  <w:pPr>
                    <w:spacing w:before="48" w:beforeLines="20"/>
                    <w:jc w:val="center"/>
                    <w:rPr>
                      <w:b/>
                      <w:bCs/>
                      <w:color w:val="000000" w:themeColor="text1"/>
                      <w:szCs w:val="21"/>
                      <w14:textFill>
                        <w14:solidFill>
                          <w14:schemeClr w14:val="tx1"/>
                        </w14:solidFill>
                      </w14:textFill>
                    </w:rPr>
                  </w:pPr>
                </w:p>
              </w:tc>
              <w:tc>
                <w:tcPr>
                  <w:tcW w:w="769" w:type="pct"/>
                  <w:vAlign w:val="center"/>
                </w:tcPr>
                <w:p w14:paraId="05EAAC23">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颗粒物</w:t>
                  </w:r>
                </w:p>
              </w:tc>
              <w:tc>
                <w:tcPr>
                  <w:tcW w:w="845" w:type="pct"/>
                  <w:vAlign w:val="center"/>
                </w:tcPr>
                <w:p w14:paraId="69687C0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0.344</w:t>
                  </w:r>
                </w:p>
              </w:tc>
              <w:tc>
                <w:tcPr>
                  <w:tcW w:w="1008" w:type="pct"/>
                  <w:vAlign w:val="center"/>
                </w:tcPr>
                <w:p w14:paraId="7B0FDDD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0.981 </w:t>
                  </w:r>
                </w:p>
              </w:tc>
              <w:tc>
                <w:tcPr>
                  <w:tcW w:w="1072" w:type="pct"/>
                  <w:vAlign w:val="center"/>
                </w:tcPr>
                <w:p w14:paraId="1FB8D6B5">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817" w:type="pct"/>
                  <w:vAlign w:val="center"/>
                </w:tcPr>
                <w:p w14:paraId="649F8E0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4</w:t>
                  </w:r>
                </w:p>
              </w:tc>
            </w:tr>
            <w:tr w14:paraId="0969A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09418A3">
                  <w:pPr>
                    <w:spacing w:before="48" w:beforeLines="20"/>
                    <w:jc w:val="center"/>
                    <w:rPr>
                      <w:b/>
                      <w:bCs/>
                      <w:color w:val="000000" w:themeColor="text1"/>
                      <w:szCs w:val="21"/>
                      <w14:textFill>
                        <w14:solidFill>
                          <w14:schemeClr w14:val="tx1"/>
                        </w14:solidFill>
                      </w14:textFill>
                    </w:rPr>
                  </w:pPr>
                </w:p>
              </w:tc>
              <w:tc>
                <w:tcPr>
                  <w:tcW w:w="769" w:type="pct"/>
                  <w:vAlign w:val="center"/>
                </w:tcPr>
                <w:p w14:paraId="44ADB811">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氮氧化物</w:t>
                  </w:r>
                </w:p>
              </w:tc>
              <w:tc>
                <w:tcPr>
                  <w:tcW w:w="845" w:type="pct"/>
                  <w:vAlign w:val="center"/>
                </w:tcPr>
                <w:p w14:paraId="0C638034">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4.946</w:t>
                  </w:r>
                </w:p>
              </w:tc>
              <w:tc>
                <w:tcPr>
                  <w:tcW w:w="1008" w:type="pct"/>
                  <w:vAlign w:val="center"/>
                </w:tcPr>
                <w:p w14:paraId="36642EA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6.239 </w:t>
                  </w:r>
                </w:p>
              </w:tc>
              <w:tc>
                <w:tcPr>
                  <w:tcW w:w="1072" w:type="pct"/>
                  <w:vAlign w:val="center"/>
                </w:tcPr>
                <w:p w14:paraId="54CF98F0">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817" w:type="pct"/>
                  <w:vAlign w:val="center"/>
                </w:tcPr>
                <w:p w14:paraId="0AD3A8C7">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0.89</w:t>
                  </w:r>
                </w:p>
              </w:tc>
            </w:tr>
            <w:tr w14:paraId="7C3E2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0A05824">
                  <w:pPr>
                    <w:spacing w:before="48" w:beforeLines="20"/>
                    <w:jc w:val="center"/>
                    <w:rPr>
                      <w:b/>
                      <w:bCs/>
                      <w:color w:val="000000" w:themeColor="text1"/>
                      <w:szCs w:val="21"/>
                      <w14:textFill>
                        <w14:solidFill>
                          <w14:schemeClr w14:val="tx1"/>
                        </w14:solidFill>
                      </w14:textFill>
                    </w:rPr>
                  </w:pPr>
                </w:p>
              </w:tc>
              <w:tc>
                <w:tcPr>
                  <w:tcW w:w="769" w:type="pct"/>
                  <w:vAlign w:val="center"/>
                </w:tcPr>
                <w:p w14:paraId="30B8A410">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w:t>
                  </w:r>
                </w:p>
              </w:tc>
              <w:tc>
                <w:tcPr>
                  <w:tcW w:w="845" w:type="pct"/>
                  <w:vAlign w:val="center"/>
                </w:tcPr>
                <w:p w14:paraId="6F95072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0.2636</w:t>
                  </w:r>
                </w:p>
              </w:tc>
              <w:tc>
                <w:tcPr>
                  <w:tcW w:w="1008" w:type="pct"/>
                  <w:vAlign w:val="center"/>
                </w:tcPr>
                <w:p w14:paraId="0B9351F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0.24</w:t>
                  </w:r>
                </w:p>
              </w:tc>
              <w:tc>
                <w:tcPr>
                  <w:tcW w:w="1072" w:type="pct"/>
                  <w:vAlign w:val="center"/>
                </w:tcPr>
                <w:p w14:paraId="1DD1294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w:t>
                  </w:r>
                </w:p>
              </w:tc>
              <w:tc>
                <w:tcPr>
                  <w:tcW w:w="817" w:type="pct"/>
                  <w:vAlign w:val="center"/>
                </w:tcPr>
                <w:p w14:paraId="2FFFF426">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0.0342</w:t>
                  </w:r>
                </w:p>
              </w:tc>
            </w:tr>
            <w:tr w14:paraId="6C4B4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87" w:type="pct"/>
                  <w:vMerge w:val="continue"/>
                  <w:vAlign w:val="center"/>
                </w:tcPr>
                <w:p w14:paraId="7AA1686D">
                  <w:pPr>
                    <w:spacing w:before="48" w:beforeLines="20"/>
                    <w:jc w:val="center"/>
                    <w:rPr>
                      <w:b/>
                      <w:bCs/>
                      <w:color w:val="000000" w:themeColor="text1"/>
                      <w:szCs w:val="21"/>
                      <w14:textFill>
                        <w14:solidFill>
                          <w14:schemeClr w14:val="tx1"/>
                        </w14:solidFill>
                      </w14:textFill>
                    </w:rPr>
                  </w:pPr>
                </w:p>
              </w:tc>
              <w:tc>
                <w:tcPr>
                  <w:tcW w:w="769" w:type="pct"/>
                  <w:vAlign w:val="center"/>
                </w:tcPr>
                <w:p w14:paraId="71046C55">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硫化氢</w:t>
                  </w:r>
                </w:p>
              </w:tc>
              <w:tc>
                <w:tcPr>
                  <w:tcW w:w="845" w:type="pct"/>
                  <w:vAlign w:val="center"/>
                </w:tcPr>
                <w:p w14:paraId="66AEC9E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0.0528</w:t>
                  </w:r>
                </w:p>
              </w:tc>
              <w:tc>
                <w:tcPr>
                  <w:tcW w:w="1008" w:type="pct"/>
                  <w:vAlign w:val="center"/>
                </w:tcPr>
                <w:p w14:paraId="4CA06CA5">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0.044 </w:t>
                  </w:r>
                </w:p>
              </w:tc>
              <w:tc>
                <w:tcPr>
                  <w:tcW w:w="1072" w:type="pct"/>
                  <w:vAlign w:val="center"/>
                </w:tcPr>
                <w:p w14:paraId="1D0A0D37">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0.36</w:t>
                  </w:r>
                </w:p>
              </w:tc>
              <w:tc>
                <w:tcPr>
                  <w:tcW w:w="817" w:type="pct"/>
                  <w:vAlign w:val="center"/>
                </w:tcPr>
                <w:p w14:paraId="4C46086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0.0063</w:t>
                  </w:r>
                </w:p>
              </w:tc>
            </w:tr>
          </w:tbl>
          <w:p w14:paraId="3F0A43ED">
            <w:pPr>
              <w:pStyle w:val="5"/>
              <w:spacing w:before="48" w:beforeLines="2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53.55pt;width:287.15pt;" o:ole="t" filled="f" o:preferrelative="t" stroked="f" coordsize="21600,21600">
                  <v:path/>
                  <v:fill on="f" focussize="0,0"/>
                  <v:stroke on="f" joinstyle="miter"/>
                  <v:imagedata r:id="rId22" o:title=""/>
                  <o:lock v:ext="edit" aspectratio="f"/>
                  <w10:wrap type="none"/>
                  <w10:anchorlock/>
                </v:shape>
                <o:OLEObject Type="Embed" ProgID="Visio.Drawing.11" ShapeID="_x0000_i1026" DrawAspect="Content" ObjectID="_1468075726" r:id="rId21">
                  <o:LockedField>false</o:LockedField>
                </o:OLEObject>
              </w:object>
            </w:r>
          </w:p>
          <w:p w14:paraId="38B8B7B2">
            <w:pPr>
              <w:pStyle w:val="5"/>
              <w:spacing w:before="48" w:beforeLines="20"/>
              <w:jc w:val="center"/>
              <w:rPr>
                <w:b/>
                <w:bCs/>
                <w:color w:val="000000" w:themeColor="text1"/>
                <w:sz w:val="21"/>
                <w:szCs w:val="32"/>
                <w14:textFill>
                  <w14:solidFill>
                    <w14:schemeClr w14:val="tx1"/>
                  </w14:solidFill>
                </w14:textFill>
              </w:rPr>
            </w:pPr>
            <w:r>
              <w:rPr>
                <w:b/>
                <w:bCs/>
                <w:color w:val="000000" w:themeColor="text1"/>
                <w:sz w:val="21"/>
                <w:szCs w:val="32"/>
                <w14:textFill>
                  <w14:solidFill>
                    <w14:schemeClr w14:val="tx1"/>
                  </w14:solidFill>
                </w14:textFill>
              </w:rPr>
              <w:t>图</w:t>
            </w:r>
            <w:r>
              <w:rPr>
                <w:rFonts w:hint="eastAsia"/>
                <w:b/>
                <w:bCs/>
                <w:color w:val="000000" w:themeColor="text1"/>
                <w:sz w:val="21"/>
                <w:szCs w:val="32"/>
                <w14:textFill>
                  <w14:solidFill>
                    <w14:schemeClr w14:val="tx1"/>
                  </w14:solidFill>
                </w14:textFill>
              </w:rPr>
              <w:t>2-9</w:t>
            </w:r>
            <w:r>
              <w:rPr>
                <w:b/>
                <w:bCs/>
                <w:color w:val="000000" w:themeColor="text1"/>
                <w:sz w:val="21"/>
                <w:szCs w:val="32"/>
                <w14:textFill>
                  <w14:solidFill>
                    <w14:schemeClr w14:val="tx1"/>
                  </w14:solidFill>
                </w14:textFill>
              </w:rPr>
              <w:t>有组织废气监测示意图</w:t>
            </w:r>
          </w:p>
          <w:p w14:paraId="5DE88A8A">
            <w:pPr>
              <w:pStyle w:val="5"/>
              <w:spacing w:before="48" w:beforeLines="20" w:after="0" w:line="360" w:lineRule="auto"/>
              <w:ind w:firstLine="482" w:firstLineChars="200"/>
              <w:jc w:val="left"/>
              <w:rPr>
                <w:b/>
                <w:bCs/>
                <w:color w:val="000000" w:themeColor="text1"/>
                <w:sz w:val="24"/>
                <w:szCs w:val="40"/>
                <w14:textFill>
                  <w14:solidFill>
                    <w14:schemeClr w14:val="tx1"/>
                  </w14:solidFill>
                </w14:textFill>
              </w:rPr>
            </w:pPr>
            <w:r>
              <w:rPr>
                <w:rFonts w:hint="eastAsia"/>
                <w:b/>
                <w:bCs/>
                <w:color w:val="000000" w:themeColor="text1"/>
                <w:sz w:val="24"/>
                <w:szCs w:val="40"/>
                <w14:textFill>
                  <w14:solidFill>
                    <w14:schemeClr w14:val="tx1"/>
                  </w14:solidFill>
                </w14:textFill>
              </w:rPr>
              <w:t>②</w:t>
            </w:r>
            <w:r>
              <w:rPr>
                <w:b/>
                <w:bCs/>
                <w:color w:val="000000" w:themeColor="text1"/>
                <w:sz w:val="24"/>
                <w:szCs w:val="40"/>
                <w14:textFill>
                  <w14:solidFill>
                    <w14:schemeClr w14:val="tx1"/>
                  </w14:solidFill>
                </w14:textFill>
              </w:rPr>
              <w:t>无组织排放废气</w:t>
            </w:r>
          </w:p>
          <w:p w14:paraId="6098F7BC">
            <w:pPr>
              <w:spacing w:before="48" w:beforeLines="20" w:line="360" w:lineRule="auto"/>
              <w:ind w:firstLine="48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a</w:t>
            </w:r>
            <w:r>
              <w:rPr>
                <w:b/>
                <w:bCs/>
                <w:color w:val="000000" w:themeColor="text1"/>
                <w:sz w:val="24"/>
                <w14:textFill>
                  <w14:solidFill>
                    <w14:schemeClr w14:val="tx1"/>
                  </w14:solidFill>
                </w14:textFill>
              </w:rPr>
              <w:t>恶臭气体</w:t>
            </w:r>
          </w:p>
          <w:p w14:paraId="73066F62">
            <w:pPr>
              <w:spacing w:before="48" w:beforeLines="20"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根据监测数据，无组织排放废气氨、硫化氢、臭气浓度厂界值达到《恶臭污染物排放标准》（GB14554-93）表1二级标准，即NH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≤1.5</w:t>
            </w:r>
            <w:r>
              <w:rPr>
                <w:color w:val="000000" w:themeColor="text1"/>
                <w:sz w:val="24"/>
                <w:lang w:val="zh-CN"/>
                <w14:textFill>
                  <w14:solidFill>
                    <w14:schemeClr w14:val="tx1"/>
                  </w14:solidFill>
                </w14:textFill>
              </w:rPr>
              <w:t>mg/m</w:t>
            </w:r>
            <w:r>
              <w:rPr>
                <w:color w:val="000000" w:themeColor="text1"/>
                <w:sz w:val="24"/>
                <w:vertAlign w:val="superscript"/>
                <w:lang w:val="zh-CN"/>
                <w14:textFill>
                  <w14:solidFill>
                    <w14:schemeClr w14:val="tx1"/>
                  </w14:solidFill>
                </w14:textFill>
              </w:rPr>
              <w:t>3</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S≤0.06</w:t>
            </w:r>
            <w:r>
              <w:rPr>
                <w:color w:val="000000" w:themeColor="text1"/>
                <w:sz w:val="24"/>
                <w:lang w:val="zh-CN"/>
                <w14:textFill>
                  <w14:solidFill>
                    <w14:schemeClr w14:val="tx1"/>
                  </w14:solidFill>
                </w14:textFill>
              </w:rPr>
              <w:t>mg/m</w:t>
            </w:r>
            <w:r>
              <w:rPr>
                <w:color w:val="000000" w:themeColor="text1"/>
                <w:sz w:val="24"/>
                <w:vertAlign w:val="superscript"/>
                <w:lang w:val="zh-CN"/>
                <w14:textFill>
                  <w14:solidFill>
                    <w14:schemeClr w14:val="tx1"/>
                  </w14:solidFill>
                </w14:textFill>
              </w:rPr>
              <w:t>3</w:t>
            </w:r>
            <w:r>
              <w:rPr>
                <w:color w:val="000000" w:themeColor="text1"/>
                <w:sz w:val="24"/>
                <w14:textFill>
                  <w14:solidFill>
                    <w14:schemeClr w14:val="tx1"/>
                  </w14:solidFill>
                </w14:textFill>
              </w:rPr>
              <w:t>，臭气浓度≤20（无量纲）。</w:t>
            </w:r>
          </w:p>
          <w:p w14:paraId="66479E29">
            <w:pPr>
              <w:spacing w:before="48" w:beforeLines="2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b</w:t>
            </w:r>
            <w:r>
              <w:rPr>
                <w:b/>
                <w:bCs/>
                <w:color w:val="000000" w:themeColor="text1"/>
                <w:sz w:val="24"/>
                <w14:textFill>
                  <w14:solidFill>
                    <w14:schemeClr w14:val="tx1"/>
                  </w14:solidFill>
                </w14:textFill>
              </w:rPr>
              <w:t>厨房油烟</w:t>
            </w:r>
          </w:p>
          <w:p w14:paraId="5B53AC57">
            <w:pPr>
              <w:autoSpaceDE w:val="0"/>
              <w:autoSpaceDN w:val="0"/>
              <w:spacing w:before="48" w:beforeLines="20"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w:t>
            </w:r>
            <w:r>
              <w:rPr>
                <w:bCs/>
                <w:color w:val="000000" w:themeColor="text1"/>
                <w:sz w:val="24"/>
                <w14:textFill>
                  <w14:solidFill>
                    <w14:schemeClr w14:val="tx1"/>
                  </w14:solidFill>
                </w14:textFill>
              </w:rPr>
              <w:t>项目</w:t>
            </w:r>
            <w:r>
              <w:rPr>
                <w:color w:val="000000" w:themeColor="text1"/>
                <w:sz w:val="24"/>
                <w14:textFill>
                  <w14:solidFill>
                    <w14:schemeClr w14:val="tx1"/>
                  </w14:solidFill>
                </w14:textFill>
              </w:rPr>
              <w:t>劳动定员47人，设置有一个中型规模员工厨房，为员工提供两餐，在厂区就餐人数中餐38人，晚餐10人。根据业主提供资料，食用油消耗量约1.92</w:t>
            </w:r>
            <w:r>
              <w:rPr>
                <w:rFonts w:eastAsia="Times New Roman"/>
                <w:color w:val="000000" w:themeColor="text1"/>
                <w:sz w:val="24"/>
                <w14:textFill>
                  <w14:solidFill>
                    <w14:schemeClr w14:val="tx1"/>
                  </w14:solidFill>
                </w14:textFill>
              </w:rPr>
              <w:t>kg/d</w:t>
            </w:r>
            <w:r>
              <w:rPr>
                <w:color w:val="000000" w:themeColor="text1"/>
                <w:sz w:val="24"/>
                <w14:textFill>
                  <w14:solidFill>
                    <w14:schemeClr w14:val="tx1"/>
                  </w14:solidFill>
                </w14:textFill>
              </w:rPr>
              <w:t>，油烟产生量约0.054kg/d，17.982kg/a。烹饪使用电作为能源，属清洁能源</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员工食堂厨房已安装具有合格证处理效率为90%的油烟净化器，排风量约为8000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h，油烟机每天工作4h，油烟经净化引至厨房油烟集中排烟管道，由员工食堂屋顶1.5m高排气筒排放，排放浓度约为1.69mg/m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，达到《饮食业油烟排放标准（试行）》（GB18483-2001）中的有关规定即排放浓度≤2mg/m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。排放量约0.0054kg</w:t>
            </w:r>
            <w:r>
              <w:rPr>
                <w:rFonts w:eastAsia="Times New Roman"/>
                <w:color w:val="000000" w:themeColor="text1"/>
                <w:sz w:val="24"/>
                <w14:textFill>
                  <w14:solidFill>
                    <w14:schemeClr w14:val="tx1"/>
                  </w14:solidFill>
                </w14:textFill>
              </w:rPr>
              <w:t>/d</w:t>
            </w:r>
            <w:r>
              <w:rPr>
                <w:color w:val="000000" w:themeColor="text1"/>
                <w:sz w:val="24"/>
                <w14:textFill>
                  <w14:solidFill>
                    <w14:schemeClr w14:val="tx1"/>
                  </w14:solidFill>
                </w14:textFill>
              </w:rPr>
              <w:t>，1.8kg</w:t>
            </w:r>
            <w:r>
              <w:rPr>
                <w:rFonts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w:t>
            </w:r>
          </w:p>
          <w:p w14:paraId="72A0194A">
            <w:pPr>
              <w:spacing w:before="48" w:beforeLines="20" w:line="240" w:lineRule="atLeas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13</w:t>
            </w:r>
            <w:r>
              <w:rPr>
                <w:b/>
                <w:color w:val="000000" w:themeColor="text1"/>
                <w:szCs w:val="21"/>
                <w14:textFill>
                  <w14:solidFill>
                    <w14:schemeClr w14:val="tx1"/>
                  </w14:solidFill>
                </w14:textFill>
              </w:rPr>
              <w:t xml:space="preserve">  食堂油烟废气产排情况表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6"/>
              <w:gridCol w:w="801"/>
              <w:gridCol w:w="934"/>
              <w:gridCol w:w="3344"/>
              <w:gridCol w:w="1188"/>
              <w:gridCol w:w="1172"/>
            </w:tblGrid>
            <w:tr w14:paraId="5ACD0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Merge w:val="restart"/>
                  <w:vAlign w:val="center"/>
                </w:tcPr>
                <w:p w14:paraId="43CCE3EB">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1716" w:type="dxa"/>
                  <w:gridSpan w:val="2"/>
                  <w:vAlign w:val="center"/>
                </w:tcPr>
                <w:p w14:paraId="6CB3D44A">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产生情况</w:t>
                  </w:r>
                </w:p>
              </w:tc>
              <w:tc>
                <w:tcPr>
                  <w:tcW w:w="3308" w:type="dxa"/>
                  <w:vMerge w:val="restart"/>
                  <w:vAlign w:val="center"/>
                </w:tcPr>
                <w:p w14:paraId="7416BFF2">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环保措施及处理效率</w:t>
                  </w:r>
                </w:p>
              </w:tc>
              <w:tc>
                <w:tcPr>
                  <w:tcW w:w="2334" w:type="dxa"/>
                  <w:gridSpan w:val="2"/>
                  <w:vAlign w:val="center"/>
                </w:tcPr>
                <w:p w14:paraId="15F89000">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排放情况</w:t>
                  </w:r>
                </w:p>
              </w:tc>
            </w:tr>
            <w:tr w14:paraId="2B9B7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Merge w:val="continue"/>
                  <w:vAlign w:val="center"/>
                </w:tcPr>
                <w:p w14:paraId="11345A18">
                  <w:pPr>
                    <w:spacing w:before="48" w:beforeLines="20"/>
                    <w:jc w:val="center"/>
                    <w:rPr>
                      <w:b/>
                      <w:bCs/>
                      <w:color w:val="000000" w:themeColor="text1"/>
                      <w:szCs w:val="21"/>
                      <w14:textFill>
                        <w14:solidFill>
                          <w14:schemeClr w14:val="tx1"/>
                        </w14:solidFill>
                      </w14:textFill>
                    </w:rPr>
                  </w:pPr>
                </w:p>
              </w:tc>
              <w:tc>
                <w:tcPr>
                  <w:tcW w:w="792" w:type="dxa"/>
                  <w:vAlign w:val="center"/>
                </w:tcPr>
                <w:p w14:paraId="571ACA6A">
                  <w:pPr>
                    <w:spacing w:before="48" w:beforeLines="20"/>
                    <w:jc w:val="center"/>
                    <w:rPr>
                      <w:b/>
                      <w:bCs/>
                      <w:color w:val="000000" w:themeColor="text1"/>
                      <w:szCs w:val="21"/>
                      <w14:textFill>
                        <w14:solidFill>
                          <w14:schemeClr w14:val="tx1"/>
                        </w14:solidFill>
                      </w14:textFill>
                    </w:rPr>
                  </w:pPr>
                  <w:r>
                    <w:rPr>
                      <w:color w:val="000000" w:themeColor="text1"/>
                      <w:sz w:val="24"/>
                      <w14:textFill>
                        <w14:solidFill>
                          <w14:schemeClr w14:val="tx1"/>
                        </w14:solidFill>
                      </w14:textFill>
                    </w:rPr>
                    <w:t>kg</w:t>
                  </w:r>
                  <w:r>
                    <w:rPr>
                      <w:b/>
                      <w:bCs/>
                      <w:color w:val="000000" w:themeColor="text1"/>
                      <w:szCs w:val="21"/>
                      <w14:textFill>
                        <w14:solidFill>
                          <w14:schemeClr w14:val="tx1"/>
                        </w14:solidFill>
                      </w14:textFill>
                    </w:rPr>
                    <w:t>/d</w:t>
                  </w:r>
                </w:p>
              </w:tc>
              <w:tc>
                <w:tcPr>
                  <w:tcW w:w="924" w:type="dxa"/>
                  <w:vAlign w:val="center"/>
                </w:tcPr>
                <w:p w14:paraId="30005EEC">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kg/a</w:t>
                  </w:r>
                </w:p>
              </w:tc>
              <w:tc>
                <w:tcPr>
                  <w:tcW w:w="3308" w:type="dxa"/>
                  <w:vMerge w:val="continue"/>
                  <w:vAlign w:val="center"/>
                </w:tcPr>
                <w:p w14:paraId="2E83786E">
                  <w:pPr>
                    <w:spacing w:before="48" w:beforeLines="20"/>
                    <w:jc w:val="center"/>
                    <w:rPr>
                      <w:b/>
                      <w:bCs/>
                      <w:color w:val="000000" w:themeColor="text1"/>
                      <w:szCs w:val="21"/>
                      <w14:textFill>
                        <w14:solidFill>
                          <w14:schemeClr w14:val="tx1"/>
                        </w14:solidFill>
                      </w14:textFill>
                    </w:rPr>
                  </w:pPr>
                </w:p>
              </w:tc>
              <w:tc>
                <w:tcPr>
                  <w:tcW w:w="1175" w:type="dxa"/>
                  <w:vAlign w:val="center"/>
                </w:tcPr>
                <w:p w14:paraId="20D15D97">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1159" w:type="dxa"/>
                  <w:vAlign w:val="center"/>
                </w:tcPr>
                <w:p w14:paraId="1950897A">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kg/a</w:t>
                  </w:r>
                </w:p>
              </w:tc>
            </w:tr>
            <w:tr w14:paraId="45ABB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193" w:type="dxa"/>
                  <w:vAlign w:val="center"/>
                </w:tcPr>
                <w:p w14:paraId="36DC71C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厨房油烟</w:t>
                  </w:r>
                </w:p>
              </w:tc>
              <w:tc>
                <w:tcPr>
                  <w:tcW w:w="792" w:type="dxa"/>
                  <w:vAlign w:val="center"/>
                </w:tcPr>
                <w:p w14:paraId="5A88FC5A">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0.054</w:t>
                  </w:r>
                </w:p>
              </w:tc>
              <w:tc>
                <w:tcPr>
                  <w:tcW w:w="924" w:type="dxa"/>
                  <w:vAlign w:val="center"/>
                </w:tcPr>
                <w:p w14:paraId="228BD543">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17.982</w:t>
                  </w:r>
                </w:p>
              </w:tc>
              <w:tc>
                <w:tcPr>
                  <w:tcW w:w="3308" w:type="dxa"/>
                  <w:vAlign w:val="center"/>
                </w:tcPr>
                <w:p w14:paraId="7FEB930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采用处理效率90%的油烟净化器</w:t>
                  </w:r>
                </w:p>
              </w:tc>
              <w:tc>
                <w:tcPr>
                  <w:tcW w:w="1175" w:type="dxa"/>
                  <w:vAlign w:val="center"/>
                </w:tcPr>
                <w:p w14:paraId="5AF5A50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1.69</w:t>
                  </w:r>
                </w:p>
              </w:tc>
              <w:tc>
                <w:tcPr>
                  <w:tcW w:w="1159" w:type="dxa"/>
                  <w:vAlign w:val="center"/>
                </w:tcPr>
                <w:p w14:paraId="71FD27C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r>
          </w:tbl>
          <w:p w14:paraId="55AB898A">
            <w:pPr>
              <w:adjustRightInd w:val="0"/>
              <w:snapToGrid w:val="0"/>
              <w:spacing w:before="48" w:beforeLines="20" w:line="360" w:lineRule="auto"/>
              <w:ind w:firstLine="482" w:firstLineChars="200"/>
              <w:textAlignment w:val="baseline"/>
              <w:outlineLvl w:val="1"/>
              <w:rPr>
                <w:b/>
                <w:bCs/>
                <w:color w:val="000000" w:themeColor="text1"/>
                <w:sz w:val="24"/>
                <w14:textFill>
                  <w14:solidFill>
                    <w14:schemeClr w14:val="tx1"/>
                  </w14:solidFill>
                </w14:textFill>
              </w:rPr>
            </w:pPr>
            <w:bookmarkStart w:id="28" w:name="_Toc14883"/>
            <w:bookmarkStart w:id="29" w:name="_Toc21178"/>
            <w:bookmarkStart w:id="30" w:name="_Toc21902"/>
            <w:bookmarkStart w:id="31" w:name="_Toc16244"/>
            <w:bookmarkStart w:id="32" w:name="_Toc8782"/>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噪声</w:t>
            </w:r>
            <w:bookmarkEnd w:id="28"/>
            <w:bookmarkEnd w:id="29"/>
            <w:bookmarkEnd w:id="30"/>
            <w:bookmarkEnd w:id="31"/>
            <w:bookmarkEnd w:id="32"/>
          </w:p>
          <w:p w14:paraId="61B8C012">
            <w:pPr>
              <w:autoSpaceDE w:val="0"/>
              <w:autoSpaceDN w:val="0"/>
              <w:adjustRightInd w:val="0"/>
              <w:spacing w:before="48" w:beforeLines="20"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现有工程</w:t>
            </w:r>
            <w:r>
              <w:rPr>
                <w:color w:val="000000" w:themeColor="text1"/>
                <w:sz w:val="24"/>
                <w14:textFill>
                  <w14:solidFill>
                    <w14:schemeClr w14:val="tx1"/>
                  </w14:solidFill>
                </w14:textFill>
              </w:rPr>
              <w:t>项目运营期间产生的噪声主要来源于机械设备工作时产生的噪声，主要为</w:t>
            </w:r>
            <w:r>
              <w:rPr>
                <w:bCs/>
                <w:color w:val="000000" w:themeColor="text1"/>
                <w:kern w:val="0"/>
                <w:sz w:val="24"/>
                <w:lang w:bidi="ar"/>
                <w14:textFill>
                  <w14:solidFill>
                    <w14:schemeClr w14:val="tx1"/>
                  </w14:solidFill>
                </w14:textFill>
              </w:rPr>
              <w:t>破碎分选机</w:t>
            </w:r>
            <w:r>
              <w:rPr>
                <w:color w:val="000000" w:themeColor="text1"/>
                <w:sz w:val="24"/>
                <w14:textFill>
                  <w14:solidFill>
                    <w14:schemeClr w14:val="tx1"/>
                  </w14:solidFill>
                </w14:textFill>
              </w:rPr>
              <w:t>、压榨机、烘干机、引风机、冷却风机、粉碎机、打包机、固液分离机、潜水搅拌机、气浮一体机、鼓风机、板框压滤机等机械噪声，其噪声源类型为固定噪声源。根据建设方提供设备说明书，设备噪声强度在65~95dB（A）。根据监测数据，项目建成后东、南、西、北面厂界昼间、夜间噪声贡献值均能满足《工业企业厂界环境噪声排放标准》（GB12348-2008）2类标准要求（即：昼间等效声级≤60dB（A）、夜间等效声级≤50dB（A））。</w:t>
            </w:r>
          </w:p>
          <w:p w14:paraId="5CB79E1C">
            <w:pPr>
              <w:pStyle w:val="105"/>
              <w:snapToGrid w:val="0"/>
              <w:spacing w:before="48" w:beforeLines="20" w:line="360" w:lineRule="auto"/>
              <w:ind w:firstLine="482" w:firstLineChars="200"/>
              <w:rPr>
                <w:rFonts w:ascii="Times New Roman"/>
                <w:b/>
                <w:bCs/>
                <w:color w:val="000000" w:themeColor="text1"/>
                <w14:textFill>
                  <w14:solidFill>
                    <w14:schemeClr w14:val="tx1"/>
                  </w14:solidFill>
                </w14:textFill>
              </w:rPr>
            </w:pPr>
            <w:r>
              <w:rPr>
                <w:rFonts w:hint="eastAsia" w:ascii="Times New Roman"/>
                <w:b/>
                <w:bCs/>
                <w:color w:val="000000" w:themeColor="text1"/>
                <w14:textFill>
                  <w14:solidFill>
                    <w14:schemeClr w14:val="tx1"/>
                  </w14:solidFill>
                </w14:textFill>
              </w:rPr>
              <w:t>（4）</w:t>
            </w:r>
            <w:r>
              <w:rPr>
                <w:rFonts w:ascii="Times New Roman"/>
                <w:b/>
                <w:bCs/>
                <w:color w:val="000000" w:themeColor="text1"/>
                <w14:textFill>
                  <w14:solidFill>
                    <w14:schemeClr w14:val="tx1"/>
                  </w14:solidFill>
                </w14:textFill>
              </w:rPr>
              <w:t>固体废弃物</w:t>
            </w:r>
          </w:p>
          <w:p w14:paraId="6C34E8FC">
            <w:pPr>
              <w:snapToGrid w:val="0"/>
              <w:spacing w:before="48" w:beforeLines="20"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现有工程</w:t>
            </w:r>
            <w:r>
              <w:rPr>
                <w:color w:val="000000" w:themeColor="text1"/>
                <w:kern w:val="0"/>
                <w:sz w:val="24"/>
                <w:lang w:bidi="ar"/>
                <w14:textFill>
                  <w14:solidFill>
                    <w14:schemeClr w14:val="tx1"/>
                  </w14:solidFill>
                </w14:textFill>
              </w:rPr>
              <w:t>项目运营期间产生的固体废物主要为生活垃圾、厨房废水隔油器废油、化粪池污泥、生产废水处理系统污泥和热风炉生物质燃烧灰渣、收尘渣、废矿物油等。</w:t>
            </w:r>
          </w:p>
          <w:p w14:paraId="0BD3C0CF">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①</w:t>
            </w:r>
            <w:r>
              <w:rPr>
                <w:b/>
                <w:bCs/>
                <w:color w:val="000000" w:themeColor="text1"/>
                <w:kern w:val="0"/>
                <w:sz w:val="24"/>
                <w:lang w:bidi="ar"/>
                <w14:textFill>
                  <w14:solidFill>
                    <w14:schemeClr w14:val="tx1"/>
                  </w14:solidFill>
                </w14:textFill>
              </w:rPr>
              <w:t>生活垃圾</w:t>
            </w:r>
          </w:p>
          <w:p w14:paraId="3EBEC5FE">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根据实际运行情况，生活垃圾产生量约20kg/d，6.67t/a；收集于垃圾桶内，定期委托环卫部门清运处置。</w:t>
            </w:r>
          </w:p>
          <w:p w14:paraId="546AC035">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②</w:t>
            </w:r>
            <w:r>
              <w:rPr>
                <w:b/>
                <w:bCs/>
                <w:color w:val="000000" w:themeColor="text1"/>
                <w:kern w:val="0"/>
                <w:sz w:val="24"/>
                <w:lang w:bidi="ar"/>
                <w14:textFill>
                  <w14:solidFill>
                    <w14:schemeClr w14:val="tx1"/>
                  </w14:solidFill>
                </w14:textFill>
              </w:rPr>
              <w:t>厨房废水隔油器废油</w:t>
            </w:r>
          </w:p>
          <w:p w14:paraId="1012B24E">
            <w:pPr>
              <w:pStyle w:val="105"/>
              <w:spacing w:before="48" w:beforeLines="20" w:line="360" w:lineRule="auto"/>
              <w:ind w:firstLine="464" w:firstLineChars="200"/>
              <w:rPr>
                <w:rFonts w:ascii="Times New Roman"/>
                <w:color w:val="000000" w:themeColor="text1"/>
                <w:kern w:val="0"/>
                <w:lang w:bidi="ar"/>
                <w14:textFill>
                  <w14:solidFill>
                    <w14:schemeClr w14:val="tx1"/>
                  </w14:solidFill>
                </w14:textFill>
              </w:rPr>
            </w:pPr>
            <w:r>
              <w:rPr>
                <w:rFonts w:ascii="Times New Roman"/>
                <w:color w:val="000000" w:themeColor="text1"/>
                <w:spacing w:val="-4"/>
                <w14:textFill>
                  <w14:solidFill>
                    <w14:schemeClr w14:val="tx1"/>
                  </w14:solidFill>
                </w14:textFill>
              </w:rPr>
              <w:t>根据实际运行情况，隔油箱</w:t>
            </w:r>
            <w:r>
              <w:rPr>
                <w:rFonts w:ascii="Times New Roman"/>
                <w:color w:val="000000" w:themeColor="text1"/>
                <w:spacing w:val="-5"/>
                <w14:textFill>
                  <w14:solidFill>
                    <w14:schemeClr w14:val="tx1"/>
                  </w14:solidFill>
                </w14:textFill>
              </w:rPr>
              <w:t>预处理废油</w:t>
            </w:r>
            <w:r>
              <w:rPr>
                <w:rFonts w:ascii="Times New Roman"/>
                <w:color w:val="000000" w:themeColor="text1"/>
                <w:spacing w:val="-4"/>
                <w14:textFill>
                  <w14:solidFill>
                    <w14:schemeClr w14:val="tx1"/>
                  </w14:solidFill>
                </w14:textFill>
              </w:rPr>
              <w:t>为0.10</w:t>
            </w:r>
            <w:r>
              <w:rPr>
                <w:rFonts w:ascii="Times New Roman" w:eastAsia="Times New Roman"/>
                <w:color w:val="000000" w:themeColor="text1"/>
                <w:spacing w:val="-4"/>
                <w14:textFill>
                  <w14:solidFill>
                    <w14:schemeClr w14:val="tx1"/>
                  </w14:solidFill>
                </w14:textFill>
              </w:rPr>
              <w:t>kg/</w:t>
            </w:r>
            <w:r>
              <w:rPr>
                <w:rFonts w:ascii="Times New Roman" w:eastAsia="Times New Roman"/>
                <w:color w:val="000000" w:themeColor="text1"/>
                <w:spacing w:val="-5"/>
                <w14:textFill>
                  <w14:solidFill>
                    <w14:schemeClr w14:val="tx1"/>
                  </w14:solidFill>
                </w14:textFill>
              </w:rPr>
              <w:t>d</w:t>
            </w:r>
            <w:r>
              <w:rPr>
                <w:rFonts w:ascii="Times New Roman" w:eastAsia="Times New Roman"/>
                <w:color w:val="000000" w:themeColor="text1"/>
                <w:spacing w:val="-32"/>
                <w14:textFill>
                  <w14:solidFill>
                    <w14:schemeClr w14:val="tx1"/>
                  </w14:solidFill>
                </w14:textFill>
              </w:rPr>
              <w:t xml:space="preserve"> </w:t>
            </w:r>
            <w:r>
              <w:rPr>
                <w:rFonts w:ascii="Times New Roman"/>
                <w:color w:val="000000" w:themeColor="text1"/>
                <w:spacing w:val="-32"/>
                <w14:textFill>
                  <w14:solidFill>
                    <w14:schemeClr w14:val="tx1"/>
                  </w14:solidFill>
                </w14:textFill>
              </w:rPr>
              <w:t>，</w:t>
            </w:r>
            <w:r>
              <w:rPr>
                <w:rFonts w:ascii="Times New Roman"/>
                <w:color w:val="000000" w:themeColor="text1"/>
                <w:spacing w:val="-5"/>
                <w14:textFill>
                  <w14:solidFill>
                    <w14:schemeClr w14:val="tx1"/>
                  </w14:solidFill>
                </w14:textFill>
              </w:rPr>
              <w:t>0.03</w:t>
            </w:r>
            <w:r>
              <w:rPr>
                <w:rFonts w:ascii="Times New Roman" w:eastAsia="Times New Roman"/>
                <w:color w:val="000000" w:themeColor="text1"/>
                <w:spacing w:val="-5"/>
                <w14:textFill>
                  <w14:solidFill>
                    <w14:schemeClr w14:val="tx1"/>
                  </w14:solidFill>
                </w14:textFill>
              </w:rPr>
              <w:t>t/a</w:t>
            </w:r>
            <w:r>
              <w:rPr>
                <w:rFonts w:ascii="Times New Roman" w:eastAsia="Times New Roman"/>
                <w:color w:val="000000" w:themeColor="text1"/>
                <w:spacing w:val="-35"/>
                <w14:textFill>
                  <w14:solidFill>
                    <w14:schemeClr w14:val="tx1"/>
                  </w14:solidFill>
                </w14:textFill>
              </w:rPr>
              <w:t xml:space="preserve"> </w:t>
            </w:r>
            <w:r>
              <w:rPr>
                <w:rFonts w:ascii="Times New Roman"/>
                <w:color w:val="000000" w:themeColor="text1"/>
                <w:spacing w:val="3"/>
                <w14:textFill>
                  <w14:solidFill>
                    <w14:schemeClr w14:val="tx1"/>
                  </w14:solidFill>
                </w14:textFill>
              </w:rPr>
              <w:t>。</w:t>
            </w:r>
            <w:r>
              <w:rPr>
                <w:rFonts w:ascii="Times New Roman"/>
                <w:color w:val="000000" w:themeColor="text1"/>
                <w:kern w:val="0"/>
                <w:lang w:bidi="ar"/>
                <w14:textFill>
                  <w14:solidFill>
                    <w14:schemeClr w14:val="tx1"/>
                  </w14:solidFill>
                </w14:textFill>
              </w:rPr>
              <w:t>收集于专用带盖塑料桶内，定期</w:t>
            </w:r>
            <w:r>
              <w:rPr>
                <w:rFonts w:ascii="Times New Roman"/>
                <w:color w:val="000000" w:themeColor="text1"/>
                <w14:textFill>
                  <w14:solidFill>
                    <w14:schemeClr w14:val="tx1"/>
                  </w14:solidFill>
                </w14:textFill>
              </w:rPr>
              <w:t>委托有资质单位</w:t>
            </w:r>
            <w:r>
              <w:rPr>
                <w:rFonts w:ascii="Times New Roman"/>
                <w:color w:val="000000" w:themeColor="text1"/>
                <w:kern w:val="0"/>
                <w:lang w:bidi="ar"/>
                <w14:textFill>
                  <w14:solidFill>
                    <w14:schemeClr w14:val="tx1"/>
                  </w14:solidFill>
                </w14:textFill>
              </w:rPr>
              <w:t>清运处置。</w:t>
            </w:r>
          </w:p>
          <w:p w14:paraId="7B7CCC2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③</w:t>
            </w:r>
            <w:r>
              <w:rPr>
                <w:b/>
                <w:bCs/>
                <w:color w:val="000000" w:themeColor="text1"/>
                <w:kern w:val="0"/>
                <w:sz w:val="24"/>
                <w:lang w:bidi="ar"/>
                <w14:textFill>
                  <w14:solidFill>
                    <w14:schemeClr w14:val="tx1"/>
                  </w14:solidFill>
                </w14:textFill>
              </w:rPr>
              <w:t>厨余垃圾</w:t>
            </w:r>
          </w:p>
          <w:p w14:paraId="0CB3170B">
            <w:pPr>
              <w:spacing w:before="48" w:beforeLines="2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厨余垃圾主要为厨房泔水及剩菜剩饭等，根据实际运行情况，厨余垃圾产生量约5kg/d，1.67t/a。使用泔水桶收集厨余垃圾，之后委托有资质单位清运处置。</w:t>
            </w:r>
          </w:p>
          <w:p w14:paraId="0500841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④</w:t>
            </w:r>
            <w:r>
              <w:rPr>
                <w:b/>
                <w:bCs/>
                <w:color w:val="000000" w:themeColor="text1"/>
                <w:kern w:val="0"/>
                <w:sz w:val="24"/>
                <w:lang w:bidi="ar"/>
                <w14:textFill>
                  <w14:solidFill>
                    <w14:schemeClr w14:val="tx1"/>
                  </w14:solidFill>
                </w14:textFill>
              </w:rPr>
              <w:t>化粪池污泥</w:t>
            </w:r>
          </w:p>
          <w:p w14:paraId="403B92AC">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项目化粪池在对</w:t>
            </w:r>
            <w:r>
              <w:rPr>
                <w:rFonts w:hint="eastAsia"/>
                <w:color w:val="000000" w:themeColor="text1"/>
                <w:kern w:val="0"/>
                <w:sz w:val="24"/>
                <w:lang w:bidi="ar"/>
                <w14:textFill>
                  <w14:solidFill>
                    <w14:schemeClr w14:val="tx1"/>
                  </w14:solidFill>
                </w14:textFill>
              </w:rPr>
              <w:t>生活污水</w:t>
            </w:r>
            <w:r>
              <w:rPr>
                <w:color w:val="000000" w:themeColor="text1"/>
                <w:kern w:val="0"/>
                <w:sz w:val="24"/>
                <w:lang w:bidi="ar"/>
                <w14:textFill>
                  <w14:solidFill>
                    <w14:schemeClr w14:val="tx1"/>
                  </w14:solidFill>
                </w14:textFill>
              </w:rPr>
              <w:t>进行处理过程中将产生少量污泥，项目进化粪池的废水量约2.732m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/d，根据实际运行情况，化粪池污泥产生量约2.72kg/d，0.9058t/a，定期委托环卫部门清掏处置。</w:t>
            </w:r>
          </w:p>
          <w:p w14:paraId="4DAC437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⑤</w:t>
            </w:r>
            <w:r>
              <w:rPr>
                <w:b/>
                <w:bCs/>
                <w:color w:val="000000" w:themeColor="text1"/>
                <w:kern w:val="0"/>
                <w:sz w:val="24"/>
                <w:lang w:bidi="ar"/>
                <w14:textFill>
                  <w14:solidFill>
                    <w14:schemeClr w14:val="tx1"/>
                  </w14:solidFill>
                </w14:textFill>
              </w:rPr>
              <w:t>生产废水处理系统污泥</w:t>
            </w:r>
          </w:p>
          <w:p w14:paraId="5E02E71A">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根据设计资料，生产废水处理系统污泥池产生的污泥约</w:t>
            </w:r>
            <w:r>
              <w:rPr>
                <w:color w:val="000000" w:themeColor="text1"/>
                <w:sz w:val="24"/>
                <w14:textFill>
                  <w14:solidFill>
                    <w14:schemeClr w14:val="tx1"/>
                  </w14:solidFill>
                </w14:textFill>
              </w:rPr>
              <w:t>2t/a，送至叠螺机进行脱水处理后，检查已达《城镇污水处理厂污染物排放标准》GB18918-2002中表6 污泥农用时污染物控制标准限值后，运往</w:t>
            </w:r>
            <w:bookmarkStart w:id="33" w:name="_Hlk177223121"/>
            <w:r>
              <w:rPr>
                <w:color w:val="000000" w:themeColor="text1"/>
                <w:sz w:val="24"/>
                <w14:textFill>
                  <w14:solidFill>
                    <w14:schemeClr w14:val="tx1"/>
                  </w14:solidFill>
                </w14:textFill>
              </w:rPr>
              <w:t>云南龙氏肥业有限公司</w:t>
            </w:r>
            <w:bookmarkEnd w:id="33"/>
            <w:r>
              <w:rPr>
                <w:color w:val="000000" w:themeColor="text1"/>
                <w:sz w:val="24"/>
                <w14:textFill>
                  <w14:solidFill>
                    <w14:schemeClr w14:val="tx1"/>
                  </w14:solidFill>
                </w14:textFill>
              </w:rPr>
              <w:t>处置，已签订相关协议</w:t>
            </w:r>
            <w:r>
              <w:rPr>
                <w:color w:val="000000" w:themeColor="text1"/>
                <w:kern w:val="0"/>
                <w:sz w:val="24"/>
                <w:lang w:bidi="ar"/>
                <w14:textFill>
                  <w14:solidFill>
                    <w14:schemeClr w14:val="tx1"/>
                  </w14:solidFill>
                </w14:textFill>
              </w:rPr>
              <w:t>。云南龙氏肥业有限公司已取得《云南龙氏有机固废无害化及资源化利用项目竣工环境保护验收意见》</w:t>
            </w:r>
            <w:r>
              <w:rPr>
                <w:rFonts w:hint="eastAsia"/>
                <w:color w:val="000000" w:themeColor="text1"/>
                <w:kern w:val="0"/>
                <w:sz w:val="24"/>
                <w:lang w:bidi="ar"/>
                <w14:textFill>
                  <w14:solidFill>
                    <w14:schemeClr w14:val="tx1"/>
                  </w14:solidFill>
                </w14:textFill>
              </w:rPr>
              <w:t>。</w:t>
            </w:r>
          </w:p>
          <w:p w14:paraId="420C8593">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⑥</w:t>
            </w:r>
            <w:r>
              <w:rPr>
                <w:b/>
                <w:bCs/>
                <w:color w:val="000000" w:themeColor="text1"/>
                <w:kern w:val="0"/>
                <w:sz w:val="24"/>
                <w:lang w:bidi="ar"/>
                <w14:textFill>
                  <w14:solidFill>
                    <w14:schemeClr w14:val="tx1"/>
                  </w14:solidFill>
                </w14:textFill>
              </w:rPr>
              <w:t>热风炉生物质燃烧灰渣</w:t>
            </w:r>
          </w:p>
          <w:p w14:paraId="2EAADE21">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设计资料，项目生物质燃烧产生的灰渣约180t/a，由于锅炉燃料为生物质颗粒等，不含重金属、有毒有害有机物，属于草木灰系列，钾含量较高，同时还含有丰富的营养成分如、磷和钙等，可用作高效农业肥料，</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w:t>
            </w:r>
          </w:p>
          <w:p w14:paraId="0B4A1D95">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⑦</w:t>
            </w:r>
            <w:r>
              <w:rPr>
                <w:b/>
                <w:bCs/>
                <w:color w:val="000000" w:themeColor="text1"/>
                <w:kern w:val="0"/>
                <w:sz w:val="24"/>
                <w:lang w:bidi="ar"/>
                <w14:textFill>
                  <w14:solidFill>
                    <w14:schemeClr w14:val="tx1"/>
                  </w14:solidFill>
                </w14:textFill>
              </w:rPr>
              <w:t>收尘渣</w:t>
            </w:r>
          </w:p>
          <w:p w14:paraId="4D3D72D1">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热风炉燃料燃烧废气通过降尘室、水膜除尘（水膜喷淋循环沉淀沉渣）时，粉碎机粉尘通过袋式除尘器处理时，均会收集到尘渣；根据实际运行情况，尘渣量约为7t/a，由于锅炉燃料为生物质颗粒等，不含重金属、有毒有害有机物，属于草木灰系列，钾含量较高，同时还含有丰富的营养成分如、磷和钙等，可用作高效农业肥料；粉碎机粉尘不含重金属、有毒有害物质，含有大量的有机物质，这些有机物质可在微生物的作用下被分解成简单的有机物质，如碳水化合物、氨基酸、脂肪酸等。这些物质通过微生物的分解作用逐渐腐熟可转化为稳定的有机肥料‌。</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w:t>
            </w:r>
          </w:p>
          <w:p w14:paraId="1570352A">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⑧</w:t>
            </w:r>
            <w:r>
              <w:rPr>
                <w:b/>
                <w:bCs/>
                <w:color w:val="000000" w:themeColor="text1"/>
                <w:kern w:val="0"/>
                <w:sz w:val="24"/>
                <w:lang w:bidi="ar"/>
                <w14:textFill>
                  <w14:solidFill>
                    <w14:schemeClr w14:val="tx1"/>
                  </w14:solidFill>
                </w14:textFill>
              </w:rPr>
              <w:t>废活性炭</w:t>
            </w:r>
          </w:p>
          <w:p w14:paraId="3922FD4C">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现有</w:t>
            </w:r>
            <w:r>
              <w:rPr>
                <w:color w:val="000000" w:themeColor="text1"/>
                <w:kern w:val="0"/>
                <w:sz w:val="24"/>
                <w:lang w:bidi="ar"/>
                <w14:textFill>
                  <w14:solidFill>
                    <w14:schemeClr w14:val="tx1"/>
                  </w14:solidFill>
                </w14:textFill>
              </w:rPr>
              <w:t>项目生产废水处理系统中投加粉末活性炭净化水质，会产生废活性炭，产生量约为12t/a，经对照《国家危险废物名录》（2025年）水质净化过程中产生的废活性炭未列入其中，废活性炭和污泥一起处置。</w:t>
            </w:r>
          </w:p>
          <w:p w14:paraId="0DEAF988">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⑨</w:t>
            </w:r>
            <w:r>
              <w:rPr>
                <w:b/>
                <w:bCs/>
                <w:color w:val="000000" w:themeColor="text1"/>
                <w:kern w:val="0"/>
                <w:sz w:val="24"/>
                <w:lang w:bidi="ar"/>
                <w14:textFill>
                  <w14:solidFill>
                    <w14:schemeClr w14:val="tx1"/>
                  </w14:solidFill>
                </w14:textFill>
              </w:rPr>
              <w:t>废矿物油</w:t>
            </w:r>
          </w:p>
          <w:p w14:paraId="1F15382F">
            <w:pPr>
              <w:widowControl/>
              <w:spacing w:before="48" w:beforeLines="20" w:line="360" w:lineRule="auto"/>
              <w:ind w:firstLine="480" w:firstLineChars="200"/>
              <w:rPr>
                <w:b/>
                <w:color w:val="000000" w:themeColor="text1"/>
                <w:kern w:val="1"/>
                <w:szCs w:val="21"/>
                <w14:textFill>
                  <w14:solidFill>
                    <w14:schemeClr w14:val="tx1"/>
                  </w14:solidFill>
                </w14:textFill>
              </w:rPr>
            </w:pPr>
            <w:r>
              <w:rPr>
                <w:rFonts w:hint="eastAsia"/>
                <w:color w:val="000000" w:themeColor="text1"/>
                <w:kern w:val="0"/>
                <w:sz w:val="24"/>
                <w:lang w:bidi="ar"/>
                <w14:textFill>
                  <w14:solidFill>
                    <w14:schemeClr w14:val="tx1"/>
                  </w14:solidFill>
                </w14:textFill>
              </w:rPr>
              <w:t>现有</w:t>
            </w:r>
            <w:r>
              <w:rPr>
                <w:color w:val="000000" w:themeColor="text1"/>
                <w:kern w:val="0"/>
                <w:sz w:val="24"/>
                <w:lang w:bidi="ar"/>
                <w14:textFill>
                  <w14:solidFill>
                    <w14:schemeClr w14:val="tx1"/>
                  </w14:solidFill>
                </w14:textFill>
              </w:rPr>
              <w:t>项目机械设备维护、修理过程中产生的含油废物属《国家危险废物名录》</w:t>
            </w:r>
            <w:r>
              <w:rPr>
                <w:color w:val="000000" w:themeColor="text1"/>
                <w:sz w:val="24"/>
                <w14:textFill>
                  <w14:solidFill>
                    <w14:schemeClr w14:val="tx1"/>
                  </w14:solidFill>
                </w14:textFill>
              </w:rPr>
              <w:t>（2021年）</w:t>
            </w:r>
            <w:r>
              <w:rPr>
                <w:color w:val="000000" w:themeColor="text1"/>
                <w:kern w:val="0"/>
                <w:sz w:val="24"/>
                <w:lang w:bidi="ar"/>
                <w14:textFill>
                  <w14:solidFill>
                    <w14:schemeClr w14:val="tx1"/>
                  </w14:solidFill>
                </w14:textFill>
              </w:rPr>
              <w:t>中废矿物油及含矿物油废物（HW08）类别中900-214-08所规定的危险废物。根据同行业类比分析，项目运营期间废矿物油产生量约0.05t/a，已建设有一间建筑面积不小于6m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的危险废物贮存库并配有1个危废临时储存容器用于收集机械设备维护、修理过程中产生的含油废物等危险废物，定期交由云南泽森环保科技有限公司进行处理，</w:t>
            </w:r>
            <w:r>
              <w:rPr>
                <w:color w:val="000000" w:themeColor="text1"/>
                <w:sz w:val="24"/>
                <w14:textFill>
                  <w14:solidFill>
                    <w14:schemeClr w14:val="tx1"/>
                  </w14:solidFill>
                </w14:textFill>
              </w:rPr>
              <w:t>运往云南龙氏肥业有限公司处置，已签订相关协议</w:t>
            </w:r>
            <w:r>
              <w:rPr>
                <w:color w:val="000000" w:themeColor="text1"/>
                <w:kern w:val="0"/>
                <w:sz w:val="24"/>
                <w:lang w:bidi="ar"/>
                <w14:textFill>
                  <w14:solidFill>
                    <w14:schemeClr w14:val="tx1"/>
                  </w14:solidFill>
                </w14:textFill>
              </w:rPr>
              <w:t>。并建立健全危险废物产生、处理、转移台账记录。</w:t>
            </w:r>
          </w:p>
          <w:p w14:paraId="6CCBA002">
            <w:pPr>
              <w:spacing w:before="48" w:beforeLines="20"/>
              <w:jc w:val="center"/>
              <w:rPr>
                <w:b/>
                <w:color w:val="000000" w:themeColor="text1"/>
                <w:kern w:val="1"/>
                <w:szCs w:val="21"/>
                <w14:textFill>
                  <w14:solidFill>
                    <w14:schemeClr w14:val="tx1"/>
                  </w14:solidFill>
                </w14:textFill>
              </w:rPr>
            </w:pPr>
            <w:r>
              <w:rPr>
                <w:b/>
                <w:color w:val="000000" w:themeColor="text1"/>
                <w:kern w:val="1"/>
                <w:szCs w:val="21"/>
                <w14:textFill>
                  <w14:solidFill>
                    <w14:schemeClr w14:val="tx1"/>
                  </w14:solidFill>
                </w14:textFill>
              </w:rPr>
              <w:t>表</w:t>
            </w:r>
            <w:r>
              <w:rPr>
                <w:rFonts w:hint="eastAsia"/>
                <w:b/>
                <w:color w:val="000000" w:themeColor="text1"/>
                <w:kern w:val="1"/>
                <w:szCs w:val="21"/>
                <w14:textFill>
                  <w14:solidFill>
                    <w14:schemeClr w14:val="tx1"/>
                  </w14:solidFill>
                </w14:textFill>
              </w:rPr>
              <w:t>2</w:t>
            </w:r>
            <w:r>
              <w:rPr>
                <w:b/>
                <w:color w:val="000000" w:themeColor="text1"/>
                <w:kern w:val="1"/>
                <w:szCs w:val="21"/>
                <w14:textFill>
                  <w14:solidFill>
                    <w14:schemeClr w14:val="tx1"/>
                  </w14:solidFill>
                </w14:textFill>
              </w:rPr>
              <w:t>-</w:t>
            </w:r>
            <w:r>
              <w:rPr>
                <w:rFonts w:hint="eastAsia"/>
                <w:b/>
                <w:color w:val="000000" w:themeColor="text1"/>
                <w:kern w:val="1"/>
                <w:szCs w:val="21"/>
                <w14:textFill>
                  <w14:solidFill>
                    <w14:schemeClr w14:val="tx1"/>
                  </w14:solidFill>
                </w14:textFill>
              </w:rPr>
              <w:t>14</w:t>
            </w:r>
            <w:r>
              <w:rPr>
                <w:b/>
                <w:color w:val="000000" w:themeColor="text1"/>
                <w:kern w:val="1"/>
                <w:szCs w:val="21"/>
                <w14:textFill>
                  <w14:solidFill>
                    <w14:schemeClr w14:val="tx1"/>
                  </w14:solidFill>
                </w14:textFill>
              </w:rPr>
              <w:t xml:space="preserve">  项目主要固废产生和处置情况表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03"/>
              <w:gridCol w:w="1312"/>
              <w:gridCol w:w="1540"/>
              <w:gridCol w:w="1310"/>
              <w:gridCol w:w="2675"/>
            </w:tblGrid>
            <w:tr w14:paraId="2400A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243DEBAD">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固废种类</w:t>
                  </w:r>
                </w:p>
              </w:tc>
              <w:tc>
                <w:tcPr>
                  <w:tcW w:w="759" w:type="pct"/>
                  <w:vAlign w:val="center"/>
                </w:tcPr>
                <w:p w14:paraId="3EFF92DF">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固废类型</w:t>
                  </w:r>
                </w:p>
              </w:tc>
              <w:tc>
                <w:tcPr>
                  <w:tcW w:w="891" w:type="pct"/>
                  <w:vAlign w:val="center"/>
                </w:tcPr>
                <w:p w14:paraId="65F101BD">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固废、危废</w:t>
                  </w:r>
                </w:p>
                <w:p w14:paraId="44986DF6">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代码</w:t>
                  </w:r>
                </w:p>
              </w:tc>
              <w:tc>
                <w:tcPr>
                  <w:tcW w:w="758" w:type="pct"/>
                  <w:vAlign w:val="center"/>
                </w:tcPr>
                <w:p w14:paraId="11868FE6">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产生量</w:t>
                  </w:r>
                </w:p>
              </w:tc>
              <w:tc>
                <w:tcPr>
                  <w:tcW w:w="1547" w:type="pct"/>
                  <w:vAlign w:val="center"/>
                </w:tcPr>
                <w:p w14:paraId="687BFCC5">
                  <w:pPr>
                    <w:spacing w:before="48" w:beforeLines="20"/>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备注</w:t>
                  </w:r>
                </w:p>
              </w:tc>
            </w:tr>
            <w:tr w14:paraId="03A6B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A5CB8A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生活垃圾</w:t>
                  </w:r>
                </w:p>
              </w:tc>
              <w:tc>
                <w:tcPr>
                  <w:tcW w:w="759" w:type="pct"/>
                  <w:vAlign w:val="center"/>
                </w:tcPr>
                <w:p w14:paraId="1F20288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648CAF4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900-099-S64</w:t>
                  </w:r>
                </w:p>
              </w:tc>
              <w:tc>
                <w:tcPr>
                  <w:tcW w:w="758" w:type="pct"/>
                  <w:vAlign w:val="center"/>
                </w:tcPr>
                <w:p w14:paraId="6415E0C7">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6.67</w:t>
                  </w:r>
                  <w:r>
                    <w:rPr>
                      <w:color w:val="000000" w:themeColor="text1"/>
                      <w:kern w:val="1"/>
                      <w:szCs w:val="21"/>
                      <w14:textFill>
                        <w14:solidFill>
                          <w14:schemeClr w14:val="tx1"/>
                        </w14:solidFill>
                      </w14:textFill>
                    </w:rPr>
                    <w:t>t/a</w:t>
                  </w:r>
                </w:p>
              </w:tc>
              <w:tc>
                <w:tcPr>
                  <w:tcW w:w="1547" w:type="pct"/>
                  <w:vAlign w:val="center"/>
                </w:tcPr>
                <w:p w14:paraId="1DCD4351">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收集于垃圾桶内，定期委托环卫部门</w:t>
                  </w:r>
                  <w:r>
                    <w:rPr>
                      <w:color w:val="000000" w:themeColor="text1"/>
                      <w:kern w:val="0"/>
                      <w:szCs w:val="21"/>
                      <w:lang w:bidi="ar"/>
                      <w14:textFill>
                        <w14:solidFill>
                          <w14:schemeClr w14:val="tx1"/>
                        </w14:solidFill>
                      </w14:textFill>
                    </w:rPr>
                    <w:t>清运处置。</w:t>
                  </w:r>
                </w:p>
              </w:tc>
            </w:tr>
            <w:tr w14:paraId="34D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6EFB874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厨房废水隔油器废油</w:t>
                  </w:r>
                </w:p>
              </w:tc>
              <w:tc>
                <w:tcPr>
                  <w:tcW w:w="759" w:type="pct"/>
                  <w:vAlign w:val="center"/>
                </w:tcPr>
                <w:p w14:paraId="32D43F35">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60B37FD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900-099-S64</w:t>
                  </w:r>
                </w:p>
              </w:tc>
              <w:tc>
                <w:tcPr>
                  <w:tcW w:w="758" w:type="pct"/>
                  <w:vAlign w:val="center"/>
                </w:tcPr>
                <w:p w14:paraId="18B6D63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0.03t/a</w:t>
                  </w:r>
                </w:p>
              </w:tc>
              <w:tc>
                <w:tcPr>
                  <w:tcW w:w="1547" w:type="pct"/>
                  <w:vAlign w:val="center"/>
                </w:tcPr>
                <w:p w14:paraId="32D2ECFF">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p>
              </w:tc>
            </w:tr>
            <w:tr w14:paraId="7D52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74ACB23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厨余垃圾</w:t>
                  </w:r>
                </w:p>
              </w:tc>
              <w:tc>
                <w:tcPr>
                  <w:tcW w:w="759" w:type="pct"/>
                  <w:vAlign w:val="center"/>
                </w:tcPr>
                <w:p w14:paraId="34791D3F">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3CC11C42">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900-002-S61</w:t>
                  </w:r>
                </w:p>
              </w:tc>
              <w:tc>
                <w:tcPr>
                  <w:tcW w:w="758" w:type="pct"/>
                  <w:vAlign w:val="center"/>
                </w:tcPr>
                <w:p w14:paraId="2496DCA4">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1.67t/a</w:t>
                  </w:r>
                </w:p>
              </w:tc>
              <w:tc>
                <w:tcPr>
                  <w:tcW w:w="1547" w:type="pct"/>
                  <w:vAlign w:val="center"/>
                </w:tcPr>
                <w:p w14:paraId="352E633B">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委托有资质单位清运处置。</w:t>
                  </w:r>
                </w:p>
              </w:tc>
            </w:tr>
            <w:tr w14:paraId="56FE4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259A08DB">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化粪池污泥</w:t>
                  </w:r>
                </w:p>
              </w:tc>
              <w:tc>
                <w:tcPr>
                  <w:tcW w:w="759" w:type="pct"/>
                  <w:vAlign w:val="center"/>
                </w:tcPr>
                <w:p w14:paraId="65FCA23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57260CA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900-002-S64</w:t>
                  </w:r>
                </w:p>
              </w:tc>
              <w:tc>
                <w:tcPr>
                  <w:tcW w:w="758" w:type="pct"/>
                  <w:vAlign w:val="center"/>
                </w:tcPr>
                <w:p w14:paraId="65A13F67">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2.72</w:t>
                  </w:r>
                  <w:r>
                    <w:rPr>
                      <w:color w:val="000000" w:themeColor="text1"/>
                      <w:kern w:val="1"/>
                      <w:szCs w:val="21"/>
                      <w14:textFill>
                        <w14:solidFill>
                          <w14:schemeClr w14:val="tx1"/>
                        </w14:solidFill>
                      </w14:textFill>
                    </w:rPr>
                    <w:t>t/a</w:t>
                  </w:r>
                </w:p>
              </w:tc>
              <w:tc>
                <w:tcPr>
                  <w:tcW w:w="1547" w:type="pct"/>
                  <w:vAlign w:val="center"/>
                </w:tcPr>
                <w:p w14:paraId="1D70B7D6">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定期委托环卫部门清掏处置。</w:t>
                  </w:r>
                </w:p>
              </w:tc>
            </w:tr>
            <w:tr w14:paraId="1E6C0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99C4D85">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生产废水处理系统污泥</w:t>
                  </w:r>
                </w:p>
              </w:tc>
              <w:tc>
                <w:tcPr>
                  <w:tcW w:w="759" w:type="pct"/>
                  <w:vAlign w:val="center"/>
                </w:tcPr>
                <w:p w14:paraId="0F90EF4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084A59D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900-099-S07</w:t>
                  </w:r>
                </w:p>
              </w:tc>
              <w:tc>
                <w:tcPr>
                  <w:tcW w:w="758" w:type="pct"/>
                  <w:vAlign w:val="center"/>
                </w:tcPr>
                <w:p w14:paraId="07611536">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2t/a</w:t>
                  </w:r>
                </w:p>
              </w:tc>
              <w:tc>
                <w:tcPr>
                  <w:tcW w:w="1547" w:type="pct"/>
                  <w:vAlign w:val="center"/>
                </w:tcPr>
                <w:p w14:paraId="3A5F0CC2">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59C7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1A2F860B">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生物质燃烧灰渣</w:t>
                  </w:r>
                </w:p>
              </w:tc>
              <w:tc>
                <w:tcPr>
                  <w:tcW w:w="759" w:type="pct"/>
                  <w:vAlign w:val="center"/>
                </w:tcPr>
                <w:p w14:paraId="3F0A8F6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477B59A3">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900-099-S03</w:t>
                  </w:r>
                </w:p>
              </w:tc>
              <w:tc>
                <w:tcPr>
                  <w:tcW w:w="758" w:type="pct"/>
                  <w:vAlign w:val="center"/>
                </w:tcPr>
                <w:p w14:paraId="2A1176CD">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180t/a</w:t>
                  </w:r>
                </w:p>
              </w:tc>
              <w:tc>
                <w:tcPr>
                  <w:tcW w:w="1547" w:type="pct"/>
                  <w:vMerge w:val="restart"/>
                  <w:vAlign w:val="center"/>
                </w:tcPr>
                <w:p w14:paraId="566148B0">
                  <w:pPr>
                    <w:spacing w:before="48" w:beforeLines="20"/>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27EF1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DF8F6A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收尘渣</w:t>
                  </w:r>
                </w:p>
              </w:tc>
              <w:tc>
                <w:tcPr>
                  <w:tcW w:w="759" w:type="pct"/>
                  <w:vAlign w:val="center"/>
                </w:tcPr>
                <w:p w14:paraId="4BFB7F2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2CE4722C">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900-099-S06</w:t>
                  </w:r>
                </w:p>
              </w:tc>
              <w:tc>
                <w:tcPr>
                  <w:tcW w:w="758" w:type="pct"/>
                  <w:vAlign w:val="center"/>
                </w:tcPr>
                <w:p w14:paraId="78CD17F6">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7</w:t>
                  </w:r>
                  <w:r>
                    <w:rPr>
                      <w:color w:val="000000" w:themeColor="text1"/>
                      <w:kern w:val="1"/>
                      <w:szCs w:val="21"/>
                      <w14:textFill>
                        <w14:solidFill>
                          <w14:schemeClr w14:val="tx1"/>
                        </w14:solidFill>
                      </w14:textFill>
                    </w:rPr>
                    <w:t>t/a</w:t>
                  </w:r>
                </w:p>
              </w:tc>
              <w:tc>
                <w:tcPr>
                  <w:tcW w:w="1547" w:type="pct"/>
                  <w:vMerge w:val="continue"/>
                  <w:vAlign w:val="center"/>
                </w:tcPr>
                <w:p w14:paraId="76F56EB2">
                  <w:pPr>
                    <w:spacing w:before="48" w:beforeLines="20"/>
                    <w:jc w:val="center"/>
                    <w:rPr>
                      <w:color w:val="000000" w:themeColor="text1"/>
                      <w:kern w:val="1"/>
                      <w:szCs w:val="21"/>
                      <w14:textFill>
                        <w14:solidFill>
                          <w14:schemeClr w14:val="tx1"/>
                        </w14:solidFill>
                      </w14:textFill>
                    </w:rPr>
                  </w:pPr>
                </w:p>
              </w:tc>
            </w:tr>
            <w:tr w14:paraId="53F56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538672E9">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废活性炭</w:t>
                  </w:r>
                </w:p>
              </w:tc>
              <w:tc>
                <w:tcPr>
                  <w:tcW w:w="759" w:type="pct"/>
                  <w:vAlign w:val="center"/>
                </w:tcPr>
                <w:p w14:paraId="0C96CFB2">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一般固废</w:t>
                  </w:r>
                </w:p>
              </w:tc>
              <w:tc>
                <w:tcPr>
                  <w:tcW w:w="891" w:type="pct"/>
                  <w:vAlign w:val="center"/>
                </w:tcPr>
                <w:p w14:paraId="77F4ECEE">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900-008-S59</w:t>
                  </w:r>
                </w:p>
              </w:tc>
              <w:tc>
                <w:tcPr>
                  <w:tcW w:w="758" w:type="pct"/>
                  <w:vAlign w:val="center"/>
                </w:tcPr>
                <w:p w14:paraId="03162683">
                  <w:pPr>
                    <w:spacing w:before="48" w:beforeLines="20"/>
                    <w:jc w:val="center"/>
                    <w:rPr>
                      <w:color w:val="000000" w:themeColor="text1"/>
                      <w:kern w:val="0"/>
                      <w:szCs w:val="21"/>
                      <w:lang w:bidi="ar"/>
                      <w14:textFill>
                        <w14:solidFill>
                          <w14:schemeClr w14:val="tx1"/>
                        </w14:solidFill>
                      </w14:textFill>
                    </w:rPr>
                  </w:pPr>
                  <w:r>
                    <w:rPr>
                      <w:color w:val="000000" w:themeColor="text1"/>
                      <w:szCs w:val="21"/>
                      <w14:textFill>
                        <w14:solidFill>
                          <w14:schemeClr w14:val="tx1"/>
                        </w14:solidFill>
                      </w14:textFill>
                    </w:rPr>
                    <w:t>12t/a</w:t>
                  </w:r>
                </w:p>
              </w:tc>
              <w:tc>
                <w:tcPr>
                  <w:tcW w:w="1547" w:type="pct"/>
                  <w:vAlign w:val="center"/>
                </w:tcPr>
                <w:p w14:paraId="60BF8509">
                  <w:pPr>
                    <w:spacing w:before="48" w:beforeLines="20"/>
                    <w:rPr>
                      <w:color w:val="000000" w:themeColor="text1"/>
                      <w:kern w:val="0"/>
                      <w:szCs w:val="21"/>
                      <w:lang w:bidi="ar"/>
                      <w14:textFill>
                        <w14:solidFill>
                          <w14:schemeClr w14:val="tx1"/>
                        </w14:solidFill>
                      </w14:textFill>
                    </w:rPr>
                  </w:pPr>
                  <w:r>
                    <w:rPr>
                      <w:color w:val="000000" w:themeColor="text1"/>
                      <w14:textFill>
                        <w14:solidFill>
                          <w14:schemeClr w14:val="tx1"/>
                        </w14:solidFill>
                      </w14:textFill>
                    </w:rPr>
                    <w:t>废活性炭和污水处理站污泥</w:t>
                  </w:r>
                  <w:r>
                    <w:rPr>
                      <w:color w:val="000000" w:themeColor="text1"/>
                      <w:szCs w:val="21"/>
                      <w14:textFill>
                        <w14:solidFill>
                          <w14:schemeClr w14:val="tx1"/>
                        </w14:solidFill>
                      </w14:textFill>
                    </w:rPr>
                    <w:t>定期运往</w:t>
                  </w:r>
                  <w:r>
                    <w:rPr>
                      <w:color w:val="000000" w:themeColor="text1"/>
                      <w14:textFill>
                        <w14:solidFill>
                          <w14:schemeClr w14:val="tx1"/>
                        </w14:solidFill>
                      </w14:textFill>
                    </w:rPr>
                    <w:t>云南龙氏肥业有限公司</w:t>
                  </w:r>
                  <w:r>
                    <w:rPr>
                      <w:color w:val="000000" w:themeColor="text1"/>
                      <w:szCs w:val="21"/>
                      <w14:textFill>
                        <w14:solidFill>
                          <w14:schemeClr w14:val="tx1"/>
                        </w14:solidFill>
                      </w14:textFill>
                    </w:rPr>
                    <w:t>处置。</w:t>
                  </w:r>
                </w:p>
              </w:tc>
            </w:tr>
            <w:tr w14:paraId="313AB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043" w:type="pct"/>
                  <w:vAlign w:val="center"/>
                </w:tcPr>
                <w:p w14:paraId="37336C11">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废矿物油</w:t>
                  </w:r>
                </w:p>
              </w:tc>
              <w:tc>
                <w:tcPr>
                  <w:tcW w:w="759" w:type="pct"/>
                  <w:vAlign w:val="center"/>
                </w:tcPr>
                <w:p w14:paraId="0A29EE98">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危险固废</w:t>
                  </w:r>
                </w:p>
              </w:tc>
              <w:tc>
                <w:tcPr>
                  <w:tcW w:w="891" w:type="pct"/>
                  <w:vAlign w:val="center"/>
                </w:tcPr>
                <w:p w14:paraId="4F668E29">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900-214-08</w:t>
                  </w:r>
                </w:p>
              </w:tc>
              <w:tc>
                <w:tcPr>
                  <w:tcW w:w="758" w:type="pct"/>
                  <w:vAlign w:val="center"/>
                </w:tcPr>
                <w:p w14:paraId="033A5CC0">
                  <w:pPr>
                    <w:spacing w:before="48" w:beforeLines="20"/>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0.05t/a</w:t>
                  </w:r>
                </w:p>
              </w:tc>
              <w:tc>
                <w:tcPr>
                  <w:tcW w:w="1547" w:type="pct"/>
                  <w:vAlign w:val="center"/>
                </w:tcPr>
                <w:p w14:paraId="527C6DBF">
                  <w:pPr>
                    <w:spacing w:before="48" w:beforeLines="20"/>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暂存于已建6m</w:t>
                  </w:r>
                  <w:r>
                    <w:rPr>
                      <w:color w:val="000000" w:themeColor="text1"/>
                      <w:kern w:val="0"/>
                      <w:szCs w:val="21"/>
                      <w:vertAlign w:val="superscript"/>
                      <w:lang w:bidi="ar"/>
                      <w14:textFill>
                        <w14:solidFill>
                          <w14:schemeClr w14:val="tx1"/>
                        </w14:solidFill>
                      </w14:textFill>
                    </w:rPr>
                    <w:t>2</w:t>
                  </w:r>
                  <w:r>
                    <w:rPr>
                      <w:color w:val="000000" w:themeColor="text1"/>
                      <w:kern w:val="0"/>
                      <w:szCs w:val="21"/>
                      <w:lang w:bidi="ar"/>
                      <w14:textFill>
                        <w14:solidFill>
                          <w14:schemeClr w14:val="tx1"/>
                        </w14:solidFill>
                      </w14:textFill>
                    </w:rPr>
                    <w:t>的</w:t>
                  </w:r>
                  <w:r>
                    <w:rPr>
                      <w:color w:val="000000" w:themeColor="text1"/>
                      <w14:textFill>
                        <w14:solidFill>
                          <w14:schemeClr w14:val="tx1"/>
                        </w14:solidFill>
                      </w14:textFill>
                    </w:rPr>
                    <w:t>危险废物贮存库</w:t>
                  </w:r>
                  <w:r>
                    <w:rPr>
                      <w:color w:val="000000" w:themeColor="text1"/>
                      <w:kern w:val="0"/>
                      <w:szCs w:val="21"/>
                      <w:lang w:bidi="ar"/>
                      <w14:textFill>
                        <w14:solidFill>
                          <w14:schemeClr w14:val="tx1"/>
                        </w14:solidFill>
                      </w14:textFill>
                    </w:rPr>
                    <w:t>，并配置</w:t>
                  </w: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个危废临时储存容器用于收集机械设备维护、修理过程中产生的废矿物油和含油废物等危险废物，定期交由云南泽森环保科技有限公司进行处理，并建立健全危险废物产生、处理、转移台账记录。</w:t>
                  </w:r>
                </w:p>
              </w:tc>
            </w:tr>
          </w:tbl>
          <w:p w14:paraId="4EFF2664">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四、</w:t>
            </w:r>
            <w:r>
              <w:rPr>
                <w:rFonts w:hint="eastAsia"/>
                <w:b/>
                <w:bCs/>
                <w:color w:val="000000" w:themeColor="text1"/>
                <w:sz w:val="24"/>
                <w14:textFill>
                  <w14:solidFill>
                    <w14:schemeClr w14:val="tx1"/>
                  </w14:solidFill>
                </w14:textFill>
              </w:rPr>
              <w:t>现有工程主要存在的环境问题为：</w:t>
            </w:r>
          </w:p>
          <w:p w14:paraId="355DE1B6">
            <w:pPr>
              <w:pStyle w:val="16"/>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厂区综合废水排放口未设置标识标牌。不符合《排污口规范化整治技术要求（试行）》（环监〔1996〕470号）及《固定污染源排污口标识牌设置技术规范》等相关标准规范要求，未按规定设置包含排放口名称、污染物种类、执行标准、排放去向等内容的明显、规范标识标牌。该问题会导致排放口信息不清晰，既不利于企业自身对废水排放情况的日常管理与溯源，也影响生态环境监管部门的现场检查和监督执法，存在环境管理不到位的漏洞。</w:t>
            </w:r>
          </w:p>
          <w:p w14:paraId="3A8A3084">
            <w:pPr>
              <w:pStyle w:val="16"/>
              <w:spacing w:line="360" w:lineRule="auto"/>
              <w:ind w:firstLine="480" w:firstLineChars="200"/>
              <w:rPr>
                <w:color w:val="000000" w:themeColor="text1"/>
                <w:sz w:val="24"/>
                <w:szCs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事故应急池中存有积水，尚未排空。</w:t>
            </w:r>
            <w:r>
              <w:rPr>
                <w:rFonts w:hint="eastAsia"/>
                <w:color w:val="000000" w:themeColor="text1"/>
                <w:sz w:val="24"/>
                <w:szCs w:val="24"/>
                <w14:textFill>
                  <w14:solidFill>
                    <w14:schemeClr w14:val="tx1"/>
                  </w14:solidFill>
                </w14:textFill>
              </w:rPr>
              <w:t>该积水占用了应急池的有效应急容积，一旦发生生产废水泄漏、处理设施故障溢流等突发环境事件，应急池将无法及时接纳事故废水，可能导致废水外溢至厂区外环境，引发土壤、地下水或地表水的污染风险。此外，积水中可能残留项目生产或废水处理过程中的污染物，长期积存未处理易通过池体渗透影响周边土壤质量，若未经合规处理直接排放，还会违反废水排放管理相关规定，进一步加剧项目环境管理的漏洞。</w:t>
            </w:r>
          </w:p>
          <w:p w14:paraId="65DC0DEC">
            <w:pPr>
              <w:spacing w:line="360" w:lineRule="auto"/>
              <w:ind w:firstLine="241" w:firstLineChars="1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五、</w:t>
            </w:r>
            <w:r>
              <w:rPr>
                <w:rFonts w:hint="eastAsia"/>
                <w:b/>
                <w:bCs/>
                <w:color w:val="000000" w:themeColor="text1"/>
                <w:sz w:val="24"/>
                <w14:textFill>
                  <w14:solidFill>
                    <w14:schemeClr w14:val="tx1"/>
                  </w14:solidFill>
                </w14:textFill>
              </w:rPr>
              <w:t>以新带老整改措施：</w:t>
            </w:r>
          </w:p>
          <w:p w14:paraId="57374F1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严格按照《排污口规范化整治技术要求（试行）》（环监〔1996〕470号）及《固定污染源排污口标识牌设置技术规范》等相关标准规范，在各排放口设置包含排放口名称、污染物种类、执行标准、排放去向等内容的明显且规范的标识标牌，确保标识信息完整清晰、持久易识别，满足企业自身管理及生态环境监管部门检查需求。</w:t>
            </w:r>
          </w:p>
          <w:p w14:paraId="29424184">
            <w:pPr>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针对事故应急池积水问题，采取以下整改措施：一是立即排空池内积水，将积水纳入厂区现有废水处理系统处理达标后排放，严禁未经处理直接外排；二是积水排空后，对池体防渗层进行全面检查，若发现破损及时修复，确保池体防渗性能符合规范要求；三是建立事故应急池日常巡查维护机制，每周至少开展1次巡查，记录池内状态，发现积水及时清理，保证应急池始终处于空置备用状态；四是完善应急池管理台账，详细记录巡查、维护、检测及处理情况，强化环境风险防控责任落实。</w:t>
            </w:r>
          </w:p>
        </w:tc>
      </w:tr>
    </w:tbl>
    <w:p w14:paraId="7B216BE2">
      <w:pPr>
        <w:pStyle w:val="39"/>
        <w:widowControl w:val="0"/>
        <w:spacing w:before="0" w:beforeAutospacing="0" w:after="0" w:afterAutospacing="0"/>
        <w:jc w:val="center"/>
        <w:rPr>
          <w:rFonts w:hint="eastAsia" w:ascii="黑体" w:hAnsi="黑体" w:eastAsia="黑体"/>
          <w:color w:val="000000" w:themeColor="text1"/>
          <w:kern w:val="0"/>
          <w:sz w:val="21"/>
          <w:szCs w:val="21"/>
          <w14:textFill>
            <w14:solidFill>
              <w14:schemeClr w14:val="tx1"/>
            </w14:solidFill>
          </w14:textFill>
        </w:rPr>
        <w:sectPr>
          <w:pgSz w:w="11906" w:h="16838"/>
          <w:pgMar w:top="1701" w:right="1417" w:bottom="1417" w:left="1417" w:header="851" w:footer="851" w:gutter="0"/>
          <w:pgNumType w:start="1"/>
          <w:cols w:space="720" w:num="1"/>
          <w:docGrid w:linePitch="312" w:charSpace="0"/>
        </w:sectPr>
      </w:pPr>
    </w:p>
    <w:p w14:paraId="773C8D55">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34" w:name="_Toc19397"/>
      <w:bookmarkStart w:id="35" w:name="_Toc3557"/>
      <w:bookmarkStart w:id="36" w:name="_Toc30799"/>
      <w:bookmarkStart w:id="37" w:name="_Toc16299"/>
      <w:r>
        <w:rPr>
          <w:rFonts w:hint="eastAsia" w:ascii="黑体" w:hAnsi="黑体" w:eastAsia="黑体"/>
          <w:color w:val="000000" w:themeColor="text1"/>
          <w:kern w:val="0"/>
          <w:sz w:val="30"/>
          <w:szCs w:val="30"/>
          <w14:textFill>
            <w14:solidFill>
              <w14:schemeClr w14:val="tx1"/>
            </w14:solidFill>
          </w14:textFill>
        </w:rPr>
        <w:t>三、区域环境质量现状、环境保护目标及评价标准</w:t>
      </w:r>
      <w:bookmarkEnd w:id="34"/>
      <w:bookmarkEnd w:id="35"/>
      <w:bookmarkEnd w:id="36"/>
      <w:bookmarkEnd w:id="3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736"/>
      </w:tblGrid>
      <w:tr w14:paraId="6208D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0" w:hRule="atLeast"/>
          <w:jc w:val="center"/>
        </w:trPr>
        <w:tc>
          <w:tcPr>
            <w:tcW w:w="751" w:type="dxa"/>
            <w:vAlign w:val="center"/>
          </w:tcPr>
          <w:p w14:paraId="54EA24E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5FE78AF9">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49F4B700">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5D4F7C13">
            <w:pPr>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537" w:type="dxa"/>
            <w:vAlign w:val="center"/>
          </w:tcPr>
          <w:p w14:paraId="4893C950">
            <w:pPr>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1、环境空气质量现状</w:t>
            </w:r>
          </w:p>
          <w:p w14:paraId="243DEC29">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环境空气质量标准</w:t>
            </w:r>
          </w:p>
          <w:p w14:paraId="7F45446A">
            <w:pPr>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项目位于云南省昆明市寻甸县仁德街道，</w:t>
            </w:r>
            <w:r>
              <w:rPr>
                <w:color w:val="000000" w:themeColor="text1"/>
                <w:sz w:val="24"/>
                <w14:textFill>
                  <w14:solidFill>
                    <w14:schemeClr w14:val="tx1"/>
                  </w14:solidFill>
                </w14:textFill>
              </w:rPr>
              <w:t>属于</w:t>
            </w:r>
            <w:r>
              <w:rPr>
                <w:rFonts w:hint="eastAsia"/>
                <w:color w:val="000000" w:themeColor="text1"/>
                <w:sz w:val="24"/>
                <w14:textFill>
                  <w14:solidFill>
                    <w14:schemeClr w14:val="tx1"/>
                  </w14:solidFill>
                </w14:textFill>
              </w:rPr>
              <w:t>乡镇地</w:t>
            </w:r>
            <w:r>
              <w:rPr>
                <w:color w:val="000000" w:themeColor="text1"/>
                <w:sz w:val="24"/>
                <w14:textFill>
                  <w14:solidFill>
                    <w14:schemeClr w14:val="tx1"/>
                  </w14:solidFill>
                </w14:textFill>
              </w:rPr>
              <w:t>区，根据环境功能区划分原则，项目区域环境空气质量功能区划为二类区，环境空气质量执行《环境空气质量标准》（GB3095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2012）二级标准</w:t>
            </w:r>
            <w:r>
              <w:rPr>
                <w:rFonts w:hint="eastAsia"/>
                <w:color w:val="000000" w:themeColor="text1"/>
                <w:sz w:val="24"/>
                <w:lang w:val="en-US" w:eastAsia="zh-CN"/>
                <w14:textFill>
                  <w14:solidFill>
                    <w14:schemeClr w14:val="tx1"/>
                  </w14:solidFill>
                </w14:textFill>
              </w:rPr>
              <w:t>及修改单</w:t>
            </w:r>
            <w:r>
              <w:rPr>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标准值见表3-1。</w:t>
            </w:r>
          </w:p>
          <w:p w14:paraId="7C2AF813">
            <w:pPr>
              <w:ind w:firstLine="422" w:firstLineChars="200"/>
              <w:jc w:val="center"/>
              <w:rPr>
                <w:b/>
                <w:color w:val="000000" w:themeColor="text1"/>
                <w:kern w:val="0"/>
                <w:szCs w:val="20"/>
                <w14:textFill>
                  <w14:solidFill>
                    <w14:schemeClr w14:val="tx1"/>
                  </w14:solidFill>
                </w14:textFill>
              </w:rPr>
            </w:pPr>
            <w:r>
              <w:rPr>
                <w:b/>
                <w:color w:val="000000" w:themeColor="text1"/>
                <w:kern w:val="0"/>
                <w:szCs w:val="20"/>
                <w14:textFill>
                  <w14:solidFill>
                    <w14:schemeClr w14:val="tx1"/>
                  </w14:solidFill>
                </w14:textFill>
              </w:rPr>
              <w:t>表3-1  环境空气质量标准 单位：μg/m</w:t>
            </w:r>
            <w:r>
              <w:rPr>
                <w:b/>
                <w:color w:val="000000" w:themeColor="text1"/>
                <w:kern w:val="0"/>
                <w:szCs w:val="20"/>
                <w:vertAlign w:val="superscript"/>
                <w14:textFill>
                  <w14:solidFill>
                    <w14:schemeClr w14:val="tx1"/>
                  </w14:solidFill>
                </w14:textFill>
              </w:rPr>
              <w:t>3</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1699"/>
              <w:gridCol w:w="2180"/>
              <w:gridCol w:w="1586"/>
              <w:gridCol w:w="3042"/>
            </w:tblGrid>
            <w:tr w14:paraId="03E1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Align w:val="center"/>
                </w:tcPr>
                <w:p w14:paraId="674D4599">
                  <w:pPr>
                    <w:ind w:firstLine="422" w:firstLineChars="20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污染物名称</w:t>
                  </w:r>
                </w:p>
              </w:tc>
              <w:tc>
                <w:tcPr>
                  <w:tcW w:w="1281" w:type="pct"/>
                  <w:vAlign w:val="center"/>
                </w:tcPr>
                <w:p w14:paraId="75A4A0FE">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取值时间</w:t>
                  </w:r>
                </w:p>
              </w:tc>
              <w:tc>
                <w:tcPr>
                  <w:tcW w:w="932" w:type="pct"/>
                  <w:vAlign w:val="center"/>
                </w:tcPr>
                <w:p w14:paraId="7DA1CBE2">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标准浓度限值</w:t>
                  </w:r>
                </w:p>
              </w:tc>
              <w:tc>
                <w:tcPr>
                  <w:tcW w:w="1787" w:type="pct"/>
                  <w:vAlign w:val="center"/>
                </w:tcPr>
                <w:p w14:paraId="2F3324DF">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执行标准</w:t>
                  </w:r>
                </w:p>
              </w:tc>
            </w:tr>
            <w:tr w14:paraId="7206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04" w:hRule="atLeast"/>
                <w:jc w:val="center"/>
              </w:trPr>
              <w:tc>
                <w:tcPr>
                  <w:tcW w:w="998" w:type="pct"/>
                  <w:vMerge w:val="restart"/>
                  <w:vAlign w:val="center"/>
                </w:tcPr>
                <w:p w14:paraId="5EBF5756">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SO</w:t>
                  </w:r>
                  <w:r>
                    <w:rPr>
                      <w:bCs/>
                      <w:color w:val="000000" w:themeColor="text1"/>
                      <w:kern w:val="0"/>
                      <w:szCs w:val="21"/>
                      <w:vertAlign w:val="subscript"/>
                      <w14:textFill>
                        <w14:solidFill>
                          <w14:schemeClr w14:val="tx1"/>
                        </w14:solidFill>
                      </w14:textFill>
                    </w:rPr>
                    <w:t>2</w:t>
                  </w:r>
                </w:p>
              </w:tc>
              <w:tc>
                <w:tcPr>
                  <w:tcW w:w="1281" w:type="pct"/>
                  <w:vAlign w:val="center"/>
                </w:tcPr>
                <w:p w14:paraId="7885F0CB">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年平均</w:t>
                  </w:r>
                </w:p>
              </w:tc>
              <w:tc>
                <w:tcPr>
                  <w:tcW w:w="932" w:type="pct"/>
                  <w:vAlign w:val="center"/>
                </w:tcPr>
                <w:p w14:paraId="63E92EF5">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60</w:t>
                  </w:r>
                </w:p>
              </w:tc>
              <w:tc>
                <w:tcPr>
                  <w:tcW w:w="1787" w:type="pct"/>
                  <w:vMerge w:val="restart"/>
                  <w:vAlign w:val="center"/>
                </w:tcPr>
                <w:p w14:paraId="3A6B679B">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《环境空气质量标准》（GB3095-2012）</w:t>
                  </w:r>
                  <w:r>
                    <w:rPr>
                      <w:rFonts w:hint="eastAsia"/>
                      <w:bCs/>
                      <w:color w:val="000000" w:themeColor="text1"/>
                      <w:kern w:val="0"/>
                      <w:szCs w:val="21"/>
                      <w14:textFill>
                        <w14:solidFill>
                          <w14:schemeClr w14:val="tx1"/>
                        </w14:solidFill>
                      </w14:textFill>
                    </w:rPr>
                    <w:t>二级标准</w:t>
                  </w:r>
                </w:p>
              </w:tc>
            </w:tr>
            <w:tr w14:paraId="3757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5A8E60E7">
                  <w:pPr>
                    <w:jc w:val="center"/>
                    <w:rPr>
                      <w:bCs/>
                      <w:color w:val="000000" w:themeColor="text1"/>
                      <w:kern w:val="0"/>
                      <w:szCs w:val="21"/>
                      <w14:textFill>
                        <w14:solidFill>
                          <w14:schemeClr w14:val="tx1"/>
                        </w14:solidFill>
                      </w14:textFill>
                    </w:rPr>
                  </w:pPr>
                </w:p>
              </w:tc>
              <w:tc>
                <w:tcPr>
                  <w:tcW w:w="1281" w:type="pct"/>
                  <w:vAlign w:val="center"/>
                </w:tcPr>
                <w:p w14:paraId="4301350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6ADD1669">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150</w:t>
                  </w:r>
                </w:p>
              </w:tc>
              <w:tc>
                <w:tcPr>
                  <w:tcW w:w="1787" w:type="pct"/>
                  <w:vMerge w:val="continue"/>
                  <w:vAlign w:val="center"/>
                </w:tcPr>
                <w:p w14:paraId="215FB4DE">
                  <w:pPr>
                    <w:jc w:val="center"/>
                    <w:rPr>
                      <w:bCs/>
                      <w:color w:val="000000" w:themeColor="text1"/>
                      <w:kern w:val="0"/>
                      <w:szCs w:val="21"/>
                      <w14:textFill>
                        <w14:solidFill>
                          <w14:schemeClr w14:val="tx1"/>
                        </w14:solidFill>
                      </w14:textFill>
                    </w:rPr>
                  </w:pPr>
                </w:p>
              </w:tc>
            </w:tr>
            <w:tr w14:paraId="1184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50FF3698">
                  <w:pPr>
                    <w:jc w:val="center"/>
                    <w:rPr>
                      <w:bCs/>
                      <w:color w:val="000000" w:themeColor="text1"/>
                      <w:kern w:val="0"/>
                      <w:szCs w:val="21"/>
                      <w14:textFill>
                        <w14:solidFill>
                          <w14:schemeClr w14:val="tx1"/>
                        </w14:solidFill>
                      </w14:textFill>
                    </w:rPr>
                  </w:pPr>
                </w:p>
              </w:tc>
              <w:tc>
                <w:tcPr>
                  <w:tcW w:w="1281" w:type="pct"/>
                  <w:vAlign w:val="center"/>
                </w:tcPr>
                <w:p w14:paraId="7EE84BBE">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1小时平均</w:t>
                  </w:r>
                </w:p>
              </w:tc>
              <w:tc>
                <w:tcPr>
                  <w:tcW w:w="932" w:type="pct"/>
                  <w:vAlign w:val="center"/>
                </w:tcPr>
                <w:p w14:paraId="09E99C9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500</w:t>
                  </w:r>
                </w:p>
              </w:tc>
              <w:tc>
                <w:tcPr>
                  <w:tcW w:w="1787" w:type="pct"/>
                  <w:vMerge w:val="continue"/>
                  <w:vAlign w:val="center"/>
                </w:tcPr>
                <w:p w14:paraId="51C09B8C">
                  <w:pPr>
                    <w:jc w:val="center"/>
                    <w:rPr>
                      <w:bCs/>
                      <w:color w:val="000000" w:themeColor="text1"/>
                      <w:kern w:val="0"/>
                      <w:szCs w:val="21"/>
                      <w14:textFill>
                        <w14:solidFill>
                          <w14:schemeClr w14:val="tx1"/>
                        </w14:solidFill>
                      </w14:textFill>
                    </w:rPr>
                  </w:pPr>
                </w:p>
              </w:tc>
            </w:tr>
            <w:tr w14:paraId="0522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restart"/>
                  <w:vAlign w:val="center"/>
                </w:tcPr>
                <w:p w14:paraId="3F08CC47">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NO</w:t>
                  </w:r>
                  <w:r>
                    <w:rPr>
                      <w:bCs/>
                      <w:color w:val="000000" w:themeColor="text1"/>
                      <w:kern w:val="0"/>
                      <w:szCs w:val="21"/>
                      <w:vertAlign w:val="subscript"/>
                      <w14:textFill>
                        <w14:solidFill>
                          <w14:schemeClr w14:val="tx1"/>
                        </w14:solidFill>
                      </w14:textFill>
                    </w:rPr>
                    <w:t>2</w:t>
                  </w:r>
                </w:p>
              </w:tc>
              <w:tc>
                <w:tcPr>
                  <w:tcW w:w="1281" w:type="pct"/>
                  <w:vAlign w:val="center"/>
                </w:tcPr>
                <w:p w14:paraId="3C8D390E">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年平均</w:t>
                  </w:r>
                </w:p>
              </w:tc>
              <w:tc>
                <w:tcPr>
                  <w:tcW w:w="932" w:type="pct"/>
                  <w:vAlign w:val="center"/>
                </w:tcPr>
                <w:p w14:paraId="092571BE">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40</w:t>
                  </w:r>
                </w:p>
              </w:tc>
              <w:tc>
                <w:tcPr>
                  <w:tcW w:w="1787" w:type="pct"/>
                  <w:vMerge w:val="continue"/>
                  <w:vAlign w:val="center"/>
                </w:tcPr>
                <w:p w14:paraId="51F41854">
                  <w:pPr>
                    <w:jc w:val="center"/>
                    <w:rPr>
                      <w:bCs/>
                      <w:color w:val="000000" w:themeColor="text1"/>
                      <w:kern w:val="0"/>
                      <w:szCs w:val="21"/>
                      <w14:textFill>
                        <w14:solidFill>
                          <w14:schemeClr w14:val="tx1"/>
                        </w14:solidFill>
                      </w14:textFill>
                    </w:rPr>
                  </w:pPr>
                </w:p>
              </w:tc>
            </w:tr>
            <w:tr w14:paraId="1D49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17C12654">
                  <w:pPr>
                    <w:jc w:val="center"/>
                    <w:rPr>
                      <w:bCs/>
                      <w:color w:val="000000" w:themeColor="text1"/>
                      <w:kern w:val="0"/>
                      <w:szCs w:val="21"/>
                      <w14:textFill>
                        <w14:solidFill>
                          <w14:schemeClr w14:val="tx1"/>
                        </w14:solidFill>
                      </w14:textFill>
                    </w:rPr>
                  </w:pPr>
                </w:p>
              </w:tc>
              <w:tc>
                <w:tcPr>
                  <w:tcW w:w="1281" w:type="pct"/>
                  <w:vAlign w:val="center"/>
                </w:tcPr>
                <w:p w14:paraId="7A32C4B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514ACA45">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80</w:t>
                  </w:r>
                </w:p>
              </w:tc>
              <w:tc>
                <w:tcPr>
                  <w:tcW w:w="1787" w:type="pct"/>
                  <w:vMerge w:val="continue"/>
                  <w:vAlign w:val="center"/>
                </w:tcPr>
                <w:p w14:paraId="0C77E84A">
                  <w:pPr>
                    <w:jc w:val="center"/>
                    <w:rPr>
                      <w:bCs/>
                      <w:color w:val="000000" w:themeColor="text1"/>
                      <w:kern w:val="0"/>
                      <w:szCs w:val="21"/>
                      <w14:textFill>
                        <w14:solidFill>
                          <w14:schemeClr w14:val="tx1"/>
                        </w14:solidFill>
                      </w14:textFill>
                    </w:rPr>
                  </w:pPr>
                </w:p>
              </w:tc>
            </w:tr>
            <w:tr w14:paraId="4B03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0D9D1FC6">
                  <w:pPr>
                    <w:jc w:val="center"/>
                    <w:rPr>
                      <w:bCs/>
                      <w:color w:val="000000" w:themeColor="text1"/>
                      <w:kern w:val="0"/>
                      <w:szCs w:val="21"/>
                      <w14:textFill>
                        <w14:solidFill>
                          <w14:schemeClr w14:val="tx1"/>
                        </w14:solidFill>
                      </w14:textFill>
                    </w:rPr>
                  </w:pPr>
                </w:p>
              </w:tc>
              <w:tc>
                <w:tcPr>
                  <w:tcW w:w="1281" w:type="pct"/>
                  <w:vAlign w:val="center"/>
                </w:tcPr>
                <w:p w14:paraId="33EEB5BA">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1小时平均</w:t>
                  </w:r>
                </w:p>
              </w:tc>
              <w:tc>
                <w:tcPr>
                  <w:tcW w:w="932" w:type="pct"/>
                  <w:vAlign w:val="center"/>
                </w:tcPr>
                <w:p w14:paraId="222F0543">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200</w:t>
                  </w:r>
                </w:p>
              </w:tc>
              <w:tc>
                <w:tcPr>
                  <w:tcW w:w="1787" w:type="pct"/>
                  <w:vMerge w:val="continue"/>
                  <w:vAlign w:val="center"/>
                </w:tcPr>
                <w:p w14:paraId="0EF59F12">
                  <w:pPr>
                    <w:jc w:val="center"/>
                    <w:rPr>
                      <w:bCs/>
                      <w:color w:val="000000" w:themeColor="text1"/>
                      <w:kern w:val="0"/>
                      <w:szCs w:val="21"/>
                      <w14:textFill>
                        <w14:solidFill>
                          <w14:schemeClr w14:val="tx1"/>
                        </w14:solidFill>
                      </w14:textFill>
                    </w:rPr>
                  </w:pPr>
                </w:p>
              </w:tc>
            </w:tr>
            <w:tr w14:paraId="138C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5" w:hRule="atLeast"/>
                <w:jc w:val="center"/>
              </w:trPr>
              <w:tc>
                <w:tcPr>
                  <w:tcW w:w="998" w:type="pct"/>
                  <w:vMerge w:val="restart"/>
                  <w:vAlign w:val="center"/>
                </w:tcPr>
                <w:p w14:paraId="0F5A1E8D">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O</w:t>
                  </w:r>
                  <w:r>
                    <w:rPr>
                      <w:bCs/>
                      <w:color w:val="000000" w:themeColor="text1"/>
                      <w:kern w:val="0"/>
                      <w:szCs w:val="21"/>
                      <w:vertAlign w:val="subscript"/>
                      <w14:textFill>
                        <w14:solidFill>
                          <w14:schemeClr w14:val="tx1"/>
                        </w14:solidFill>
                      </w14:textFill>
                    </w:rPr>
                    <w:t>3</w:t>
                  </w:r>
                </w:p>
              </w:tc>
              <w:tc>
                <w:tcPr>
                  <w:tcW w:w="1281" w:type="pct"/>
                  <w:vAlign w:val="center"/>
                </w:tcPr>
                <w:p w14:paraId="7E5EFB29">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日最大8小时平均</w:t>
                  </w:r>
                </w:p>
              </w:tc>
              <w:tc>
                <w:tcPr>
                  <w:tcW w:w="932" w:type="pct"/>
                  <w:vAlign w:val="center"/>
                </w:tcPr>
                <w:p w14:paraId="193723A0">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160</w:t>
                  </w:r>
                </w:p>
              </w:tc>
              <w:tc>
                <w:tcPr>
                  <w:tcW w:w="1787" w:type="pct"/>
                  <w:vMerge w:val="continue"/>
                  <w:vAlign w:val="center"/>
                </w:tcPr>
                <w:p w14:paraId="020DDA9B">
                  <w:pPr>
                    <w:jc w:val="center"/>
                    <w:rPr>
                      <w:bCs/>
                      <w:color w:val="000000" w:themeColor="text1"/>
                      <w:kern w:val="0"/>
                      <w:szCs w:val="21"/>
                      <w14:textFill>
                        <w14:solidFill>
                          <w14:schemeClr w14:val="tx1"/>
                        </w14:solidFill>
                      </w14:textFill>
                    </w:rPr>
                  </w:pPr>
                </w:p>
              </w:tc>
            </w:tr>
            <w:tr w14:paraId="418D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489BD10E">
                  <w:pPr>
                    <w:ind w:firstLine="420" w:firstLineChars="200"/>
                    <w:jc w:val="center"/>
                    <w:rPr>
                      <w:bCs/>
                      <w:color w:val="000000" w:themeColor="text1"/>
                      <w:kern w:val="0"/>
                      <w:szCs w:val="21"/>
                      <w14:textFill>
                        <w14:solidFill>
                          <w14:schemeClr w14:val="tx1"/>
                        </w14:solidFill>
                      </w14:textFill>
                    </w:rPr>
                  </w:pPr>
                </w:p>
              </w:tc>
              <w:tc>
                <w:tcPr>
                  <w:tcW w:w="1281" w:type="pct"/>
                  <w:vAlign w:val="center"/>
                </w:tcPr>
                <w:p w14:paraId="0AAAC2C7">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1小时平均</w:t>
                  </w:r>
                </w:p>
              </w:tc>
              <w:tc>
                <w:tcPr>
                  <w:tcW w:w="932" w:type="pct"/>
                  <w:vAlign w:val="center"/>
                </w:tcPr>
                <w:p w14:paraId="5C26B7A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200</w:t>
                  </w:r>
                </w:p>
              </w:tc>
              <w:tc>
                <w:tcPr>
                  <w:tcW w:w="1787" w:type="pct"/>
                  <w:vMerge w:val="continue"/>
                  <w:vAlign w:val="center"/>
                </w:tcPr>
                <w:p w14:paraId="7EAFCE5C">
                  <w:pPr>
                    <w:jc w:val="center"/>
                    <w:rPr>
                      <w:bCs/>
                      <w:color w:val="000000" w:themeColor="text1"/>
                      <w:kern w:val="0"/>
                      <w:szCs w:val="21"/>
                      <w14:textFill>
                        <w14:solidFill>
                          <w14:schemeClr w14:val="tx1"/>
                        </w14:solidFill>
                      </w14:textFill>
                    </w:rPr>
                  </w:pPr>
                </w:p>
              </w:tc>
            </w:tr>
            <w:tr w14:paraId="39BA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restart"/>
                  <w:vAlign w:val="center"/>
                </w:tcPr>
                <w:p w14:paraId="27F06276">
                  <w:pPr>
                    <w:jc w:val="center"/>
                    <w:rPr>
                      <w:bCs/>
                      <w:color w:val="000000" w:themeColor="text1"/>
                      <w:kern w:val="0"/>
                      <w:szCs w:val="21"/>
                      <w:vertAlign w:val="subscript"/>
                      <w14:textFill>
                        <w14:solidFill>
                          <w14:schemeClr w14:val="tx1"/>
                        </w14:solidFill>
                      </w14:textFill>
                    </w:rPr>
                  </w:pPr>
                  <w:r>
                    <w:rPr>
                      <w:rFonts w:hint="eastAsia"/>
                      <w:bCs/>
                      <w:color w:val="000000" w:themeColor="text1"/>
                      <w:kern w:val="0"/>
                      <w:szCs w:val="21"/>
                      <w14:textFill>
                        <w14:solidFill>
                          <w14:schemeClr w14:val="tx1"/>
                        </w14:solidFill>
                      </w14:textFill>
                    </w:rPr>
                    <w:t>PM</w:t>
                  </w:r>
                  <w:r>
                    <w:rPr>
                      <w:rFonts w:hint="eastAsia"/>
                      <w:bCs/>
                      <w:color w:val="000000" w:themeColor="text1"/>
                      <w:kern w:val="0"/>
                      <w:szCs w:val="21"/>
                      <w:vertAlign w:val="subscript"/>
                      <w14:textFill>
                        <w14:solidFill>
                          <w14:schemeClr w14:val="tx1"/>
                        </w14:solidFill>
                      </w14:textFill>
                    </w:rPr>
                    <w:t>10</w:t>
                  </w:r>
                </w:p>
              </w:tc>
              <w:tc>
                <w:tcPr>
                  <w:tcW w:w="1281" w:type="pct"/>
                  <w:vAlign w:val="center"/>
                </w:tcPr>
                <w:p w14:paraId="3CB314E2">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年平均</w:t>
                  </w:r>
                </w:p>
              </w:tc>
              <w:tc>
                <w:tcPr>
                  <w:tcW w:w="932" w:type="pct"/>
                  <w:vAlign w:val="center"/>
                </w:tcPr>
                <w:p w14:paraId="7D241699">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70</w:t>
                  </w:r>
                </w:p>
              </w:tc>
              <w:tc>
                <w:tcPr>
                  <w:tcW w:w="1787" w:type="pct"/>
                  <w:vMerge w:val="continue"/>
                  <w:vAlign w:val="center"/>
                </w:tcPr>
                <w:p w14:paraId="39007A6D">
                  <w:pPr>
                    <w:jc w:val="center"/>
                    <w:rPr>
                      <w:bCs/>
                      <w:color w:val="000000" w:themeColor="text1"/>
                      <w:kern w:val="0"/>
                      <w:szCs w:val="21"/>
                      <w14:textFill>
                        <w14:solidFill>
                          <w14:schemeClr w14:val="tx1"/>
                        </w14:solidFill>
                      </w14:textFill>
                    </w:rPr>
                  </w:pPr>
                </w:p>
              </w:tc>
            </w:tr>
            <w:tr w14:paraId="6388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08C67364">
                  <w:pPr>
                    <w:jc w:val="center"/>
                    <w:rPr>
                      <w:bCs/>
                      <w:color w:val="000000" w:themeColor="text1"/>
                      <w:kern w:val="0"/>
                      <w:szCs w:val="21"/>
                      <w14:textFill>
                        <w14:solidFill>
                          <w14:schemeClr w14:val="tx1"/>
                        </w14:solidFill>
                      </w14:textFill>
                    </w:rPr>
                  </w:pPr>
                </w:p>
              </w:tc>
              <w:tc>
                <w:tcPr>
                  <w:tcW w:w="1281" w:type="pct"/>
                  <w:vAlign w:val="center"/>
                </w:tcPr>
                <w:p w14:paraId="5A3E8A7D">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2B617FB9">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150</w:t>
                  </w:r>
                </w:p>
              </w:tc>
              <w:tc>
                <w:tcPr>
                  <w:tcW w:w="1787" w:type="pct"/>
                  <w:vMerge w:val="continue"/>
                  <w:vAlign w:val="center"/>
                </w:tcPr>
                <w:p w14:paraId="63E0C7A5">
                  <w:pPr>
                    <w:jc w:val="center"/>
                    <w:rPr>
                      <w:bCs/>
                      <w:color w:val="000000" w:themeColor="text1"/>
                      <w:kern w:val="0"/>
                      <w:szCs w:val="21"/>
                      <w14:textFill>
                        <w14:solidFill>
                          <w14:schemeClr w14:val="tx1"/>
                        </w14:solidFill>
                      </w14:textFill>
                    </w:rPr>
                  </w:pPr>
                </w:p>
              </w:tc>
            </w:tr>
            <w:tr w14:paraId="79C5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5" w:hRule="atLeast"/>
                <w:jc w:val="center"/>
              </w:trPr>
              <w:tc>
                <w:tcPr>
                  <w:tcW w:w="998" w:type="pct"/>
                  <w:vMerge w:val="restart"/>
                  <w:vAlign w:val="center"/>
                </w:tcPr>
                <w:p w14:paraId="1F0611C1">
                  <w:pPr>
                    <w:jc w:val="center"/>
                    <w:rPr>
                      <w:bCs/>
                      <w:color w:val="000000" w:themeColor="text1"/>
                      <w:kern w:val="0"/>
                      <w:szCs w:val="21"/>
                      <w:vertAlign w:val="subscript"/>
                      <w14:textFill>
                        <w14:solidFill>
                          <w14:schemeClr w14:val="tx1"/>
                        </w14:solidFill>
                      </w14:textFill>
                    </w:rPr>
                  </w:pPr>
                  <w:r>
                    <w:rPr>
                      <w:rFonts w:hint="eastAsia"/>
                      <w:bCs/>
                      <w:color w:val="000000" w:themeColor="text1"/>
                      <w:kern w:val="0"/>
                      <w:szCs w:val="21"/>
                      <w14:textFill>
                        <w14:solidFill>
                          <w14:schemeClr w14:val="tx1"/>
                        </w14:solidFill>
                      </w14:textFill>
                    </w:rPr>
                    <w:t>PM</w:t>
                  </w:r>
                  <w:r>
                    <w:rPr>
                      <w:rFonts w:hint="eastAsia"/>
                      <w:bCs/>
                      <w:color w:val="000000" w:themeColor="text1"/>
                      <w:kern w:val="0"/>
                      <w:szCs w:val="21"/>
                      <w:vertAlign w:val="subscript"/>
                      <w14:textFill>
                        <w14:solidFill>
                          <w14:schemeClr w14:val="tx1"/>
                        </w14:solidFill>
                      </w14:textFill>
                    </w:rPr>
                    <w:t>2.5</w:t>
                  </w:r>
                </w:p>
              </w:tc>
              <w:tc>
                <w:tcPr>
                  <w:tcW w:w="1281" w:type="pct"/>
                  <w:vAlign w:val="center"/>
                </w:tcPr>
                <w:p w14:paraId="39AD5546">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年平均</w:t>
                  </w:r>
                </w:p>
              </w:tc>
              <w:tc>
                <w:tcPr>
                  <w:tcW w:w="932" w:type="pct"/>
                  <w:vAlign w:val="center"/>
                </w:tcPr>
                <w:p w14:paraId="457CA14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35</w:t>
                  </w:r>
                </w:p>
              </w:tc>
              <w:tc>
                <w:tcPr>
                  <w:tcW w:w="1787" w:type="pct"/>
                  <w:vMerge w:val="continue"/>
                  <w:vAlign w:val="center"/>
                </w:tcPr>
                <w:p w14:paraId="667E9FFD">
                  <w:pPr>
                    <w:jc w:val="center"/>
                    <w:rPr>
                      <w:bCs/>
                      <w:color w:val="000000" w:themeColor="text1"/>
                      <w:kern w:val="0"/>
                      <w:szCs w:val="21"/>
                      <w14:textFill>
                        <w14:solidFill>
                          <w14:schemeClr w14:val="tx1"/>
                        </w14:solidFill>
                      </w14:textFill>
                    </w:rPr>
                  </w:pPr>
                </w:p>
              </w:tc>
            </w:tr>
            <w:tr w14:paraId="23B0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670075E4">
                  <w:pPr>
                    <w:jc w:val="center"/>
                    <w:rPr>
                      <w:bCs/>
                      <w:color w:val="000000" w:themeColor="text1"/>
                      <w:kern w:val="0"/>
                      <w:szCs w:val="21"/>
                      <w14:textFill>
                        <w14:solidFill>
                          <w14:schemeClr w14:val="tx1"/>
                        </w14:solidFill>
                      </w14:textFill>
                    </w:rPr>
                  </w:pPr>
                </w:p>
              </w:tc>
              <w:tc>
                <w:tcPr>
                  <w:tcW w:w="1281" w:type="pct"/>
                  <w:vAlign w:val="center"/>
                </w:tcPr>
                <w:p w14:paraId="2F4B343F">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71C77E79">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75</w:t>
                  </w:r>
                </w:p>
              </w:tc>
              <w:tc>
                <w:tcPr>
                  <w:tcW w:w="1787" w:type="pct"/>
                  <w:vMerge w:val="continue"/>
                  <w:vAlign w:val="center"/>
                </w:tcPr>
                <w:p w14:paraId="515811E4">
                  <w:pPr>
                    <w:jc w:val="center"/>
                    <w:rPr>
                      <w:bCs/>
                      <w:color w:val="000000" w:themeColor="text1"/>
                      <w:kern w:val="0"/>
                      <w:szCs w:val="21"/>
                      <w14:textFill>
                        <w14:solidFill>
                          <w14:schemeClr w14:val="tx1"/>
                        </w14:solidFill>
                      </w14:textFill>
                    </w:rPr>
                  </w:pPr>
                </w:p>
              </w:tc>
            </w:tr>
            <w:tr w14:paraId="5A2F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restart"/>
                  <w:vAlign w:val="center"/>
                </w:tcPr>
                <w:p w14:paraId="3E29CF1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CO</w:t>
                  </w:r>
                </w:p>
              </w:tc>
              <w:tc>
                <w:tcPr>
                  <w:tcW w:w="1281" w:type="pct"/>
                  <w:vAlign w:val="center"/>
                </w:tcPr>
                <w:p w14:paraId="2F6E55F0">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54CBB076">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4000</w:t>
                  </w:r>
                </w:p>
              </w:tc>
              <w:tc>
                <w:tcPr>
                  <w:tcW w:w="1787" w:type="pct"/>
                  <w:vMerge w:val="continue"/>
                  <w:vAlign w:val="center"/>
                </w:tcPr>
                <w:p w14:paraId="170DFB5B">
                  <w:pPr>
                    <w:jc w:val="center"/>
                    <w:rPr>
                      <w:bCs/>
                      <w:color w:val="000000" w:themeColor="text1"/>
                      <w:kern w:val="0"/>
                      <w:szCs w:val="21"/>
                      <w14:textFill>
                        <w14:solidFill>
                          <w14:schemeClr w14:val="tx1"/>
                        </w14:solidFill>
                      </w14:textFill>
                    </w:rPr>
                  </w:pPr>
                </w:p>
              </w:tc>
            </w:tr>
            <w:tr w14:paraId="060F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Merge w:val="continue"/>
                  <w:vAlign w:val="center"/>
                </w:tcPr>
                <w:p w14:paraId="5EAEC047">
                  <w:pPr>
                    <w:jc w:val="center"/>
                    <w:rPr>
                      <w:bCs/>
                      <w:color w:val="000000" w:themeColor="text1"/>
                      <w:kern w:val="0"/>
                      <w:szCs w:val="21"/>
                      <w14:textFill>
                        <w14:solidFill>
                          <w14:schemeClr w14:val="tx1"/>
                        </w14:solidFill>
                      </w14:textFill>
                    </w:rPr>
                  </w:pPr>
                </w:p>
              </w:tc>
              <w:tc>
                <w:tcPr>
                  <w:tcW w:w="1281" w:type="pct"/>
                  <w:vAlign w:val="center"/>
                </w:tcPr>
                <w:p w14:paraId="04B16E3D">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1小时平均</w:t>
                  </w:r>
                </w:p>
              </w:tc>
              <w:tc>
                <w:tcPr>
                  <w:tcW w:w="932" w:type="pct"/>
                  <w:vAlign w:val="center"/>
                </w:tcPr>
                <w:p w14:paraId="173BCF18">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w:t>
                  </w:r>
                  <w:r>
                    <w:rPr>
                      <w:rFonts w:hint="eastAsia"/>
                      <w:bCs/>
                      <w:color w:val="000000" w:themeColor="text1"/>
                      <w:kern w:val="0"/>
                      <w:szCs w:val="21"/>
                      <w14:textFill>
                        <w14:solidFill>
                          <w14:schemeClr w14:val="tx1"/>
                        </w14:solidFill>
                      </w14:textFill>
                    </w:rPr>
                    <w:t>000</w:t>
                  </w:r>
                </w:p>
              </w:tc>
              <w:tc>
                <w:tcPr>
                  <w:tcW w:w="1787" w:type="pct"/>
                  <w:vMerge w:val="continue"/>
                  <w:vAlign w:val="center"/>
                </w:tcPr>
                <w:p w14:paraId="6C414DBA">
                  <w:pPr>
                    <w:jc w:val="center"/>
                    <w:rPr>
                      <w:bCs/>
                      <w:color w:val="000000" w:themeColor="text1"/>
                      <w:kern w:val="0"/>
                      <w:szCs w:val="21"/>
                      <w14:textFill>
                        <w14:solidFill>
                          <w14:schemeClr w14:val="tx1"/>
                        </w14:solidFill>
                      </w14:textFill>
                    </w:rPr>
                  </w:pPr>
                </w:p>
              </w:tc>
            </w:tr>
            <w:tr w14:paraId="6007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214" w:hRule="atLeast"/>
                <w:jc w:val="center"/>
              </w:trPr>
              <w:tc>
                <w:tcPr>
                  <w:tcW w:w="998" w:type="pct"/>
                  <w:vAlign w:val="center"/>
                </w:tcPr>
                <w:p w14:paraId="6EC6671F">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TSP</w:t>
                  </w:r>
                </w:p>
              </w:tc>
              <w:tc>
                <w:tcPr>
                  <w:tcW w:w="1281" w:type="pct"/>
                  <w:vAlign w:val="center"/>
                </w:tcPr>
                <w:p w14:paraId="21FA9123">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24小时平均</w:t>
                  </w:r>
                </w:p>
              </w:tc>
              <w:tc>
                <w:tcPr>
                  <w:tcW w:w="932" w:type="pct"/>
                  <w:vAlign w:val="center"/>
                </w:tcPr>
                <w:p w14:paraId="6A4E2CFC">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300</w:t>
                  </w:r>
                </w:p>
              </w:tc>
              <w:tc>
                <w:tcPr>
                  <w:tcW w:w="1787" w:type="pct"/>
                  <w:vMerge w:val="continue"/>
                  <w:vAlign w:val="center"/>
                </w:tcPr>
                <w:p w14:paraId="616C63CF">
                  <w:pPr>
                    <w:jc w:val="center"/>
                    <w:rPr>
                      <w:bCs/>
                      <w:color w:val="000000" w:themeColor="text1"/>
                      <w:kern w:val="0"/>
                      <w:szCs w:val="21"/>
                      <w14:textFill>
                        <w14:solidFill>
                          <w14:schemeClr w14:val="tx1"/>
                        </w14:solidFill>
                      </w14:textFill>
                    </w:rPr>
                  </w:pPr>
                </w:p>
              </w:tc>
            </w:tr>
          </w:tbl>
          <w:p w14:paraId="57B7F0F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大气环境》（HJ2.2-2018）6.2.1.1，项目所在区域达标判定，优先采用国家或地方生态环境主管部门公开发布的评价基准年环境质量公告或者环境质量报告中的结论或数据。</w:t>
            </w:r>
          </w:p>
          <w:p w14:paraId="2D1DF40B">
            <w:pPr>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2</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常规污染物</w:t>
            </w:r>
            <w:r>
              <w:rPr>
                <w:b/>
                <w:color w:val="000000" w:themeColor="text1"/>
                <w:kern w:val="0"/>
                <w:sz w:val="24"/>
                <w14:textFill>
                  <w14:solidFill>
                    <w14:schemeClr w14:val="tx1"/>
                  </w14:solidFill>
                </w14:textFill>
              </w:rPr>
              <w:t>达标判定</w:t>
            </w:r>
            <w:r>
              <w:rPr>
                <w:rFonts w:hint="eastAsia"/>
                <w:b/>
                <w:color w:val="000000" w:themeColor="text1"/>
                <w:kern w:val="0"/>
                <w:sz w:val="24"/>
                <w14:textFill>
                  <w14:solidFill>
                    <w14:schemeClr w14:val="tx1"/>
                  </w14:solidFill>
                </w14:textFill>
              </w:rPr>
              <w:t>：</w:t>
            </w:r>
          </w:p>
          <w:p w14:paraId="079231EB">
            <w:pPr>
              <w:spacing w:line="360" w:lineRule="auto"/>
              <w:ind w:firstLine="480" w:firstLineChars="200"/>
              <w:rPr>
                <w:bCs/>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根据《2024年度昆明市生态环境状况公报》，“2024年昆明市主城区外所辖的8个县（市）、区环境空气质量总体保持良好，各项污染物平均浓度均达到《环境空气质量标准》（GB3095-2012）二级标准”，</w:t>
            </w:r>
            <w:r>
              <w:rPr>
                <w:rFonts w:hint="eastAsia"/>
                <w:bCs/>
                <w:color w:val="000000" w:themeColor="text1"/>
                <w:kern w:val="0"/>
                <w:sz w:val="24"/>
                <w14:textFill>
                  <w14:solidFill>
                    <w14:schemeClr w14:val="tx1"/>
                  </w14:solidFill>
                </w14:textFill>
              </w:rPr>
              <w:t>项目所在区域环境空气质量达标。</w:t>
            </w:r>
          </w:p>
          <w:p w14:paraId="623BA602">
            <w:pPr>
              <w:tabs>
                <w:tab w:val="left" w:pos="6300"/>
              </w:tabs>
              <w:spacing w:line="360" w:lineRule="auto"/>
              <w:ind w:firstLine="482" w:firstLineChars="200"/>
              <w:rPr>
                <w:b/>
                <w:color w:val="000000" w:themeColor="text1"/>
                <w:kern w:val="0"/>
                <w:sz w:val="24"/>
                <w:szCs w:val="20"/>
                <w14:textFill>
                  <w14:solidFill>
                    <w14:schemeClr w14:val="tx1"/>
                  </w14:solidFill>
                </w14:textFill>
              </w:rPr>
            </w:pPr>
            <w:r>
              <w:rPr>
                <w:rFonts w:hAnsi="宋体"/>
                <w:b/>
                <w:color w:val="000000" w:themeColor="text1"/>
                <w:kern w:val="0"/>
                <w:sz w:val="24"/>
                <w:szCs w:val="20"/>
                <w14:textFill>
                  <w14:solidFill>
                    <w14:schemeClr w14:val="tx1"/>
                  </w14:solidFill>
                </w14:textFill>
              </w:rPr>
              <w:t>（</w:t>
            </w:r>
            <w:r>
              <w:rPr>
                <w:rFonts w:hint="eastAsia" w:hAnsi="宋体"/>
                <w:b/>
                <w:color w:val="000000" w:themeColor="text1"/>
                <w:kern w:val="0"/>
                <w:sz w:val="24"/>
                <w:szCs w:val="20"/>
                <w14:textFill>
                  <w14:solidFill>
                    <w14:schemeClr w14:val="tx1"/>
                  </w14:solidFill>
                </w14:textFill>
              </w:rPr>
              <w:t>3</w:t>
            </w:r>
            <w:r>
              <w:rPr>
                <w:rFonts w:hAnsi="宋体"/>
                <w:b/>
                <w:color w:val="000000" w:themeColor="text1"/>
                <w:kern w:val="0"/>
                <w:sz w:val="24"/>
                <w:szCs w:val="20"/>
                <w14:textFill>
                  <w14:solidFill>
                    <w14:schemeClr w14:val="tx1"/>
                  </w14:solidFill>
                </w14:textFill>
              </w:rPr>
              <w:t>）</w:t>
            </w:r>
            <w:r>
              <w:rPr>
                <w:rFonts w:hint="eastAsia" w:hAnsi="宋体"/>
                <w:b/>
                <w:color w:val="000000" w:themeColor="text1"/>
                <w:kern w:val="0"/>
                <w:sz w:val="24"/>
                <w:szCs w:val="20"/>
                <w14:textFill>
                  <w14:solidFill>
                    <w14:schemeClr w14:val="tx1"/>
                  </w14:solidFill>
                </w14:textFill>
              </w:rPr>
              <w:t>特征污染物达标判定：</w:t>
            </w:r>
          </w:p>
          <w:p w14:paraId="08F2A639">
            <w:pPr>
              <w:pStyle w:val="98"/>
              <w:ind w:firstLine="470"/>
              <w:jc w:val="left"/>
              <w:rPr>
                <w:rFonts w:eastAsia="宋体"/>
                <w:color w:val="000000" w:themeColor="text1"/>
                <w:kern w:val="0"/>
                <w:sz w:val="24"/>
                <w:szCs w:val="24"/>
                <w14:textFill>
                  <w14:solidFill>
                    <w14:schemeClr w14:val="tx1"/>
                  </w14:solidFill>
                </w14:textFill>
              </w:rPr>
            </w:pPr>
            <w:bookmarkStart w:id="38" w:name="OLE_LINK271"/>
            <w:r>
              <w:rPr>
                <w:rFonts w:eastAsia="宋体"/>
                <w:color w:val="000000" w:themeColor="text1"/>
                <w:kern w:val="0"/>
                <w:sz w:val="24"/>
                <w:szCs w:val="24"/>
                <w14:textFill>
                  <w14:solidFill>
                    <w14:schemeClr w14:val="tx1"/>
                  </w14:solidFill>
                </w14:textFill>
              </w:rPr>
              <w:t>本项目大气特征污染因子为</w:t>
            </w:r>
            <w:r>
              <w:rPr>
                <w:rFonts w:hint="eastAsia" w:eastAsia="宋体"/>
                <w:color w:val="000000" w:themeColor="text1"/>
                <w:kern w:val="0"/>
                <w:sz w:val="24"/>
                <w:szCs w:val="24"/>
                <w14:textFill>
                  <w14:solidFill>
                    <w14:schemeClr w14:val="tx1"/>
                  </w14:solidFill>
                </w14:textFill>
              </w:rPr>
              <w:t>TSP，故本次对TSP进行监测，</w:t>
            </w:r>
            <w:bookmarkStart w:id="39" w:name="OLE_LINK12"/>
            <w:r>
              <w:rPr>
                <w:rFonts w:hint="eastAsia" w:eastAsia="宋体"/>
                <w:color w:val="000000" w:themeColor="text1"/>
                <w:kern w:val="0"/>
                <w:sz w:val="24"/>
                <w:szCs w:val="24"/>
                <w14:textFill>
                  <w14:solidFill>
                    <w14:schemeClr w14:val="tx1"/>
                  </w14:solidFill>
                </w14:textFill>
              </w:rPr>
              <w:t>于新建地块</w:t>
            </w:r>
            <w:r>
              <w:rPr>
                <w:rFonts w:hint="eastAsia" w:eastAsia="宋体"/>
                <w:color w:val="000000" w:themeColor="text1"/>
                <w:sz w:val="24"/>
                <w:szCs w:val="24"/>
                <w14:textFill>
                  <w14:solidFill>
                    <w14:schemeClr w14:val="tx1"/>
                  </w14:solidFill>
                </w14:textFill>
              </w:rPr>
              <w:t>下风向布设一个监测点位</w:t>
            </w:r>
            <w:bookmarkEnd w:id="39"/>
            <w:r>
              <w:rPr>
                <w:rFonts w:hint="eastAsia" w:eastAsia="宋体"/>
                <w:color w:val="000000" w:themeColor="text1"/>
                <w:sz w:val="24"/>
                <w:szCs w:val="24"/>
                <w14:textFill>
                  <w14:solidFill>
                    <w14:schemeClr w14:val="tx1"/>
                  </w14:solidFill>
                </w14:textFill>
              </w:rPr>
              <w:t>，</w:t>
            </w:r>
            <w:bookmarkStart w:id="40" w:name="OLE_LINK11"/>
            <w:r>
              <w:rPr>
                <w:rFonts w:hint="eastAsia" w:eastAsia="宋体"/>
                <w:color w:val="000000" w:themeColor="text1"/>
                <w:sz w:val="24"/>
                <w:szCs w:val="24"/>
                <w14:textFill>
                  <w14:solidFill>
                    <w14:schemeClr w14:val="tx1"/>
                  </w14:solidFill>
                </w14:textFill>
              </w:rPr>
              <w:t>根据</w:t>
            </w:r>
            <w:bookmarkStart w:id="41" w:name="OLE_LINK270"/>
            <w:r>
              <w:rPr>
                <w:rFonts w:hint="eastAsia" w:eastAsia="宋体"/>
                <w:color w:val="000000" w:themeColor="text1"/>
                <w:sz w:val="24"/>
                <w:szCs w:val="24"/>
                <w14:textFill>
                  <w14:solidFill>
                    <w14:schemeClr w14:val="tx1"/>
                  </w14:solidFill>
                </w14:textFill>
              </w:rPr>
              <w:t>中佰科技（云南）</w:t>
            </w:r>
            <w:r>
              <w:rPr>
                <w:rFonts w:eastAsia="宋体"/>
                <w:color w:val="000000" w:themeColor="text1"/>
                <w:kern w:val="0"/>
                <w:sz w:val="24"/>
                <w:szCs w:val="24"/>
                <w14:textFill>
                  <w14:solidFill>
                    <w14:schemeClr w14:val="tx1"/>
                  </w14:solidFill>
                </w14:textFill>
              </w:rPr>
              <w:t>有限公司</w:t>
            </w:r>
            <w:bookmarkEnd w:id="41"/>
            <w:r>
              <w:rPr>
                <w:rFonts w:eastAsia="宋体"/>
                <w:color w:val="000000" w:themeColor="text1"/>
                <w:kern w:val="0"/>
                <w:sz w:val="24"/>
                <w:szCs w:val="24"/>
                <w14:textFill>
                  <w14:solidFill>
                    <w14:schemeClr w14:val="tx1"/>
                  </w14:solidFill>
                </w14:textFill>
              </w:rPr>
              <w:t>于202</w:t>
            </w:r>
            <w:r>
              <w:rPr>
                <w:rFonts w:hint="eastAsia" w:eastAsia="宋体"/>
                <w:color w:val="000000" w:themeColor="text1"/>
                <w:kern w:val="0"/>
                <w:sz w:val="24"/>
                <w:szCs w:val="24"/>
                <w14:textFill>
                  <w14:solidFill>
                    <w14:schemeClr w14:val="tx1"/>
                  </w14:solidFill>
                </w14:textFill>
              </w:rPr>
              <w:t>5</w:t>
            </w:r>
            <w:r>
              <w:rPr>
                <w:rFonts w:eastAsia="宋体"/>
                <w:color w:val="000000" w:themeColor="text1"/>
                <w:kern w:val="0"/>
                <w:sz w:val="24"/>
                <w:szCs w:val="24"/>
                <w14:textFill>
                  <w14:solidFill>
                    <w14:schemeClr w14:val="tx1"/>
                  </w14:solidFill>
                </w14:textFill>
              </w:rPr>
              <w:t>年</w:t>
            </w:r>
            <w:r>
              <w:rPr>
                <w:rFonts w:hint="eastAsia" w:eastAsia="宋体"/>
                <w:color w:val="000000" w:themeColor="text1"/>
                <w:kern w:val="0"/>
                <w:sz w:val="24"/>
                <w:szCs w:val="24"/>
                <w14:textFill>
                  <w14:solidFill>
                    <w14:schemeClr w14:val="tx1"/>
                  </w14:solidFill>
                </w14:textFill>
              </w:rPr>
              <w:t>12</w:t>
            </w:r>
            <w:r>
              <w:rPr>
                <w:rFonts w:eastAsia="宋体"/>
                <w:color w:val="000000" w:themeColor="text1"/>
                <w:kern w:val="0"/>
                <w:sz w:val="24"/>
                <w:szCs w:val="24"/>
                <w14:textFill>
                  <w14:solidFill>
                    <w14:schemeClr w14:val="tx1"/>
                  </w14:solidFill>
                </w14:textFill>
              </w:rPr>
              <w:t>月</w:t>
            </w:r>
            <w:r>
              <w:rPr>
                <w:rFonts w:hint="eastAsia" w:eastAsia="宋体"/>
                <w:color w:val="000000" w:themeColor="text1"/>
                <w:kern w:val="0"/>
                <w:sz w:val="24"/>
                <w:szCs w:val="24"/>
                <w14:textFill>
                  <w14:solidFill>
                    <w14:schemeClr w14:val="tx1"/>
                  </w14:solidFill>
                </w14:textFill>
              </w:rPr>
              <w:t xml:space="preserve">11 </w:t>
            </w:r>
            <w:r>
              <w:rPr>
                <w:rFonts w:eastAsia="宋体"/>
                <w:color w:val="000000" w:themeColor="text1"/>
                <w:kern w:val="0"/>
                <w:sz w:val="24"/>
                <w:szCs w:val="24"/>
                <w14:textFill>
                  <w14:solidFill>
                    <w14:schemeClr w14:val="tx1"/>
                  </w14:solidFill>
                </w14:textFill>
              </w:rPr>
              <w:t>日</w:t>
            </w:r>
            <w:r>
              <w:rPr>
                <w:rFonts w:hint="eastAsia" w:eastAsia="宋体"/>
                <w:color w:val="000000" w:themeColor="text1"/>
                <w:kern w:val="0"/>
                <w:sz w:val="24"/>
                <w:szCs w:val="24"/>
                <w14:textFill>
                  <w14:solidFill>
                    <w14:schemeClr w14:val="tx1"/>
                  </w14:solidFill>
                </w14:textFill>
              </w:rPr>
              <w:t>—12月13日</w:t>
            </w:r>
            <w:r>
              <w:rPr>
                <w:rFonts w:eastAsia="宋体"/>
                <w:color w:val="000000" w:themeColor="text1"/>
                <w:kern w:val="0"/>
                <w:sz w:val="24"/>
                <w:szCs w:val="24"/>
                <w14:textFill>
                  <w14:solidFill>
                    <w14:schemeClr w14:val="tx1"/>
                  </w14:solidFill>
                </w14:textFill>
              </w:rPr>
              <w:t>进行连续三天</w:t>
            </w:r>
            <w:r>
              <w:rPr>
                <w:rFonts w:hint="eastAsia" w:eastAsia="宋体"/>
                <w:color w:val="000000" w:themeColor="text1"/>
                <w:kern w:val="0"/>
                <w:sz w:val="24"/>
                <w:szCs w:val="24"/>
                <w14:textFill>
                  <w14:solidFill>
                    <w14:schemeClr w14:val="tx1"/>
                  </w14:solidFill>
                </w14:textFill>
              </w:rPr>
              <w:t>TSP及非甲烷总烃的</w:t>
            </w:r>
            <w:r>
              <w:rPr>
                <w:rFonts w:eastAsia="宋体"/>
                <w:color w:val="000000" w:themeColor="text1"/>
                <w:kern w:val="0"/>
                <w:sz w:val="24"/>
                <w:szCs w:val="24"/>
                <w14:textFill>
                  <w14:solidFill>
                    <w14:schemeClr w14:val="tx1"/>
                  </w14:solidFill>
                </w14:textFill>
              </w:rPr>
              <w:t>监测</w:t>
            </w:r>
            <w:r>
              <w:rPr>
                <w:rFonts w:hint="eastAsia" w:eastAsia="宋体"/>
                <w:color w:val="000000" w:themeColor="text1"/>
                <w:kern w:val="0"/>
                <w:sz w:val="24"/>
                <w:szCs w:val="24"/>
                <w14:textFill>
                  <w14:solidFill>
                    <w14:schemeClr w14:val="tx1"/>
                  </w14:solidFill>
                </w14:textFill>
              </w:rPr>
              <w:t>情况（监测报告见</w:t>
            </w:r>
            <w:r>
              <w:rPr>
                <w:rFonts w:hint="eastAsia" w:eastAsia="宋体"/>
                <w:b/>
                <w:bCs/>
                <w:color w:val="000000" w:themeColor="text1"/>
                <w:kern w:val="0"/>
                <w:sz w:val="24"/>
                <w:szCs w:val="24"/>
                <w14:textFill>
                  <w14:solidFill>
                    <w14:schemeClr w14:val="tx1"/>
                  </w14:solidFill>
                </w14:textFill>
              </w:rPr>
              <w:t>附件</w:t>
            </w:r>
            <w:r>
              <w:rPr>
                <w:rFonts w:hint="eastAsia" w:eastAsia="宋体"/>
                <w:b/>
                <w:bCs/>
                <w:color w:val="000000" w:themeColor="text1"/>
                <w:kern w:val="0"/>
                <w:sz w:val="24"/>
                <w:szCs w:val="24"/>
                <w:lang w:val="en-US" w:eastAsia="zh-CN"/>
                <w14:textFill>
                  <w14:solidFill>
                    <w14:schemeClr w14:val="tx1"/>
                  </w14:solidFill>
                </w14:textFill>
              </w:rPr>
              <w:t>10</w:t>
            </w:r>
            <w:r>
              <w:rPr>
                <w:rFonts w:hint="eastAsia" w:eastAsia="宋体"/>
                <w:color w:val="000000" w:themeColor="text1"/>
                <w:kern w:val="0"/>
                <w:sz w:val="24"/>
                <w:szCs w:val="24"/>
                <w14:textFill>
                  <w14:solidFill>
                    <w14:schemeClr w14:val="tx1"/>
                  </w14:solidFill>
                </w14:textFill>
              </w:rPr>
              <w:t>，中佰检字[2025]-11391）</w:t>
            </w:r>
            <w:bookmarkEnd w:id="40"/>
            <w:r>
              <w:rPr>
                <w:rFonts w:eastAsia="宋体"/>
                <w:color w:val="000000" w:themeColor="text1"/>
                <w:kern w:val="0"/>
                <w:sz w:val="24"/>
                <w:szCs w:val="24"/>
                <w14:textFill>
                  <w14:solidFill>
                    <w14:schemeClr w14:val="tx1"/>
                  </w14:solidFill>
                </w14:textFill>
              </w:rPr>
              <w:t>，</w:t>
            </w:r>
            <w:bookmarkEnd w:id="38"/>
            <w:r>
              <w:rPr>
                <w:rFonts w:hint="eastAsia" w:eastAsia="宋体"/>
                <w:color w:val="000000" w:themeColor="text1"/>
                <w:kern w:val="0"/>
                <w:sz w:val="24"/>
                <w:szCs w:val="24"/>
                <w14:textFill>
                  <w14:solidFill>
                    <w14:schemeClr w14:val="tx1"/>
                  </w14:solidFill>
                </w14:textFill>
              </w:rPr>
              <w:t>监测结果见表3-2。监测点位详见附图</w:t>
            </w:r>
            <w:r>
              <w:rPr>
                <w:rFonts w:hint="eastAsia" w:eastAsia="宋体"/>
                <w:color w:val="000000" w:themeColor="text1"/>
                <w:kern w:val="0"/>
                <w:sz w:val="24"/>
                <w:szCs w:val="24"/>
                <w:lang w:val="en-US" w:eastAsia="zh-CN"/>
                <w14:textFill>
                  <w14:solidFill>
                    <w14:schemeClr w14:val="tx1"/>
                  </w14:solidFill>
                </w14:textFill>
              </w:rPr>
              <w:t>8</w:t>
            </w:r>
            <w:r>
              <w:rPr>
                <w:rFonts w:hint="eastAsia" w:eastAsia="宋体"/>
                <w:color w:val="000000" w:themeColor="text1"/>
                <w:kern w:val="0"/>
                <w:sz w:val="24"/>
                <w:szCs w:val="24"/>
                <w14:textFill>
                  <w14:solidFill>
                    <w14:schemeClr w14:val="tx1"/>
                  </w14:solidFill>
                </w14:textFill>
              </w:rPr>
              <w:t>。</w:t>
            </w:r>
          </w:p>
          <w:p w14:paraId="2C11C59B">
            <w:pPr>
              <w:ind w:firstLine="422" w:firstLineChars="200"/>
              <w:jc w:val="center"/>
              <w:rPr>
                <w:b/>
                <w:color w:val="000000" w:themeColor="text1"/>
                <w:kern w:val="0"/>
                <w:szCs w:val="20"/>
                <w14:textFill>
                  <w14:solidFill>
                    <w14:schemeClr w14:val="tx1"/>
                  </w14:solidFill>
                </w14:textFill>
              </w:rPr>
            </w:pPr>
            <w:r>
              <w:rPr>
                <w:b/>
                <w:color w:val="000000" w:themeColor="text1"/>
                <w:kern w:val="0"/>
                <w:szCs w:val="20"/>
                <w14:textFill>
                  <w14:solidFill>
                    <w14:schemeClr w14:val="tx1"/>
                  </w14:solidFill>
                </w14:textFill>
              </w:rPr>
              <w:t>表3</w:t>
            </w:r>
            <w:r>
              <w:rPr>
                <w:rFonts w:hint="eastAsia"/>
                <w:b/>
                <w:color w:val="000000" w:themeColor="text1"/>
                <w:kern w:val="0"/>
                <w:szCs w:val="20"/>
                <w14:textFill>
                  <w14:solidFill>
                    <w14:schemeClr w14:val="tx1"/>
                  </w14:solidFill>
                </w14:textFill>
              </w:rPr>
              <w:t>-2  环境</w:t>
            </w:r>
            <w:r>
              <w:rPr>
                <w:b/>
                <w:color w:val="000000" w:themeColor="text1"/>
                <w:kern w:val="0"/>
                <w:szCs w:val="20"/>
                <w14:textFill>
                  <w14:solidFill>
                    <w14:schemeClr w14:val="tx1"/>
                  </w14:solidFill>
                </w14:textFill>
              </w:rPr>
              <w:t>空气质量现状</w:t>
            </w:r>
            <w:r>
              <w:rPr>
                <w:rFonts w:hint="eastAsia"/>
                <w:b/>
                <w:color w:val="000000" w:themeColor="text1"/>
                <w:kern w:val="0"/>
                <w:szCs w:val="20"/>
                <w14:textFill>
                  <w14:solidFill>
                    <w14:schemeClr w14:val="tx1"/>
                  </w14:solidFill>
                </w14:textFill>
              </w:rPr>
              <w:t>监测结果一览表（日均值） 单位：mg/m</w:t>
            </w:r>
            <w:r>
              <w:rPr>
                <w:rFonts w:hint="eastAsia"/>
                <w:b/>
                <w:color w:val="000000" w:themeColor="text1"/>
                <w:kern w:val="0"/>
                <w:szCs w:val="20"/>
                <w:vertAlign w:val="superscript"/>
                <w14:textFill>
                  <w14:solidFill>
                    <w14:schemeClr w14:val="tx1"/>
                  </w14:solidFill>
                </w14:textFill>
              </w:rPr>
              <w:t>3</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860"/>
              <w:gridCol w:w="2253"/>
              <w:gridCol w:w="1864"/>
              <w:gridCol w:w="1854"/>
            </w:tblGrid>
            <w:tr w14:paraId="3885F7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396" w:type="pct"/>
                  <w:tcBorders>
                    <w:top w:val="single" w:color="auto" w:sz="6" w:space="0"/>
                    <w:bottom w:val="single" w:color="auto" w:sz="6" w:space="0"/>
                    <w:right w:val="single" w:color="auto" w:sz="4" w:space="0"/>
                  </w:tcBorders>
                  <w:vAlign w:val="center"/>
                </w:tcPr>
                <w:p w14:paraId="156CABAE">
                  <w:pPr>
                    <w:jc w:val="center"/>
                    <w:rPr>
                      <w:b/>
                      <w:bCs/>
                      <w:color w:val="000000" w:themeColor="text1"/>
                      <w:spacing w:val="-5"/>
                      <w:szCs w:val="21"/>
                      <w:lang w:bidi="he-IL"/>
                      <w14:textFill>
                        <w14:solidFill>
                          <w14:schemeClr w14:val="tx1"/>
                        </w14:solidFill>
                      </w14:textFill>
                    </w:rPr>
                  </w:pPr>
                  <w:r>
                    <w:rPr>
                      <w:b/>
                      <w:bCs/>
                      <w:color w:val="000000" w:themeColor="text1"/>
                      <w:szCs w:val="21"/>
                      <w14:textFill>
                        <w14:solidFill>
                          <w14:schemeClr w14:val="tx1"/>
                        </w14:solidFill>
                      </w14:textFill>
                    </w:rPr>
                    <w:t>检测点位</w:t>
                  </w:r>
                </w:p>
              </w:tc>
              <w:tc>
                <w:tcPr>
                  <w:tcW w:w="1093" w:type="pct"/>
                  <w:tcBorders>
                    <w:top w:val="single" w:color="auto" w:sz="6" w:space="0"/>
                    <w:left w:val="single" w:color="auto" w:sz="4" w:space="0"/>
                    <w:bottom w:val="single" w:color="auto" w:sz="6" w:space="0"/>
                  </w:tcBorders>
                  <w:vAlign w:val="center"/>
                </w:tcPr>
                <w:p w14:paraId="13D269B1">
                  <w:pPr>
                    <w:jc w:val="center"/>
                    <w:rPr>
                      <w:b/>
                      <w:bCs/>
                      <w:color w:val="000000" w:themeColor="text1"/>
                      <w:spacing w:val="-5"/>
                      <w:szCs w:val="21"/>
                      <w:lang w:bidi="he-IL"/>
                      <w14:textFill>
                        <w14:solidFill>
                          <w14:schemeClr w14:val="tx1"/>
                        </w14:solidFill>
                      </w14:textFill>
                    </w:rPr>
                  </w:pPr>
                  <w:r>
                    <w:rPr>
                      <w:b/>
                      <w:bCs/>
                      <w:color w:val="000000" w:themeColor="text1"/>
                      <w:szCs w:val="21"/>
                      <w14:textFill>
                        <w14:solidFill>
                          <w14:schemeClr w14:val="tx1"/>
                        </w14:solidFill>
                      </w14:textFill>
                    </w:rPr>
                    <w:t>采样时间</w:t>
                  </w:r>
                </w:p>
              </w:tc>
              <w:tc>
                <w:tcPr>
                  <w:tcW w:w="1324" w:type="pct"/>
                  <w:vAlign w:val="center"/>
                </w:tcPr>
                <w:p w14:paraId="3D5D3E3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样品编号</w:t>
                  </w:r>
                </w:p>
              </w:tc>
              <w:tc>
                <w:tcPr>
                  <w:tcW w:w="1095" w:type="pct"/>
                  <w:vAlign w:val="center"/>
                </w:tcPr>
                <w:p w14:paraId="40E45401">
                  <w:pPr>
                    <w:widowControl/>
                    <w:ind w:firstLine="211" w:firstLineChars="100"/>
                    <w:jc w:val="left"/>
                    <w:textAlignment w:val="center"/>
                    <w:rPr>
                      <w:b/>
                      <w:bCs/>
                      <w:color w:val="000000" w:themeColor="text1"/>
                      <w14:textFill>
                        <w14:solidFill>
                          <w14:schemeClr w14:val="tx1"/>
                        </w14:solidFill>
                      </w14:textFill>
                    </w:rPr>
                  </w:pPr>
                  <w:r>
                    <w:rPr>
                      <w:b/>
                      <w:bCs/>
                      <w:color w:val="000000" w:themeColor="text1"/>
                      <w14:textFill>
                        <w14:solidFill>
                          <w14:schemeClr w14:val="tx1"/>
                        </w14:solidFill>
                      </w14:textFill>
                    </w:rPr>
                    <w:t>TSP（μg/m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p w14:paraId="2EDC9877">
                  <w:pPr>
                    <w:pStyle w:val="5"/>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检测结果</w:t>
                  </w:r>
                </w:p>
              </w:tc>
              <w:tc>
                <w:tcPr>
                  <w:tcW w:w="1089" w:type="pct"/>
                  <w:vAlign w:val="center"/>
                </w:tcPr>
                <w:p w14:paraId="58B76FCB">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标准值（μg/m</w:t>
                  </w:r>
                  <w:r>
                    <w:rPr>
                      <w:b/>
                      <w:bCs/>
                      <w:color w:val="000000" w:themeColor="text1"/>
                      <w:spacing w:val="-6"/>
                      <w:szCs w:val="21"/>
                      <w:vertAlign w:val="superscript"/>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日均值</w:t>
                  </w:r>
                </w:p>
              </w:tc>
            </w:tr>
            <w:tr w14:paraId="0AE9DC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396" w:type="pct"/>
                  <w:vMerge w:val="restart"/>
                  <w:tcBorders>
                    <w:top w:val="single" w:color="auto" w:sz="6" w:space="0"/>
                    <w:right w:val="single" w:color="auto" w:sz="4" w:space="0"/>
                  </w:tcBorders>
                  <w:vAlign w:val="center"/>
                </w:tcPr>
                <w:p w14:paraId="6E22A9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厂界下风向</w:t>
                  </w:r>
                </w:p>
              </w:tc>
              <w:tc>
                <w:tcPr>
                  <w:tcW w:w="1093" w:type="pct"/>
                  <w:tcBorders>
                    <w:top w:val="single" w:color="auto" w:sz="6" w:space="0"/>
                    <w:left w:val="single" w:color="auto" w:sz="4" w:space="0"/>
                  </w:tcBorders>
                  <w:vAlign w:val="center"/>
                </w:tcPr>
                <w:p w14:paraId="2FE06199">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2025.12.11</w:t>
                  </w:r>
                </w:p>
              </w:tc>
              <w:tc>
                <w:tcPr>
                  <w:tcW w:w="2253" w:type="dxa"/>
                  <w:vAlign w:val="center"/>
                </w:tcPr>
                <w:p w14:paraId="527F0E8B">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Q251211L2-01</w:t>
                  </w:r>
                </w:p>
              </w:tc>
              <w:tc>
                <w:tcPr>
                  <w:tcW w:w="1864" w:type="dxa"/>
                  <w:vAlign w:val="center"/>
                </w:tcPr>
                <w:p w14:paraId="116197DF">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112</w:t>
                  </w:r>
                </w:p>
              </w:tc>
              <w:tc>
                <w:tcPr>
                  <w:tcW w:w="1089" w:type="pct"/>
                  <w:vAlign w:val="center"/>
                </w:tcPr>
                <w:p w14:paraId="1B68EB1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16FCC9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96" w:type="pct"/>
                  <w:vMerge w:val="continue"/>
                  <w:tcBorders>
                    <w:right w:val="single" w:color="auto" w:sz="4" w:space="0"/>
                  </w:tcBorders>
                  <w:vAlign w:val="center"/>
                </w:tcPr>
                <w:p w14:paraId="62A9762B">
                  <w:pPr>
                    <w:jc w:val="center"/>
                    <w:rPr>
                      <w:color w:val="000000" w:themeColor="text1"/>
                      <w:szCs w:val="21"/>
                      <w14:textFill>
                        <w14:solidFill>
                          <w14:schemeClr w14:val="tx1"/>
                        </w14:solidFill>
                      </w14:textFill>
                    </w:rPr>
                  </w:pPr>
                </w:p>
              </w:tc>
              <w:tc>
                <w:tcPr>
                  <w:tcW w:w="1093" w:type="pct"/>
                  <w:tcBorders>
                    <w:left w:val="single" w:color="auto" w:sz="4" w:space="0"/>
                  </w:tcBorders>
                  <w:vAlign w:val="center"/>
                </w:tcPr>
                <w:p w14:paraId="4C83F542">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2025.12.12</w:t>
                  </w:r>
                </w:p>
              </w:tc>
              <w:tc>
                <w:tcPr>
                  <w:tcW w:w="2253" w:type="dxa"/>
                  <w:vAlign w:val="center"/>
                </w:tcPr>
                <w:p w14:paraId="2A5F9828">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Q251212L2-01</w:t>
                  </w:r>
                </w:p>
              </w:tc>
              <w:tc>
                <w:tcPr>
                  <w:tcW w:w="1864" w:type="dxa"/>
                  <w:vAlign w:val="center"/>
                </w:tcPr>
                <w:p w14:paraId="5BB137DC">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122</w:t>
                  </w:r>
                </w:p>
              </w:tc>
              <w:tc>
                <w:tcPr>
                  <w:tcW w:w="1089" w:type="pct"/>
                  <w:vAlign w:val="center"/>
                </w:tcPr>
                <w:p w14:paraId="2465B61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r w14:paraId="4765E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396" w:type="pct"/>
                  <w:vMerge w:val="continue"/>
                  <w:tcBorders>
                    <w:right w:val="single" w:color="auto" w:sz="4" w:space="0"/>
                  </w:tcBorders>
                  <w:vAlign w:val="center"/>
                </w:tcPr>
                <w:p w14:paraId="65E941C6">
                  <w:pPr>
                    <w:jc w:val="center"/>
                    <w:rPr>
                      <w:color w:val="000000" w:themeColor="text1"/>
                      <w:szCs w:val="21"/>
                      <w14:textFill>
                        <w14:solidFill>
                          <w14:schemeClr w14:val="tx1"/>
                        </w14:solidFill>
                      </w14:textFill>
                    </w:rPr>
                  </w:pPr>
                </w:p>
              </w:tc>
              <w:tc>
                <w:tcPr>
                  <w:tcW w:w="1093" w:type="pct"/>
                  <w:tcBorders>
                    <w:left w:val="single" w:color="auto" w:sz="4" w:space="0"/>
                  </w:tcBorders>
                  <w:vAlign w:val="center"/>
                </w:tcPr>
                <w:p w14:paraId="6E55A19A">
                  <w:pPr>
                    <w:jc w:val="center"/>
                    <w:rPr>
                      <w:bCs/>
                      <w:color w:val="000000" w:themeColor="text1"/>
                      <w:spacing w:val="-5"/>
                      <w:szCs w:val="21"/>
                      <w:lang w:bidi="he-IL"/>
                      <w14:textFill>
                        <w14:solidFill>
                          <w14:schemeClr w14:val="tx1"/>
                        </w14:solidFill>
                      </w14:textFill>
                    </w:rPr>
                  </w:pPr>
                  <w:r>
                    <w:rPr>
                      <w:rFonts w:hint="eastAsia"/>
                      <w:bCs/>
                      <w:color w:val="000000" w:themeColor="text1"/>
                      <w:szCs w:val="21"/>
                      <w14:textFill>
                        <w14:solidFill>
                          <w14:schemeClr w14:val="tx1"/>
                        </w14:solidFill>
                      </w14:textFill>
                    </w:rPr>
                    <w:t>2025.12.13</w:t>
                  </w:r>
                </w:p>
              </w:tc>
              <w:tc>
                <w:tcPr>
                  <w:tcW w:w="2253" w:type="dxa"/>
                  <w:vAlign w:val="center"/>
                </w:tcPr>
                <w:p w14:paraId="2F0A39C5">
                  <w:pPr>
                    <w:jc w:val="center"/>
                    <w:rPr>
                      <w:color w:val="000000" w:themeColor="text1"/>
                      <w:spacing w:val="-5"/>
                      <w:szCs w:val="21"/>
                      <w:highlight w:val="yellow"/>
                      <w:lang w:bidi="he-IL"/>
                      <w14:textFill>
                        <w14:solidFill>
                          <w14:schemeClr w14:val="tx1"/>
                        </w14:solidFill>
                      </w14:textFill>
                    </w:rPr>
                  </w:pPr>
                  <w:r>
                    <w:rPr>
                      <w:rFonts w:hint="eastAsia"/>
                      <w:color w:val="000000" w:themeColor="text1"/>
                      <w:szCs w:val="21"/>
                      <w14:textFill>
                        <w14:solidFill>
                          <w14:schemeClr w14:val="tx1"/>
                        </w14:solidFill>
                      </w14:textFill>
                    </w:rPr>
                    <w:t>Q251213L2-01</w:t>
                  </w:r>
                </w:p>
              </w:tc>
              <w:tc>
                <w:tcPr>
                  <w:tcW w:w="1864" w:type="dxa"/>
                  <w:vAlign w:val="center"/>
                </w:tcPr>
                <w:p w14:paraId="523AF347">
                  <w:pPr>
                    <w:jc w:val="center"/>
                    <w:rPr>
                      <w:bCs/>
                      <w:color w:val="000000" w:themeColor="text1"/>
                      <w:szCs w:val="21"/>
                      <w:highlight w:val="yellow"/>
                      <w14:textFill>
                        <w14:solidFill>
                          <w14:schemeClr w14:val="tx1"/>
                        </w14:solidFill>
                      </w14:textFill>
                    </w:rPr>
                  </w:pPr>
                  <w:r>
                    <w:rPr>
                      <w:rFonts w:hint="eastAsia"/>
                      <w:bCs/>
                      <w:color w:val="000000" w:themeColor="text1"/>
                      <w:spacing w:val="-5"/>
                      <w:szCs w:val="21"/>
                      <w:lang w:bidi="he-IL"/>
                      <w14:textFill>
                        <w14:solidFill>
                          <w14:schemeClr w14:val="tx1"/>
                        </w14:solidFill>
                      </w14:textFill>
                    </w:rPr>
                    <w:t>105</w:t>
                  </w:r>
                </w:p>
              </w:tc>
              <w:tc>
                <w:tcPr>
                  <w:tcW w:w="1089" w:type="pct"/>
                  <w:vAlign w:val="center"/>
                </w:tcPr>
                <w:p w14:paraId="139E0F87">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r>
          </w:tbl>
          <w:p w14:paraId="2E482655">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根据监测数据可知，区域TSP现状质量浓度能达到《环境空气质量标准》（GB3095-2012）二级标准的要求，</w:t>
            </w:r>
            <w:r>
              <w:rPr>
                <w:color w:val="000000" w:themeColor="text1"/>
                <w:kern w:val="0"/>
                <w:sz w:val="24"/>
                <w14:textFill>
                  <w14:solidFill>
                    <w14:schemeClr w14:val="tx1"/>
                  </w14:solidFill>
                </w14:textFill>
              </w:rPr>
              <w:t>为环境空气质量达标区</w:t>
            </w:r>
            <w:r>
              <w:rPr>
                <w:rFonts w:hint="eastAsia"/>
                <w:color w:val="000000" w:themeColor="text1"/>
                <w:kern w:val="0"/>
                <w:sz w:val="24"/>
                <w14:textFill>
                  <w14:solidFill>
                    <w14:schemeClr w14:val="tx1"/>
                  </w14:solidFill>
                </w14:textFill>
              </w:rPr>
              <w:t>。</w:t>
            </w:r>
          </w:p>
          <w:p w14:paraId="3ACC72FE">
            <w:pPr>
              <w:spacing w:line="360" w:lineRule="auto"/>
              <w:ind w:firstLine="472" w:firstLineChars="196"/>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2、地表水环境质量现状</w:t>
            </w:r>
          </w:p>
          <w:p w14:paraId="11671A93">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地表水环境质量标准</w:t>
            </w:r>
          </w:p>
          <w:p w14:paraId="6DEBCA65">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项目所在区域的最近地表水体为</w:t>
            </w:r>
            <w:r>
              <w:rPr>
                <w:rFonts w:hint="eastAsia"/>
                <w:color w:val="000000" w:themeColor="text1"/>
                <w:sz w:val="24"/>
                <w14:textFill>
                  <w14:solidFill>
                    <w14:schemeClr w14:val="tx1"/>
                  </w14:solidFill>
                </w14:textFill>
              </w:rPr>
              <w:t>东侧约1980</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处的牛栏江</w:t>
            </w:r>
            <w:r>
              <w:rPr>
                <w:color w:val="000000" w:themeColor="text1"/>
                <w:sz w:val="24"/>
                <w14:textFill>
                  <w14:solidFill>
                    <w14:schemeClr w14:val="tx1"/>
                  </w14:solidFill>
                </w14:textFill>
              </w:rPr>
              <w:t>，由寻甸县河源至沾益县德泽水库坝址，全长161.5km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属长江流域金沙江水系</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w:t>
            </w:r>
            <w:bookmarkStart w:id="42" w:name="_Hlk177210907"/>
            <w:r>
              <w:rPr>
                <w:rFonts w:hint="eastAsia"/>
                <w:color w:val="000000" w:themeColor="text1"/>
                <w:sz w:val="24"/>
                <w14:textFill>
                  <w14:solidFill>
                    <w14:schemeClr w14:val="tx1"/>
                  </w14:solidFill>
                </w14:textFill>
              </w:rPr>
              <w:t>《昆明市和滇中产业新区水功能区划》</w:t>
            </w:r>
            <w:bookmarkEnd w:id="42"/>
            <w:r>
              <w:rPr>
                <w:rFonts w:hint="eastAsia"/>
                <w:color w:val="000000" w:themeColor="text1"/>
                <w:sz w:val="24"/>
                <w14:textFill>
                  <w14:solidFill>
                    <w14:schemeClr w14:val="tx1"/>
                  </w14:solidFill>
                </w14:textFill>
              </w:rPr>
              <w:t>（2011-2030）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w:t>
            </w:r>
            <w:r>
              <w:rPr>
                <w:color w:val="000000" w:themeColor="text1"/>
                <w:sz w:val="24"/>
                <w14:textFill>
                  <w14:solidFill>
                    <w14:schemeClr w14:val="tx1"/>
                  </w14:solidFill>
                </w14:textFill>
              </w:rPr>
              <w:t>规划水平年水质目标为Ⅲ类</w:t>
            </w:r>
            <w:r>
              <w:rPr>
                <w:rFonts w:hint="eastAsia"/>
                <w:color w:val="000000" w:themeColor="text1"/>
                <w:sz w:val="24"/>
                <w14:textFill>
                  <w14:solidFill>
                    <w14:schemeClr w14:val="tx1"/>
                  </w14:solidFill>
                </w14:textFill>
              </w:rPr>
              <w:t>，其中七星桥水文站断</w:t>
            </w:r>
            <w:r>
              <w:rPr>
                <w:color w:val="000000" w:themeColor="text1"/>
                <w:sz w:val="24"/>
                <w14:textFill>
                  <w14:solidFill>
                    <w14:schemeClr w14:val="tx1"/>
                  </w14:solidFill>
                </w14:textFill>
              </w:rPr>
              <w:t>面执行《地表水环境质量标准》（GB3838-2002）中</w:t>
            </w:r>
            <w:r>
              <w:rPr>
                <w:bCs/>
                <w:color w:val="000000" w:themeColor="text1"/>
                <w:sz w:val="24"/>
                <w14:textFill>
                  <w14:solidFill>
                    <w14:schemeClr w14:val="tx1"/>
                  </w14:solidFill>
                </w14:textFill>
              </w:rPr>
              <w:t>Ⅲ</w:t>
            </w:r>
            <w:r>
              <w:rPr>
                <w:color w:val="000000" w:themeColor="text1"/>
                <w:sz w:val="24"/>
                <w14:textFill>
                  <w14:solidFill>
                    <w14:schemeClr w14:val="tx1"/>
                  </w14:solidFill>
                </w14:textFill>
              </w:rPr>
              <w:t>类水质标准</w:t>
            </w:r>
            <w:r>
              <w:rPr>
                <w:color w:val="000000" w:themeColor="text1"/>
                <w:kern w:val="0"/>
                <w:sz w:val="24"/>
                <w14:textFill>
                  <w14:solidFill>
                    <w14:schemeClr w14:val="tx1"/>
                  </w14:solidFill>
                </w14:textFill>
              </w:rPr>
              <w:t>。标准值见表3-3。</w:t>
            </w:r>
          </w:p>
          <w:p w14:paraId="66B7633E">
            <w:pPr>
              <w:ind w:firstLine="422" w:firstLineChars="200"/>
              <w:jc w:val="center"/>
              <w:rPr>
                <w:b/>
                <w:color w:val="000000" w:themeColor="text1"/>
                <w:kern w:val="0"/>
                <w:szCs w:val="20"/>
                <w14:textFill>
                  <w14:solidFill>
                    <w14:schemeClr w14:val="tx1"/>
                  </w14:solidFill>
                </w14:textFill>
              </w:rPr>
            </w:pPr>
            <w:r>
              <w:rPr>
                <w:b/>
                <w:color w:val="000000" w:themeColor="text1"/>
                <w:kern w:val="0"/>
                <w:szCs w:val="20"/>
                <w14:textFill>
                  <w14:solidFill>
                    <w14:schemeClr w14:val="tx1"/>
                  </w14:solidFill>
                </w14:textFill>
              </w:rPr>
              <w:t>表3-3  地表水环境质量标准  单位：mg/L</w:t>
            </w:r>
          </w:p>
          <w:tbl>
            <w:tblPr>
              <w:tblStyle w:val="23"/>
              <w:tblpPr w:leftFromText="180" w:rightFromText="180" w:vertAnchor="text" w:horzAnchor="page" w:tblpX="84" w:tblpY="273"/>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487"/>
              <w:gridCol w:w="1086"/>
              <w:gridCol w:w="931"/>
              <w:gridCol w:w="1560"/>
              <w:gridCol w:w="1086"/>
              <w:gridCol w:w="922"/>
            </w:tblGrid>
            <w:tr w14:paraId="1B59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130C64F0">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04E582CA">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pH（无量纲）</w:t>
                  </w:r>
                </w:p>
              </w:tc>
              <w:tc>
                <w:tcPr>
                  <w:tcW w:w="638" w:type="pct"/>
                  <w:vAlign w:val="center"/>
                </w:tcPr>
                <w:p w14:paraId="486A1BF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r>
                    <w:rPr>
                      <w:b/>
                      <w:bCs/>
                      <w:color w:val="000000" w:themeColor="text1"/>
                      <w:szCs w:val="21"/>
                      <w:vertAlign w:val="subscript"/>
                      <w14:textFill>
                        <w14:solidFill>
                          <w14:schemeClr w14:val="tx1"/>
                        </w14:solidFill>
                      </w14:textFill>
                    </w:rPr>
                    <w:t>Cr</w:t>
                  </w:r>
                </w:p>
              </w:tc>
              <w:tc>
                <w:tcPr>
                  <w:tcW w:w="547" w:type="pct"/>
                  <w:vAlign w:val="center"/>
                </w:tcPr>
                <w:p w14:paraId="492A2AF3">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917" w:type="pct"/>
                  <w:vAlign w:val="center"/>
                </w:tcPr>
                <w:p w14:paraId="65FF5C5B">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c>
                <w:tcPr>
                  <w:tcW w:w="638" w:type="pct"/>
                  <w:vAlign w:val="center"/>
                </w:tcPr>
                <w:p w14:paraId="68A5B1D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石油类</w:t>
                  </w:r>
                </w:p>
              </w:tc>
              <w:tc>
                <w:tcPr>
                  <w:tcW w:w="542" w:type="pct"/>
                  <w:vAlign w:val="center"/>
                </w:tcPr>
                <w:p w14:paraId="7D82917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r>
            <w:tr w14:paraId="4C29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2D79471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26760B80">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638" w:type="pct"/>
                  <w:vAlign w:val="center"/>
                </w:tcPr>
                <w:p w14:paraId="39AEDE1E">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547" w:type="pct"/>
                  <w:vAlign w:val="center"/>
                </w:tcPr>
                <w:p w14:paraId="4777D6B8">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917" w:type="pct"/>
                  <w:vAlign w:val="center"/>
                </w:tcPr>
                <w:p w14:paraId="61A5F67A">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p w14:paraId="01118E01">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（湖、库0.05）</w:t>
                  </w:r>
                </w:p>
              </w:tc>
              <w:tc>
                <w:tcPr>
                  <w:tcW w:w="638" w:type="pct"/>
                  <w:vAlign w:val="center"/>
                </w:tcPr>
                <w:p w14:paraId="467840AE">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2" w:type="pct"/>
                  <w:vAlign w:val="center"/>
                </w:tcPr>
                <w:p w14:paraId="6BE0DFF8">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30D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52DDF77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58FFFB89">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汞</w:t>
                  </w:r>
                </w:p>
              </w:tc>
              <w:tc>
                <w:tcPr>
                  <w:tcW w:w="638" w:type="pct"/>
                  <w:vAlign w:val="center"/>
                </w:tcPr>
                <w:p w14:paraId="74946642">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砷</w:t>
                  </w:r>
                </w:p>
              </w:tc>
              <w:tc>
                <w:tcPr>
                  <w:tcW w:w="547" w:type="pct"/>
                  <w:vAlign w:val="center"/>
                </w:tcPr>
                <w:p w14:paraId="27A909DA">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六价铬</w:t>
                  </w:r>
                </w:p>
              </w:tc>
              <w:tc>
                <w:tcPr>
                  <w:tcW w:w="917" w:type="pct"/>
                  <w:vAlign w:val="center"/>
                </w:tcPr>
                <w:p w14:paraId="3A9B912E">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铁</w:t>
                  </w:r>
                </w:p>
              </w:tc>
              <w:tc>
                <w:tcPr>
                  <w:tcW w:w="638" w:type="pct"/>
                  <w:vAlign w:val="center"/>
                </w:tcPr>
                <w:p w14:paraId="16130D2C">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铅</w:t>
                  </w:r>
                </w:p>
              </w:tc>
              <w:tc>
                <w:tcPr>
                  <w:tcW w:w="542" w:type="pct"/>
                  <w:vAlign w:val="center"/>
                </w:tcPr>
                <w:p w14:paraId="552F4A93">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锰</w:t>
                  </w:r>
                </w:p>
              </w:tc>
            </w:tr>
            <w:tr w14:paraId="4BA7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0A3F6244">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192C6C7D">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638" w:type="pct"/>
                  <w:vAlign w:val="center"/>
                </w:tcPr>
                <w:p w14:paraId="6A06C1EC">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7" w:type="pct"/>
                  <w:vAlign w:val="center"/>
                </w:tcPr>
                <w:p w14:paraId="767A995B">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17" w:type="pct"/>
                  <w:vAlign w:val="center"/>
                </w:tcPr>
                <w:p w14:paraId="3472CD1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638" w:type="pct"/>
                  <w:vAlign w:val="center"/>
                </w:tcPr>
                <w:p w14:paraId="20A9F66B">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542" w:type="pct"/>
                  <w:vAlign w:val="center"/>
                </w:tcPr>
                <w:p w14:paraId="7C235E09">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r>
            <w:tr w14:paraId="3E2F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7219D092">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874" w:type="pct"/>
                  <w:vAlign w:val="center"/>
                </w:tcPr>
                <w:p w14:paraId="47C5A916">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镉</w:t>
                  </w:r>
                </w:p>
              </w:tc>
              <w:tc>
                <w:tcPr>
                  <w:tcW w:w="638" w:type="pct"/>
                  <w:vAlign w:val="center"/>
                </w:tcPr>
                <w:p w14:paraId="0B131F15">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锌</w:t>
                  </w:r>
                </w:p>
              </w:tc>
              <w:tc>
                <w:tcPr>
                  <w:tcW w:w="547" w:type="pct"/>
                  <w:vAlign w:val="center"/>
                </w:tcPr>
                <w:p w14:paraId="15F2A5A1">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硫化物</w:t>
                  </w:r>
                </w:p>
              </w:tc>
              <w:tc>
                <w:tcPr>
                  <w:tcW w:w="917" w:type="pct"/>
                  <w:vAlign w:val="center"/>
                </w:tcPr>
                <w:p w14:paraId="1E25F314">
                  <w:pPr>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氟化物</w:t>
                  </w:r>
                </w:p>
              </w:tc>
              <w:tc>
                <w:tcPr>
                  <w:tcW w:w="638" w:type="pct"/>
                  <w:vAlign w:val="center"/>
                </w:tcPr>
                <w:p w14:paraId="25F6209E">
                  <w:pPr>
                    <w:autoSpaceDE w:val="0"/>
                    <w:autoSpaceDN w:val="0"/>
                    <w:adjustRightInd w:val="0"/>
                    <w:snapToGrid w:val="0"/>
                    <w:jc w:val="center"/>
                    <w:textAlignment w:val="baseline"/>
                    <w:rPr>
                      <w:b/>
                      <w:bCs/>
                      <w:color w:val="000000" w:themeColor="text1"/>
                      <w:szCs w:val="21"/>
                      <w14:textFill>
                        <w14:solidFill>
                          <w14:schemeClr w14:val="tx1"/>
                        </w14:solidFill>
                      </w14:textFill>
                    </w:rPr>
                  </w:pPr>
                </w:p>
              </w:tc>
              <w:tc>
                <w:tcPr>
                  <w:tcW w:w="542" w:type="pct"/>
                  <w:vAlign w:val="center"/>
                </w:tcPr>
                <w:p w14:paraId="0678FCFD">
                  <w:pPr>
                    <w:autoSpaceDE w:val="0"/>
                    <w:autoSpaceDN w:val="0"/>
                    <w:adjustRightInd w:val="0"/>
                    <w:snapToGrid w:val="0"/>
                    <w:jc w:val="center"/>
                    <w:textAlignment w:val="baseline"/>
                    <w:rPr>
                      <w:b/>
                      <w:bCs/>
                      <w:color w:val="000000" w:themeColor="text1"/>
                      <w:szCs w:val="21"/>
                      <w14:textFill>
                        <w14:solidFill>
                          <w14:schemeClr w14:val="tx1"/>
                        </w14:solidFill>
                      </w14:textFill>
                    </w:rPr>
                  </w:pPr>
                </w:p>
              </w:tc>
            </w:tr>
            <w:tr w14:paraId="625C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3ED779CC">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Ⅲ标准值</w:t>
                  </w:r>
                </w:p>
              </w:tc>
              <w:tc>
                <w:tcPr>
                  <w:tcW w:w="874" w:type="pct"/>
                  <w:vAlign w:val="center"/>
                </w:tcPr>
                <w:p w14:paraId="5F4146DD">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638" w:type="pct"/>
                  <w:vAlign w:val="center"/>
                </w:tcPr>
                <w:p w14:paraId="78992200">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547" w:type="pct"/>
                  <w:vAlign w:val="center"/>
                </w:tcPr>
                <w:p w14:paraId="48FE469A">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917" w:type="pct"/>
                  <w:vAlign w:val="center"/>
                </w:tcPr>
                <w:p w14:paraId="5EBDDA45">
                  <w:pPr>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638" w:type="pct"/>
                  <w:vAlign w:val="center"/>
                </w:tcPr>
                <w:p w14:paraId="210F9608">
                  <w:pPr>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542" w:type="pct"/>
                  <w:vAlign w:val="center"/>
                </w:tcPr>
                <w:p w14:paraId="68B7A91B">
                  <w:pPr>
                    <w:autoSpaceDE w:val="0"/>
                    <w:autoSpaceDN w:val="0"/>
                    <w:adjustRightInd w:val="0"/>
                    <w:snapToGrid w:val="0"/>
                    <w:jc w:val="center"/>
                    <w:textAlignment w:val="baseline"/>
                    <w:rPr>
                      <w:color w:val="000000" w:themeColor="text1"/>
                      <w:szCs w:val="21"/>
                      <w14:textFill>
                        <w14:solidFill>
                          <w14:schemeClr w14:val="tx1"/>
                        </w14:solidFill>
                      </w14:textFill>
                    </w:rPr>
                  </w:pPr>
                </w:p>
              </w:tc>
            </w:tr>
          </w:tbl>
          <w:p w14:paraId="4E5B59F9">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（2）达标分析</w:t>
            </w:r>
          </w:p>
          <w:p w14:paraId="25AEF9A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bCs/>
                <w:color w:val="000000" w:themeColor="text1"/>
                <w:sz w:val="24"/>
                <w14:textFill>
                  <w14:solidFill>
                    <w14:schemeClr w14:val="tx1"/>
                  </w14:solidFill>
                </w14:textFill>
              </w:rPr>
              <w:t>查阅</w:t>
            </w:r>
            <w:r>
              <w:rPr>
                <w:rFonts w:hint="eastAsia"/>
                <w:bCs/>
                <w:color w:val="000000" w:themeColor="text1"/>
                <w:sz w:val="24"/>
                <w14:textFill>
                  <w14:solidFill>
                    <w14:schemeClr w14:val="tx1"/>
                  </w14:solidFill>
                </w14:textFill>
              </w:rPr>
              <w:t>昆明市生态环境局2025年6月6日发布的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2024年度昆明市生态环境状况公报</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牛栏江七星水文站断面（位于项目区上游，与项目距离约3km）水质</w:t>
            </w:r>
            <w:r>
              <w:rPr>
                <w:color w:val="000000" w:themeColor="text1"/>
                <w:sz w:val="24"/>
                <w14:textFill>
                  <w14:solidFill>
                    <w14:schemeClr w14:val="tx1"/>
                  </w14:solidFill>
                </w14:textFill>
              </w:rPr>
              <w:t>能达到《地表水环境质量标准》（GB3838-2002）中</w:t>
            </w:r>
            <w:r>
              <w:rPr>
                <w:bCs/>
                <w:color w:val="000000" w:themeColor="text1"/>
                <w:sz w:val="24"/>
                <w14:textFill>
                  <w14:solidFill>
                    <w14:schemeClr w14:val="tx1"/>
                  </w14:solidFill>
                </w14:textFill>
              </w:rPr>
              <w:t>Ⅲ</w:t>
            </w:r>
            <w:r>
              <w:rPr>
                <w:color w:val="000000" w:themeColor="text1"/>
                <w:sz w:val="24"/>
                <w14:textFill>
                  <w14:solidFill>
                    <w14:schemeClr w14:val="tx1"/>
                  </w14:solidFill>
                </w14:textFill>
              </w:rPr>
              <w:t>类水质标准。</w:t>
            </w:r>
          </w:p>
          <w:p w14:paraId="61E6FD70">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、声环境质量现状</w:t>
            </w:r>
          </w:p>
          <w:p w14:paraId="5824671E">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（1）声环境质量标准</w:t>
            </w:r>
          </w:p>
          <w:p w14:paraId="7D1BCA5C">
            <w:pPr>
              <w:spacing w:line="360" w:lineRule="auto"/>
              <w:ind w:firstLine="480" w:firstLineChars="200"/>
              <w:rPr>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项目位于云南省昆明市寻甸县仁德街道</w:t>
            </w:r>
            <w:r>
              <w:rPr>
                <w:rFonts w:hint="eastAsia"/>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属于</w:t>
            </w:r>
            <w:r>
              <w:rPr>
                <w:rFonts w:hint="eastAsia"/>
                <w:color w:val="000000" w:themeColor="text1"/>
                <w:sz w:val="24"/>
                <w14:textFill>
                  <w14:solidFill>
                    <w14:schemeClr w14:val="tx1"/>
                  </w14:solidFill>
                </w14:textFill>
              </w:rPr>
              <w:t>乡镇地</w:t>
            </w:r>
            <w:r>
              <w:rPr>
                <w:color w:val="000000" w:themeColor="text1"/>
                <w:sz w:val="24"/>
                <w14:textFill>
                  <w14:solidFill>
                    <w14:schemeClr w14:val="tx1"/>
                  </w14:solidFill>
                </w14:textFill>
              </w:rPr>
              <w:t>区，声环境功能区划为2类区，执行《声环境质量标准》（GB3096-2008）2类标准。</w:t>
            </w:r>
            <w:r>
              <w:rPr>
                <w:rFonts w:hint="eastAsia"/>
                <w:color w:val="000000" w:themeColor="text1"/>
                <w:kern w:val="0"/>
                <w:sz w:val="24"/>
                <w14:textFill>
                  <w14:solidFill>
                    <w14:schemeClr w14:val="tx1"/>
                  </w14:solidFill>
                </w14:textFill>
              </w:rPr>
              <w:t>声环境功能区域</w:t>
            </w:r>
            <w:r>
              <w:rPr>
                <w:rFonts w:hint="eastAsia"/>
                <w:bCs/>
                <w:color w:val="000000" w:themeColor="text1"/>
                <w:kern w:val="0"/>
                <w:sz w:val="24"/>
                <w14:textFill>
                  <w14:solidFill>
                    <w14:schemeClr w14:val="tx1"/>
                  </w14:solidFill>
                </w14:textFill>
              </w:rPr>
              <w:t>标准值见表3-4。</w:t>
            </w:r>
          </w:p>
          <w:p w14:paraId="7B7DCED0">
            <w:pPr>
              <w:ind w:firstLine="422" w:firstLineChars="200"/>
              <w:jc w:val="center"/>
              <w:rPr>
                <w:b/>
                <w:color w:val="000000" w:themeColor="text1"/>
                <w:kern w:val="0"/>
                <w:szCs w:val="20"/>
                <w14:textFill>
                  <w14:solidFill>
                    <w14:schemeClr w14:val="tx1"/>
                  </w14:solidFill>
                </w14:textFill>
              </w:rPr>
            </w:pPr>
            <w:r>
              <w:rPr>
                <w:rFonts w:hint="eastAsia"/>
                <w:b/>
                <w:color w:val="000000" w:themeColor="text1"/>
                <w:kern w:val="0"/>
                <w:szCs w:val="20"/>
                <w14:textFill>
                  <w14:solidFill>
                    <w14:schemeClr w14:val="tx1"/>
                  </w14:solidFill>
                </w14:textFill>
              </w:rPr>
              <w:t>表3-4  声环境质量标准  单位：dB(A)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2985"/>
              <w:gridCol w:w="2543"/>
            </w:tblGrid>
            <w:tr w14:paraId="35DB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vMerge w:val="restart"/>
                  <w:tcBorders>
                    <w:tl2br w:val="nil"/>
                    <w:tr2bl w:val="nil"/>
                  </w:tcBorders>
                  <w:vAlign w:val="center"/>
                </w:tcPr>
                <w:p w14:paraId="0F8900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声环境功能区类别</w:t>
                  </w:r>
                </w:p>
              </w:tc>
              <w:tc>
                <w:tcPr>
                  <w:tcW w:w="3248" w:type="pct"/>
                  <w:gridSpan w:val="2"/>
                  <w:tcBorders>
                    <w:tl2br w:val="nil"/>
                    <w:tr2bl w:val="nil"/>
                  </w:tcBorders>
                  <w:vAlign w:val="center"/>
                </w:tcPr>
                <w:p w14:paraId="3968A91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时段</w:t>
                  </w:r>
                </w:p>
              </w:tc>
            </w:tr>
            <w:tr w14:paraId="686F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vMerge w:val="continue"/>
                  <w:tcBorders>
                    <w:tl2br w:val="nil"/>
                    <w:tr2bl w:val="nil"/>
                  </w:tcBorders>
                  <w:vAlign w:val="center"/>
                </w:tcPr>
                <w:p w14:paraId="1E6FAAEC">
                  <w:pPr>
                    <w:jc w:val="center"/>
                    <w:rPr>
                      <w:color w:val="000000" w:themeColor="text1"/>
                      <w:kern w:val="0"/>
                      <w:szCs w:val="21"/>
                      <w14:textFill>
                        <w14:solidFill>
                          <w14:schemeClr w14:val="tx1"/>
                        </w14:solidFill>
                      </w14:textFill>
                    </w:rPr>
                  </w:pPr>
                </w:p>
              </w:tc>
              <w:tc>
                <w:tcPr>
                  <w:tcW w:w="1754" w:type="pct"/>
                  <w:tcBorders>
                    <w:tl2br w:val="nil"/>
                    <w:tr2bl w:val="nil"/>
                  </w:tcBorders>
                  <w:vAlign w:val="center"/>
                </w:tcPr>
                <w:p w14:paraId="5E66E1D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1493" w:type="pct"/>
                  <w:tcBorders>
                    <w:tl2br w:val="nil"/>
                    <w:tr2bl w:val="nil"/>
                  </w:tcBorders>
                  <w:vAlign w:val="center"/>
                </w:tcPr>
                <w:p w14:paraId="20C7354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夜间</w:t>
                  </w:r>
                </w:p>
              </w:tc>
            </w:tr>
            <w:tr w14:paraId="0DA0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pct"/>
                  <w:tcBorders>
                    <w:tl2br w:val="nil"/>
                    <w:tr2bl w:val="nil"/>
                  </w:tcBorders>
                  <w:vAlign w:val="center"/>
                </w:tcPr>
                <w:p w14:paraId="4B9E86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类</w:t>
                  </w:r>
                </w:p>
              </w:tc>
              <w:tc>
                <w:tcPr>
                  <w:tcW w:w="1754" w:type="pct"/>
                  <w:tcBorders>
                    <w:tl2br w:val="nil"/>
                    <w:tr2bl w:val="nil"/>
                  </w:tcBorders>
                  <w:vAlign w:val="center"/>
                </w:tcPr>
                <w:p w14:paraId="77072D0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w:t>
                  </w:r>
                </w:p>
              </w:tc>
              <w:tc>
                <w:tcPr>
                  <w:tcW w:w="1493" w:type="pct"/>
                  <w:tcBorders>
                    <w:tl2br w:val="nil"/>
                    <w:tr2bl w:val="nil"/>
                  </w:tcBorders>
                  <w:vAlign w:val="center"/>
                </w:tcPr>
                <w:p w14:paraId="607E856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w:t>
                  </w:r>
                </w:p>
              </w:tc>
            </w:tr>
          </w:tbl>
          <w:p w14:paraId="3A372485">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（2）声环境现状质量判定</w:t>
            </w:r>
          </w:p>
          <w:p w14:paraId="0EFA7F87">
            <w:pPr>
              <w:pStyle w:val="21"/>
              <w:widowControl/>
              <w:spacing w:beforeAutospacing="0" w:afterAutospacing="0"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本次评价引用项目《</w:t>
            </w:r>
            <w:r>
              <w:rPr>
                <w:color w:val="000000" w:themeColor="text1"/>
                <w14:textFill>
                  <w14:solidFill>
                    <w14:schemeClr w14:val="tx1"/>
                  </w14:solidFill>
                </w14:textFill>
              </w:rPr>
              <w:t>云南錦创环境科技有限公司果蔬废弃物处理项目竣工环境保护验收报告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云南</w:t>
            </w:r>
            <w:r>
              <w:rPr>
                <w:rFonts w:hint="eastAsia"/>
                <w:color w:val="000000" w:themeColor="text1"/>
                <w14:textFill>
                  <w14:solidFill>
                    <w14:schemeClr w14:val="tx1"/>
                  </w14:solidFill>
                </w14:textFill>
              </w:rPr>
              <w:t>省建筑材料科学研究设计院有限公司</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日～202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日对评价区进行</w:t>
            </w:r>
            <w:r>
              <w:rPr>
                <w:rFonts w:hint="eastAsia"/>
                <w:color w:val="000000" w:themeColor="text1"/>
                <w14:textFill>
                  <w14:solidFill>
                    <w14:schemeClr w14:val="tx1"/>
                  </w14:solidFill>
                </w14:textFill>
              </w:rPr>
              <w:t>的竣工验收</w:t>
            </w:r>
            <w:r>
              <w:rPr>
                <w:color w:val="000000" w:themeColor="text1"/>
                <w14:textFill>
                  <w14:solidFill>
                    <w14:schemeClr w14:val="tx1"/>
                  </w14:solidFill>
                </w14:textFill>
              </w:rPr>
              <w:t>检测，</w:t>
            </w:r>
            <w:r>
              <w:rPr>
                <w:rFonts w:hint="eastAsia"/>
                <w:color w:val="000000" w:themeColor="text1"/>
                <w14:textFill>
                  <w14:solidFill>
                    <w14:schemeClr w14:val="tx1"/>
                  </w14:solidFill>
                </w14:textFill>
              </w:rPr>
              <w:t>并于</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日出具</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《云南錦创环境科技有限公司果蔬废弃物处理项目</w:t>
            </w:r>
            <w:r>
              <w:rPr>
                <w:rFonts w:hint="eastAsia"/>
                <w:color w:val="000000" w:themeColor="text1"/>
                <w14:textFill>
                  <w14:solidFill>
                    <w14:schemeClr w14:val="tx1"/>
                  </w14:solidFill>
                </w14:textFill>
              </w:rPr>
              <w:t>竣工验收</w:t>
            </w:r>
            <w:r>
              <w:rPr>
                <w:color w:val="000000" w:themeColor="text1"/>
                <w14:textFill>
                  <w14:solidFill>
                    <w14:schemeClr w14:val="tx1"/>
                  </w14:solidFill>
                </w14:textFill>
              </w:rPr>
              <w:t>检测报告（项目编号：</w:t>
            </w:r>
            <w:r>
              <w:rPr>
                <w:rFonts w:hint="eastAsia"/>
                <w:color w:val="000000" w:themeColor="text1"/>
                <w14:textFill>
                  <w14:solidFill>
                    <w14:schemeClr w14:val="tx1"/>
                  </w14:solidFill>
                </w14:textFill>
              </w:rPr>
              <w:t>2025010901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，详见附件7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引用最近监测点位位于拟建新增地块东北侧40m。</w:t>
            </w:r>
            <w:r>
              <w:rPr>
                <w:color w:val="000000" w:themeColor="text1"/>
                <w14:textFill>
                  <w14:solidFill>
                    <w14:schemeClr w14:val="tx1"/>
                  </w14:solidFill>
                </w14:textFill>
              </w:rPr>
              <w:t>检测结果见表3-</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p>
          <w:p w14:paraId="20BA519B">
            <w:pPr>
              <w:pStyle w:val="105"/>
              <w:spacing w:before="48" w:beforeLines="20"/>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表</w:t>
            </w:r>
            <w:r>
              <w:rPr>
                <w:rFonts w:hint="eastAsia" w:ascii="Times New Roman"/>
                <w:b/>
                <w:bCs/>
                <w:color w:val="000000" w:themeColor="text1"/>
                <w:sz w:val="21"/>
                <w:szCs w:val="21"/>
                <w14:textFill>
                  <w14:solidFill>
                    <w14:schemeClr w14:val="tx1"/>
                  </w14:solidFill>
                </w14:textFill>
              </w:rPr>
              <w:t>3</w:t>
            </w:r>
            <w:r>
              <w:rPr>
                <w:rFonts w:ascii="Times New Roman"/>
                <w:b/>
                <w:bCs/>
                <w:color w:val="000000" w:themeColor="text1"/>
                <w:sz w:val="21"/>
                <w:szCs w:val="21"/>
                <w14:textFill>
                  <w14:solidFill>
                    <w14:schemeClr w14:val="tx1"/>
                  </w14:solidFill>
                </w14:textFill>
              </w:rPr>
              <w:t xml:space="preserve">-5 噪声监测结果表 </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0"/>
              <w:gridCol w:w="2121"/>
              <w:gridCol w:w="1204"/>
              <w:gridCol w:w="545"/>
              <w:gridCol w:w="1307"/>
              <w:gridCol w:w="1396"/>
              <w:gridCol w:w="1394"/>
            </w:tblGrid>
            <w:tr w14:paraId="419E5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restart"/>
                  <w:tcBorders>
                    <w:top w:val="single" w:color="000000" w:sz="6" w:space="0"/>
                  </w:tcBorders>
                  <w:vAlign w:val="center"/>
                </w:tcPr>
                <w:p w14:paraId="21EF3668">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w:t>
                  </w:r>
                </w:p>
                <w:p w14:paraId="1A9556BC">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内容</w:t>
                  </w:r>
                </w:p>
              </w:tc>
              <w:tc>
                <w:tcPr>
                  <w:tcW w:w="1246" w:type="pct"/>
                  <w:vMerge w:val="restart"/>
                  <w:tcBorders>
                    <w:top w:val="single" w:color="000000" w:sz="6" w:space="0"/>
                    <w:right w:val="single" w:color="000000" w:sz="6" w:space="0"/>
                  </w:tcBorders>
                  <w:vAlign w:val="center"/>
                </w:tcPr>
                <w:p w14:paraId="39E2E4EB">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检测点位置</w:t>
                  </w:r>
                </w:p>
              </w:tc>
              <w:tc>
                <w:tcPr>
                  <w:tcW w:w="707" w:type="pct"/>
                  <w:vMerge w:val="restart"/>
                  <w:tcBorders>
                    <w:top w:val="single" w:color="000000" w:sz="6" w:space="0"/>
                    <w:left w:val="single" w:color="000000" w:sz="6" w:space="0"/>
                  </w:tcBorders>
                  <w:vAlign w:val="center"/>
                </w:tcPr>
                <w:p w14:paraId="21D100AA">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检测日期</w:t>
                  </w:r>
                </w:p>
              </w:tc>
              <w:tc>
                <w:tcPr>
                  <w:tcW w:w="1088" w:type="pct"/>
                  <w:gridSpan w:val="2"/>
                  <w:vMerge w:val="restart"/>
                  <w:tcBorders>
                    <w:top w:val="single" w:color="000000" w:sz="6" w:space="0"/>
                  </w:tcBorders>
                  <w:vAlign w:val="center"/>
                </w:tcPr>
                <w:p w14:paraId="3533E85D">
                  <w:pPr>
                    <w:pStyle w:val="103"/>
                    <w:spacing w:before="85"/>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采样时段</w:t>
                  </w:r>
                </w:p>
              </w:tc>
              <w:tc>
                <w:tcPr>
                  <w:tcW w:w="1639" w:type="pct"/>
                  <w:gridSpan w:val="2"/>
                  <w:tcBorders>
                    <w:top w:val="single" w:color="000000" w:sz="6" w:space="0"/>
                  </w:tcBorders>
                  <w:vAlign w:val="center"/>
                </w:tcPr>
                <w:p w14:paraId="1C29705A">
                  <w:pPr>
                    <w:pStyle w:val="103"/>
                    <w:spacing w:before="85"/>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 xml:space="preserve">检测结果 </w:t>
                  </w:r>
                  <w:r>
                    <w:rPr>
                      <w:b/>
                      <w:color w:val="000000" w:themeColor="text1"/>
                      <w14:textFill>
                        <w14:solidFill>
                          <w14:schemeClr w14:val="tx1"/>
                        </w14:solidFill>
                      </w14:textFill>
                    </w:rPr>
                    <w:t>Leq[dB</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A</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w:t>
                  </w:r>
                </w:p>
              </w:tc>
            </w:tr>
            <w:tr w14:paraId="16C31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80DDE68">
                  <w:pPr>
                    <w:pStyle w:val="103"/>
                    <w:spacing w:before="85"/>
                    <w:rPr>
                      <w:rFonts w:hint="eastAsia"/>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099400D">
                  <w:pPr>
                    <w:pStyle w:val="103"/>
                    <w:spacing w:before="85"/>
                    <w:rPr>
                      <w:rFonts w:hint="eastAsia"/>
                      <w:color w:val="000000" w:themeColor="text1"/>
                      <w14:textFill>
                        <w14:solidFill>
                          <w14:schemeClr w14:val="tx1"/>
                        </w14:solidFill>
                      </w14:textFill>
                    </w:rPr>
                  </w:pPr>
                </w:p>
              </w:tc>
              <w:tc>
                <w:tcPr>
                  <w:tcW w:w="707" w:type="pct"/>
                  <w:vMerge w:val="continue"/>
                  <w:tcBorders>
                    <w:left w:val="single" w:color="000000" w:sz="6" w:space="0"/>
                    <w:bottom w:val="single" w:color="000000" w:sz="6" w:space="0"/>
                  </w:tcBorders>
                  <w:vAlign w:val="center"/>
                </w:tcPr>
                <w:p w14:paraId="6572649B">
                  <w:pPr>
                    <w:pStyle w:val="103"/>
                    <w:spacing w:before="85"/>
                    <w:rPr>
                      <w:rFonts w:hint="eastAsia"/>
                      <w:color w:val="000000" w:themeColor="text1"/>
                      <w14:textFill>
                        <w14:solidFill>
                          <w14:schemeClr w14:val="tx1"/>
                        </w14:solidFill>
                      </w14:textFill>
                    </w:rPr>
                  </w:pPr>
                </w:p>
              </w:tc>
              <w:tc>
                <w:tcPr>
                  <w:tcW w:w="1088" w:type="pct"/>
                  <w:gridSpan w:val="2"/>
                  <w:vMerge w:val="continue"/>
                  <w:vAlign w:val="center"/>
                </w:tcPr>
                <w:p w14:paraId="18567B73">
                  <w:pPr>
                    <w:pStyle w:val="103"/>
                    <w:spacing w:before="85"/>
                    <w:rPr>
                      <w:rFonts w:hint="eastAsia"/>
                      <w:color w:val="000000" w:themeColor="text1"/>
                      <w14:textFill>
                        <w14:solidFill>
                          <w14:schemeClr w14:val="tx1"/>
                        </w14:solidFill>
                      </w14:textFill>
                    </w:rPr>
                  </w:pPr>
                </w:p>
              </w:tc>
              <w:tc>
                <w:tcPr>
                  <w:tcW w:w="820" w:type="pct"/>
                  <w:tcBorders>
                    <w:top w:val="single" w:color="000000" w:sz="6" w:space="0"/>
                  </w:tcBorders>
                  <w:vAlign w:val="center"/>
                </w:tcPr>
                <w:p w14:paraId="0DCD936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测定值</w:t>
                  </w:r>
                </w:p>
              </w:tc>
              <w:tc>
                <w:tcPr>
                  <w:tcW w:w="819" w:type="pct"/>
                  <w:tcBorders>
                    <w:top w:val="single" w:color="000000" w:sz="6" w:space="0"/>
                  </w:tcBorders>
                  <w:vAlign w:val="center"/>
                </w:tcPr>
                <w:p w14:paraId="485513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修约值</w:t>
                  </w:r>
                </w:p>
              </w:tc>
            </w:tr>
            <w:tr w14:paraId="0DC8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restart"/>
                  <w:vAlign w:val="center"/>
                </w:tcPr>
                <w:p w14:paraId="44AEBA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厂界</w:t>
                  </w:r>
                </w:p>
                <w:p w14:paraId="01F20AC3">
                  <w:pPr>
                    <w:jc w:val="center"/>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246" w:type="pct"/>
                  <w:vMerge w:val="restart"/>
                  <w:tcBorders>
                    <w:top w:val="single" w:color="000000" w:sz="6" w:space="0"/>
                    <w:right w:val="single" w:color="000000" w:sz="6" w:space="0"/>
                  </w:tcBorders>
                  <w:vAlign w:val="center"/>
                </w:tcPr>
                <w:p w14:paraId="629A1EBB">
                  <w:pPr>
                    <w:jc w:val="center"/>
                    <w:outlineLvl w:val="1"/>
                    <w:rPr>
                      <w:color w:val="000000" w:themeColor="text1"/>
                      <w14:textFill>
                        <w14:solidFill>
                          <w14:schemeClr w14:val="tx1"/>
                        </w14:solidFill>
                      </w14:textFill>
                    </w:rPr>
                  </w:pPr>
                  <w:bookmarkStart w:id="43" w:name="_Toc10476"/>
                  <w:r>
                    <w:rPr>
                      <w:rFonts w:hint="eastAsia"/>
                      <w:color w:val="000000" w:themeColor="text1"/>
                      <w14:textFill>
                        <w14:solidFill>
                          <w14:schemeClr w14:val="tx1"/>
                        </w14:solidFill>
                      </w14:textFill>
                    </w:rPr>
                    <w:t>N1东侧厂界外1m</w:t>
                  </w:r>
                  <w:bookmarkEnd w:id="43"/>
                </w:p>
              </w:tc>
              <w:tc>
                <w:tcPr>
                  <w:tcW w:w="707" w:type="pct"/>
                  <w:vMerge w:val="restart"/>
                  <w:tcBorders>
                    <w:left w:val="single" w:color="000000" w:sz="6" w:space="0"/>
                    <w:right w:val="single" w:color="000000" w:sz="6" w:space="0"/>
                  </w:tcBorders>
                  <w:vAlign w:val="center"/>
                </w:tcPr>
                <w:p w14:paraId="3B6580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2025.02.05</w:t>
                  </w:r>
                </w:p>
              </w:tc>
              <w:tc>
                <w:tcPr>
                  <w:tcW w:w="320" w:type="pct"/>
                  <w:tcBorders>
                    <w:top w:val="single" w:color="000000" w:sz="6" w:space="0"/>
                    <w:left w:val="single" w:color="000000" w:sz="6" w:space="0"/>
                    <w:bottom w:val="single" w:color="000000" w:sz="6" w:space="0"/>
                    <w:right w:val="single" w:color="000000" w:sz="6" w:space="0"/>
                  </w:tcBorders>
                  <w:vAlign w:val="center"/>
                </w:tcPr>
                <w:p w14:paraId="667A04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bottom w:val="single" w:color="000000" w:sz="6" w:space="0"/>
                    <w:right w:val="single" w:color="000000" w:sz="6" w:space="0"/>
                  </w:tcBorders>
                  <w:vAlign w:val="center"/>
                </w:tcPr>
                <w:p w14:paraId="652E558A">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15:48-15:51</w:t>
                  </w:r>
                </w:p>
              </w:tc>
              <w:tc>
                <w:tcPr>
                  <w:tcW w:w="820" w:type="pct"/>
                  <w:tcBorders>
                    <w:top w:val="single" w:color="000000" w:sz="6" w:space="0"/>
                  </w:tcBorders>
                  <w:vAlign w:val="center"/>
                </w:tcPr>
                <w:p w14:paraId="74118D18">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55.3</w:t>
                  </w:r>
                </w:p>
              </w:tc>
              <w:tc>
                <w:tcPr>
                  <w:tcW w:w="819" w:type="pct"/>
                  <w:tcBorders>
                    <w:top w:val="single" w:color="000000" w:sz="6" w:space="0"/>
                  </w:tcBorders>
                  <w:vAlign w:val="center"/>
                </w:tcPr>
                <w:p w14:paraId="307BABC5">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14:paraId="062C5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F6D3EBA">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7B9FB4A1">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01109AD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693DC0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20CA7345">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22:01-22:04</w:t>
                  </w:r>
                </w:p>
              </w:tc>
              <w:tc>
                <w:tcPr>
                  <w:tcW w:w="820" w:type="pct"/>
                  <w:vAlign w:val="center"/>
                </w:tcPr>
                <w:p w14:paraId="562B50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44.6</w:t>
                  </w:r>
                </w:p>
              </w:tc>
              <w:tc>
                <w:tcPr>
                  <w:tcW w:w="819" w:type="pct"/>
                  <w:vAlign w:val="center"/>
                </w:tcPr>
                <w:p w14:paraId="79CBCC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14:paraId="5166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0AC47046">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2EAD3CB1">
                  <w:pPr>
                    <w:jc w:val="center"/>
                    <w:outlineLvl w:val="1"/>
                    <w:rPr>
                      <w:color w:val="000000" w:themeColor="text1"/>
                      <w14:textFill>
                        <w14:solidFill>
                          <w14:schemeClr w14:val="tx1"/>
                        </w14:solidFill>
                      </w14:textFill>
                    </w:rPr>
                  </w:pPr>
                  <w:bookmarkStart w:id="44" w:name="_Toc3836"/>
                  <w:r>
                    <w:rPr>
                      <w:rFonts w:hint="eastAsia"/>
                      <w:color w:val="000000" w:themeColor="text1"/>
                      <w14:textFill>
                        <w14:solidFill>
                          <w14:schemeClr w14:val="tx1"/>
                        </w14:solidFill>
                      </w14:textFill>
                    </w:rPr>
                    <w:t>N2南侧厂界外1m</w:t>
                  </w:r>
                  <w:bookmarkEnd w:id="44"/>
                </w:p>
              </w:tc>
              <w:tc>
                <w:tcPr>
                  <w:tcW w:w="707" w:type="pct"/>
                  <w:vMerge w:val="continue"/>
                  <w:tcBorders>
                    <w:left w:val="single" w:color="000000" w:sz="6" w:space="0"/>
                    <w:right w:val="single" w:color="000000" w:sz="6" w:space="0"/>
                  </w:tcBorders>
                  <w:vAlign w:val="center"/>
                </w:tcPr>
                <w:p w14:paraId="15B4904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40605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3D6C41BC">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16:10-16:13</w:t>
                  </w:r>
                </w:p>
              </w:tc>
              <w:tc>
                <w:tcPr>
                  <w:tcW w:w="820" w:type="pct"/>
                  <w:vAlign w:val="center"/>
                </w:tcPr>
                <w:p w14:paraId="0C5909A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w:t>
                  </w:r>
                </w:p>
              </w:tc>
              <w:tc>
                <w:tcPr>
                  <w:tcW w:w="819" w:type="pct"/>
                  <w:vAlign w:val="center"/>
                </w:tcPr>
                <w:p w14:paraId="649EEA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w:t>
                  </w:r>
                </w:p>
              </w:tc>
            </w:tr>
            <w:tr w14:paraId="5E3A0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AD8197E">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55C5B08">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4CA6412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1485AB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4515F22C">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22:22-22:25</w:t>
                  </w:r>
                </w:p>
              </w:tc>
              <w:tc>
                <w:tcPr>
                  <w:tcW w:w="820" w:type="pct"/>
                  <w:vAlign w:val="center"/>
                </w:tcPr>
                <w:p w14:paraId="61555F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41.1</w:t>
                  </w:r>
                </w:p>
              </w:tc>
              <w:tc>
                <w:tcPr>
                  <w:tcW w:w="819" w:type="pct"/>
                  <w:vAlign w:val="center"/>
                </w:tcPr>
                <w:p w14:paraId="6AA5C0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r>
            <w:tr w14:paraId="32EFA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1CBE52DD">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2357AB84">
                  <w:pPr>
                    <w:jc w:val="center"/>
                    <w:outlineLvl w:val="1"/>
                    <w:rPr>
                      <w:color w:val="000000" w:themeColor="text1"/>
                      <w14:textFill>
                        <w14:solidFill>
                          <w14:schemeClr w14:val="tx1"/>
                        </w14:solidFill>
                      </w14:textFill>
                    </w:rPr>
                  </w:pPr>
                  <w:bookmarkStart w:id="45" w:name="_Toc911"/>
                  <w:r>
                    <w:rPr>
                      <w:rFonts w:hint="eastAsia"/>
                      <w:color w:val="000000" w:themeColor="text1"/>
                      <w14:textFill>
                        <w14:solidFill>
                          <w14:schemeClr w14:val="tx1"/>
                        </w14:solidFill>
                      </w14:textFill>
                    </w:rPr>
                    <w:t>N3西侧厂界外1m</w:t>
                  </w:r>
                  <w:bookmarkEnd w:id="45"/>
                </w:p>
              </w:tc>
              <w:tc>
                <w:tcPr>
                  <w:tcW w:w="707" w:type="pct"/>
                  <w:vMerge w:val="continue"/>
                  <w:tcBorders>
                    <w:left w:val="single" w:color="000000" w:sz="6" w:space="0"/>
                    <w:right w:val="single" w:color="000000" w:sz="6" w:space="0"/>
                  </w:tcBorders>
                  <w:vAlign w:val="center"/>
                </w:tcPr>
                <w:p w14:paraId="7E36819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3784AE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62C23FCE">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16:31-16:34</w:t>
                  </w:r>
                </w:p>
              </w:tc>
              <w:tc>
                <w:tcPr>
                  <w:tcW w:w="820" w:type="pct"/>
                  <w:vAlign w:val="center"/>
                </w:tcPr>
                <w:p w14:paraId="7B62EF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53.9</w:t>
                  </w:r>
                </w:p>
              </w:tc>
              <w:tc>
                <w:tcPr>
                  <w:tcW w:w="819" w:type="pct"/>
                  <w:vAlign w:val="center"/>
                </w:tcPr>
                <w:p w14:paraId="7B9FC5C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r>
            <w:tr w14:paraId="3D34B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2CBBE41A">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005A180B">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6B8FAB85">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4C2A03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5D5692D2">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22:43-22:46</w:t>
                  </w:r>
                </w:p>
              </w:tc>
              <w:tc>
                <w:tcPr>
                  <w:tcW w:w="820" w:type="pct"/>
                  <w:vAlign w:val="center"/>
                </w:tcPr>
                <w:p w14:paraId="3555128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42.3</w:t>
                  </w:r>
                </w:p>
              </w:tc>
              <w:tc>
                <w:tcPr>
                  <w:tcW w:w="819" w:type="pct"/>
                  <w:vAlign w:val="center"/>
                </w:tcPr>
                <w:p w14:paraId="413DF3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r>
            <w:tr w14:paraId="5F8E6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06D9F63B">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4EE301F2">
                  <w:pPr>
                    <w:jc w:val="center"/>
                    <w:outlineLvl w:val="1"/>
                    <w:rPr>
                      <w:color w:val="000000" w:themeColor="text1"/>
                      <w14:textFill>
                        <w14:solidFill>
                          <w14:schemeClr w14:val="tx1"/>
                        </w14:solidFill>
                      </w14:textFill>
                    </w:rPr>
                  </w:pPr>
                  <w:bookmarkStart w:id="46" w:name="_Toc24769"/>
                  <w:r>
                    <w:rPr>
                      <w:rFonts w:hint="eastAsia"/>
                      <w:color w:val="000000" w:themeColor="text1"/>
                      <w14:textFill>
                        <w14:solidFill>
                          <w14:schemeClr w14:val="tx1"/>
                        </w14:solidFill>
                      </w14:textFill>
                    </w:rPr>
                    <w:t>N4北侧厂界外1m</w:t>
                  </w:r>
                  <w:bookmarkEnd w:id="46"/>
                </w:p>
              </w:tc>
              <w:tc>
                <w:tcPr>
                  <w:tcW w:w="707" w:type="pct"/>
                  <w:vMerge w:val="continue"/>
                  <w:tcBorders>
                    <w:left w:val="single" w:color="000000" w:sz="6" w:space="0"/>
                    <w:right w:val="single" w:color="000000" w:sz="6" w:space="0"/>
                  </w:tcBorders>
                  <w:vAlign w:val="center"/>
                </w:tcPr>
                <w:p w14:paraId="43942ED4">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696BAD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754C1FD2">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16:54-16:57</w:t>
                  </w:r>
                </w:p>
              </w:tc>
              <w:tc>
                <w:tcPr>
                  <w:tcW w:w="820" w:type="pct"/>
                  <w:vAlign w:val="center"/>
                </w:tcPr>
                <w:p w14:paraId="227811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56.7</w:t>
                  </w:r>
                </w:p>
              </w:tc>
              <w:tc>
                <w:tcPr>
                  <w:tcW w:w="819" w:type="pct"/>
                  <w:vAlign w:val="center"/>
                </w:tcPr>
                <w:p w14:paraId="37769C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r>
            <w:tr w14:paraId="081DA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2C81D4ED">
                  <w:pPr>
                    <w:jc w:val="center"/>
                    <w:rPr>
                      <w:color w:val="000000" w:themeColor="text1"/>
                      <w14:textFill>
                        <w14:solidFill>
                          <w14:schemeClr w14:val="tx1"/>
                        </w14:solidFill>
                      </w14:textFill>
                    </w:rPr>
                  </w:pPr>
                </w:p>
              </w:tc>
              <w:tc>
                <w:tcPr>
                  <w:tcW w:w="1246" w:type="pct"/>
                  <w:vMerge w:val="continue"/>
                  <w:tcBorders>
                    <w:right w:val="single" w:color="000000" w:sz="6" w:space="0"/>
                  </w:tcBorders>
                  <w:vAlign w:val="center"/>
                </w:tcPr>
                <w:p w14:paraId="6CF281AA">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589691F8">
                  <w:pPr>
                    <w:jc w:val="center"/>
                    <w:rPr>
                      <w:color w:val="000000" w:themeColor="text1"/>
                      <w14:textFill>
                        <w14:solidFill>
                          <w14:schemeClr w14:val="tx1"/>
                        </w14:solidFill>
                      </w14:textFill>
                    </w:rPr>
                  </w:pPr>
                </w:p>
              </w:tc>
              <w:tc>
                <w:tcPr>
                  <w:tcW w:w="320" w:type="pct"/>
                  <w:tcBorders>
                    <w:top w:val="single" w:color="000000" w:sz="6" w:space="0"/>
                    <w:left w:val="single" w:color="000000" w:sz="6" w:space="0"/>
                    <w:bottom w:val="single" w:color="000000" w:sz="6" w:space="0"/>
                    <w:right w:val="single" w:color="000000" w:sz="6" w:space="0"/>
                  </w:tcBorders>
                  <w:vAlign w:val="center"/>
                </w:tcPr>
                <w:p w14:paraId="197289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bottom w:val="single" w:color="000000" w:sz="6" w:space="0"/>
                    <w:right w:val="single" w:color="000000" w:sz="6" w:space="0"/>
                  </w:tcBorders>
                  <w:vAlign w:val="center"/>
                </w:tcPr>
                <w:p w14:paraId="34B2589D">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23:06-23:09</w:t>
                  </w:r>
                </w:p>
              </w:tc>
              <w:tc>
                <w:tcPr>
                  <w:tcW w:w="820" w:type="pct"/>
                  <w:vAlign w:val="center"/>
                </w:tcPr>
                <w:p w14:paraId="44D079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47.1</w:t>
                  </w:r>
                </w:p>
              </w:tc>
              <w:tc>
                <w:tcPr>
                  <w:tcW w:w="819" w:type="pct"/>
                  <w:vAlign w:val="center"/>
                </w:tcPr>
                <w:p w14:paraId="6329C7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r>
            <w:tr w14:paraId="6E566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625AE569">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14314E94">
                  <w:pPr>
                    <w:jc w:val="center"/>
                    <w:outlineLvl w:val="1"/>
                    <w:rPr>
                      <w:color w:val="000000" w:themeColor="text1"/>
                      <w14:textFill>
                        <w14:solidFill>
                          <w14:schemeClr w14:val="tx1"/>
                        </w14:solidFill>
                      </w14:textFill>
                    </w:rPr>
                  </w:pPr>
                  <w:bookmarkStart w:id="47" w:name="_Toc19165"/>
                  <w:r>
                    <w:rPr>
                      <w:rFonts w:hint="eastAsia"/>
                      <w:color w:val="000000" w:themeColor="text1"/>
                      <w14:textFill>
                        <w14:solidFill>
                          <w14:schemeClr w14:val="tx1"/>
                        </w14:solidFill>
                      </w14:textFill>
                    </w:rPr>
                    <w:t>N1东侧厂界外1m</w:t>
                  </w:r>
                  <w:bookmarkEnd w:id="47"/>
                </w:p>
              </w:tc>
              <w:tc>
                <w:tcPr>
                  <w:tcW w:w="707" w:type="pct"/>
                  <w:vMerge w:val="restart"/>
                  <w:tcBorders>
                    <w:left w:val="single" w:color="000000" w:sz="6" w:space="0"/>
                    <w:right w:val="single" w:color="000000" w:sz="6" w:space="0"/>
                  </w:tcBorders>
                  <w:vAlign w:val="center"/>
                </w:tcPr>
                <w:p w14:paraId="282C7E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2025.02.06</w:t>
                  </w:r>
                </w:p>
              </w:tc>
              <w:tc>
                <w:tcPr>
                  <w:tcW w:w="320" w:type="pct"/>
                  <w:tcBorders>
                    <w:top w:val="single" w:color="000000" w:sz="6" w:space="0"/>
                    <w:left w:val="single" w:color="000000" w:sz="6" w:space="0"/>
                    <w:bottom w:val="single" w:color="000000" w:sz="6" w:space="0"/>
                    <w:right w:val="single" w:color="000000" w:sz="6" w:space="0"/>
                  </w:tcBorders>
                  <w:vAlign w:val="center"/>
                </w:tcPr>
                <w:p w14:paraId="5E7282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bottom w:val="single" w:color="000000" w:sz="6" w:space="0"/>
                    <w:right w:val="single" w:color="000000" w:sz="6" w:space="0"/>
                  </w:tcBorders>
                  <w:vAlign w:val="center"/>
                </w:tcPr>
                <w:p w14:paraId="631ED6A8">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14:51-14:54</w:t>
                  </w:r>
                </w:p>
              </w:tc>
              <w:tc>
                <w:tcPr>
                  <w:tcW w:w="820" w:type="pct"/>
                  <w:tcBorders>
                    <w:top w:val="single" w:color="000000" w:sz="6" w:space="0"/>
                  </w:tcBorders>
                  <w:vAlign w:val="center"/>
                </w:tcPr>
                <w:p w14:paraId="11188E45">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56.1</w:t>
                  </w:r>
                </w:p>
              </w:tc>
              <w:tc>
                <w:tcPr>
                  <w:tcW w:w="819" w:type="pct"/>
                  <w:tcBorders>
                    <w:top w:val="single" w:color="000000" w:sz="6" w:space="0"/>
                  </w:tcBorders>
                  <w:vAlign w:val="center"/>
                </w:tcPr>
                <w:p w14:paraId="71B6E763">
                  <w:pPr>
                    <w:tabs>
                      <w:tab w:val="left" w:pos="603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r>
            <w:tr w14:paraId="6053E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1A20A5B">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10E5F258">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0E0EA58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AC1C3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26463D1C">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22:04-22:07</w:t>
                  </w:r>
                </w:p>
              </w:tc>
              <w:tc>
                <w:tcPr>
                  <w:tcW w:w="820" w:type="pct"/>
                  <w:vAlign w:val="center"/>
                </w:tcPr>
                <w:p w14:paraId="764D46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45.5</w:t>
                  </w:r>
                </w:p>
              </w:tc>
              <w:tc>
                <w:tcPr>
                  <w:tcW w:w="819" w:type="pct"/>
                  <w:vAlign w:val="center"/>
                </w:tcPr>
                <w:p w14:paraId="068A59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r>
            <w:tr w14:paraId="096E0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47695C8C">
                  <w:pPr>
                    <w:jc w:val="center"/>
                    <w:rPr>
                      <w:color w:val="000000" w:themeColor="text1"/>
                      <w14:textFill>
                        <w14:solidFill>
                          <w14:schemeClr w14:val="tx1"/>
                        </w14:solidFill>
                      </w14:textFill>
                    </w:rPr>
                  </w:pPr>
                </w:p>
              </w:tc>
              <w:tc>
                <w:tcPr>
                  <w:tcW w:w="1246" w:type="pct"/>
                  <w:vMerge w:val="restart"/>
                  <w:tcBorders>
                    <w:top w:val="single" w:color="000000" w:sz="6" w:space="0"/>
                    <w:right w:val="single" w:color="000000" w:sz="6" w:space="0"/>
                  </w:tcBorders>
                  <w:vAlign w:val="center"/>
                </w:tcPr>
                <w:p w14:paraId="7E691C1F">
                  <w:pPr>
                    <w:jc w:val="center"/>
                    <w:outlineLvl w:val="1"/>
                    <w:rPr>
                      <w:color w:val="000000" w:themeColor="text1"/>
                      <w14:textFill>
                        <w14:solidFill>
                          <w14:schemeClr w14:val="tx1"/>
                        </w14:solidFill>
                      </w14:textFill>
                    </w:rPr>
                  </w:pPr>
                  <w:bookmarkStart w:id="48" w:name="_Toc12321"/>
                  <w:r>
                    <w:rPr>
                      <w:rFonts w:hint="eastAsia"/>
                      <w:color w:val="000000" w:themeColor="text1"/>
                      <w14:textFill>
                        <w14:solidFill>
                          <w14:schemeClr w14:val="tx1"/>
                        </w14:solidFill>
                      </w14:textFill>
                    </w:rPr>
                    <w:t>N2南侧厂界外1m</w:t>
                  </w:r>
                  <w:bookmarkEnd w:id="48"/>
                </w:p>
              </w:tc>
              <w:tc>
                <w:tcPr>
                  <w:tcW w:w="707" w:type="pct"/>
                  <w:vMerge w:val="continue"/>
                  <w:tcBorders>
                    <w:left w:val="single" w:color="000000" w:sz="6" w:space="0"/>
                    <w:right w:val="single" w:color="000000" w:sz="6" w:space="0"/>
                  </w:tcBorders>
                  <w:vAlign w:val="center"/>
                </w:tcPr>
                <w:p w14:paraId="29FBEC81">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2F7F3CD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6566EB15">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15:14-15:17</w:t>
                  </w:r>
                </w:p>
              </w:tc>
              <w:tc>
                <w:tcPr>
                  <w:tcW w:w="820" w:type="pct"/>
                  <w:vAlign w:val="center"/>
                </w:tcPr>
                <w:p w14:paraId="7037B9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53.3</w:t>
                  </w:r>
                </w:p>
              </w:tc>
              <w:tc>
                <w:tcPr>
                  <w:tcW w:w="819" w:type="pct"/>
                  <w:vAlign w:val="center"/>
                </w:tcPr>
                <w:p w14:paraId="550100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r>
            <w:tr w14:paraId="0041B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1AE1261B">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5C1D50A9">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15BDF0C6">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1390F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0FEF51BE">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22:29-22:32</w:t>
                  </w:r>
                </w:p>
              </w:tc>
              <w:tc>
                <w:tcPr>
                  <w:tcW w:w="820" w:type="pct"/>
                  <w:vAlign w:val="center"/>
                </w:tcPr>
                <w:p w14:paraId="637C1B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41.7</w:t>
                  </w:r>
                </w:p>
              </w:tc>
              <w:tc>
                <w:tcPr>
                  <w:tcW w:w="819" w:type="pct"/>
                  <w:vAlign w:val="center"/>
                </w:tcPr>
                <w:p w14:paraId="772E050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r>
            <w:tr w14:paraId="0A97C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5606E645">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67B6DA79">
                  <w:pPr>
                    <w:jc w:val="center"/>
                    <w:outlineLvl w:val="1"/>
                    <w:rPr>
                      <w:color w:val="000000" w:themeColor="text1"/>
                      <w14:textFill>
                        <w14:solidFill>
                          <w14:schemeClr w14:val="tx1"/>
                        </w14:solidFill>
                      </w14:textFill>
                    </w:rPr>
                  </w:pPr>
                  <w:bookmarkStart w:id="49" w:name="_Toc23419"/>
                  <w:r>
                    <w:rPr>
                      <w:rFonts w:hint="eastAsia"/>
                      <w:color w:val="000000" w:themeColor="text1"/>
                      <w14:textFill>
                        <w14:solidFill>
                          <w14:schemeClr w14:val="tx1"/>
                        </w14:solidFill>
                      </w14:textFill>
                    </w:rPr>
                    <w:t>N3西侧厂界外1m</w:t>
                  </w:r>
                  <w:bookmarkEnd w:id="49"/>
                </w:p>
              </w:tc>
              <w:tc>
                <w:tcPr>
                  <w:tcW w:w="707" w:type="pct"/>
                  <w:vMerge w:val="continue"/>
                  <w:tcBorders>
                    <w:left w:val="single" w:color="000000" w:sz="6" w:space="0"/>
                    <w:right w:val="single" w:color="000000" w:sz="6" w:space="0"/>
                  </w:tcBorders>
                  <w:vAlign w:val="center"/>
                </w:tcPr>
                <w:p w14:paraId="69B9FF0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5B16B1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20BA381F">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15:37-15:40</w:t>
                  </w:r>
                </w:p>
              </w:tc>
              <w:tc>
                <w:tcPr>
                  <w:tcW w:w="820" w:type="pct"/>
                  <w:vAlign w:val="center"/>
                </w:tcPr>
                <w:p w14:paraId="4E0799C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54.6</w:t>
                  </w:r>
                </w:p>
              </w:tc>
              <w:tc>
                <w:tcPr>
                  <w:tcW w:w="819" w:type="pct"/>
                  <w:vAlign w:val="center"/>
                </w:tcPr>
                <w:p w14:paraId="57DFDCE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14:paraId="03B95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286907C">
                  <w:pPr>
                    <w:jc w:val="center"/>
                    <w:rPr>
                      <w:color w:val="000000" w:themeColor="text1"/>
                      <w14:textFill>
                        <w14:solidFill>
                          <w14:schemeClr w14:val="tx1"/>
                        </w14:solidFill>
                      </w14:textFill>
                    </w:rPr>
                  </w:pPr>
                </w:p>
              </w:tc>
              <w:tc>
                <w:tcPr>
                  <w:tcW w:w="1246" w:type="pct"/>
                  <w:vMerge w:val="continue"/>
                  <w:tcBorders>
                    <w:bottom w:val="single" w:color="000000" w:sz="6" w:space="0"/>
                    <w:right w:val="single" w:color="000000" w:sz="6" w:space="0"/>
                  </w:tcBorders>
                  <w:vAlign w:val="center"/>
                </w:tcPr>
                <w:p w14:paraId="33F8630A">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76FA07FF">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7C6A7C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right w:val="single" w:color="000000" w:sz="6" w:space="0"/>
                  </w:tcBorders>
                  <w:vAlign w:val="center"/>
                </w:tcPr>
                <w:p w14:paraId="0001F9A7">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22:45-22:48</w:t>
                  </w:r>
                </w:p>
              </w:tc>
              <w:tc>
                <w:tcPr>
                  <w:tcW w:w="820" w:type="pct"/>
                  <w:vAlign w:val="center"/>
                </w:tcPr>
                <w:p w14:paraId="6709E84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43.1</w:t>
                  </w:r>
                </w:p>
              </w:tc>
              <w:tc>
                <w:tcPr>
                  <w:tcW w:w="819" w:type="pct"/>
                  <w:vAlign w:val="center"/>
                </w:tcPr>
                <w:p w14:paraId="30620E6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r>
            <w:tr w14:paraId="5841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317" w:type="pct"/>
                  <w:vMerge w:val="continue"/>
                  <w:vAlign w:val="center"/>
                </w:tcPr>
                <w:p w14:paraId="796929C4">
                  <w:pPr>
                    <w:jc w:val="center"/>
                    <w:rPr>
                      <w:color w:val="000000" w:themeColor="text1"/>
                      <w14:textFill>
                        <w14:solidFill>
                          <w14:schemeClr w14:val="tx1"/>
                        </w14:solidFill>
                      </w14:textFill>
                    </w:rPr>
                  </w:pPr>
                </w:p>
              </w:tc>
              <w:tc>
                <w:tcPr>
                  <w:tcW w:w="1246" w:type="pct"/>
                  <w:vMerge w:val="restart"/>
                  <w:tcBorders>
                    <w:right w:val="single" w:color="000000" w:sz="6" w:space="0"/>
                  </w:tcBorders>
                  <w:vAlign w:val="center"/>
                </w:tcPr>
                <w:p w14:paraId="61574E0B">
                  <w:pPr>
                    <w:jc w:val="center"/>
                    <w:outlineLvl w:val="1"/>
                    <w:rPr>
                      <w:color w:val="000000" w:themeColor="text1"/>
                      <w14:textFill>
                        <w14:solidFill>
                          <w14:schemeClr w14:val="tx1"/>
                        </w14:solidFill>
                      </w14:textFill>
                    </w:rPr>
                  </w:pPr>
                  <w:bookmarkStart w:id="50" w:name="_Toc13869"/>
                  <w:r>
                    <w:rPr>
                      <w:rFonts w:hint="eastAsia"/>
                      <w:color w:val="000000" w:themeColor="text1"/>
                      <w14:textFill>
                        <w14:solidFill>
                          <w14:schemeClr w14:val="tx1"/>
                        </w14:solidFill>
                      </w14:textFill>
                    </w:rPr>
                    <w:t>N4北侧厂界外1m</w:t>
                  </w:r>
                  <w:bookmarkEnd w:id="50"/>
                </w:p>
              </w:tc>
              <w:tc>
                <w:tcPr>
                  <w:tcW w:w="707" w:type="pct"/>
                  <w:vMerge w:val="continue"/>
                  <w:tcBorders>
                    <w:left w:val="single" w:color="000000" w:sz="6" w:space="0"/>
                    <w:right w:val="single" w:color="000000" w:sz="6" w:space="0"/>
                  </w:tcBorders>
                  <w:vAlign w:val="center"/>
                </w:tcPr>
                <w:p w14:paraId="142605E0">
                  <w:pPr>
                    <w:jc w:val="center"/>
                    <w:rPr>
                      <w:color w:val="000000" w:themeColor="text1"/>
                      <w14:textFill>
                        <w14:solidFill>
                          <w14:schemeClr w14:val="tx1"/>
                        </w14:solidFill>
                      </w14:textFill>
                    </w:rPr>
                  </w:pPr>
                </w:p>
              </w:tc>
              <w:tc>
                <w:tcPr>
                  <w:tcW w:w="320" w:type="pct"/>
                  <w:tcBorders>
                    <w:top w:val="single" w:color="000000" w:sz="6" w:space="0"/>
                    <w:left w:val="single" w:color="000000" w:sz="6" w:space="0"/>
                    <w:right w:val="single" w:color="000000" w:sz="6" w:space="0"/>
                  </w:tcBorders>
                  <w:vAlign w:val="center"/>
                </w:tcPr>
                <w:p w14:paraId="478223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67" w:type="pct"/>
                  <w:tcBorders>
                    <w:top w:val="single" w:color="000000" w:sz="6" w:space="0"/>
                    <w:left w:val="single" w:color="000000" w:sz="6" w:space="0"/>
                    <w:right w:val="single" w:color="000000" w:sz="6" w:space="0"/>
                  </w:tcBorders>
                  <w:vAlign w:val="center"/>
                </w:tcPr>
                <w:p w14:paraId="1215D959">
                  <w:pPr>
                    <w:tabs>
                      <w:tab w:val="left" w:pos="6030"/>
                    </w:tabs>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16:03-16:06</w:t>
                  </w:r>
                </w:p>
              </w:tc>
              <w:tc>
                <w:tcPr>
                  <w:tcW w:w="820" w:type="pct"/>
                  <w:vAlign w:val="center"/>
                </w:tcPr>
                <w:p w14:paraId="698FFE8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57.5</w:t>
                  </w:r>
                </w:p>
              </w:tc>
              <w:tc>
                <w:tcPr>
                  <w:tcW w:w="819" w:type="pct"/>
                  <w:vAlign w:val="center"/>
                </w:tcPr>
                <w:p w14:paraId="438AC6C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58</w:t>
                  </w:r>
                </w:p>
              </w:tc>
            </w:tr>
            <w:tr w14:paraId="222E0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317" w:type="pct"/>
                  <w:vMerge w:val="continue"/>
                  <w:vAlign w:val="center"/>
                </w:tcPr>
                <w:p w14:paraId="09383DF2">
                  <w:pPr>
                    <w:jc w:val="center"/>
                    <w:rPr>
                      <w:color w:val="000000" w:themeColor="text1"/>
                      <w14:textFill>
                        <w14:solidFill>
                          <w14:schemeClr w14:val="tx1"/>
                        </w14:solidFill>
                      </w14:textFill>
                    </w:rPr>
                  </w:pPr>
                </w:p>
              </w:tc>
              <w:tc>
                <w:tcPr>
                  <w:tcW w:w="1246" w:type="pct"/>
                  <w:vMerge w:val="continue"/>
                  <w:tcBorders>
                    <w:right w:val="single" w:color="000000" w:sz="6" w:space="0"/>
                  </w:tcBorders>
                  <w:vAlign w:val="center"/>
                </w:tcPr>
                <w:p w14:paraId="39E26319">
                  <w:pPr>
                    <w:jc w:val="center"/>
                    <w:rPr>
                      <w:color w:val="000000" w:themeColor="text1"/>
                      <w14:textFill>
                        <w14:solidFill>
                          <w14:schemeClr w14:val="tx1"/>
                        </w14:solidFill>
                      </w14:textFill>
                    </w:rPr>
                  </w:pPr>
                </w:p>
              </w:tc>
              <w:tc>
                <w:tcPr>
                  <w:tcW w:w="707" w:type="pct"/>
                  <w:vMerge w:val="continue"/>
                  <w:tcBorders>
                    <w:left w:val="single" w:color="000000" w:sz="6" w:space="0"/>
                    <w:right w:val="single" w:color="000000" w:sz="6" w:space="0"/>
                  </w:tcBorders>
                  <w:vAlign w:val="center"/>
                </w:tcPr>
                <w:p w14:paraId="565FE709">
                  <w:pPr>
                    <w:jc w:val="center"/>
                    <w:rPr>
                      <w:color w:val="000000" w:themeColor="text1"/>
                      <w14:textFill>
                        <w14:solidFill>
                          <w14:schemeClr w14:val="tx1"/>
                        </w14:solidFill>
                      </w14:textFill>
                    </w:rPr>
                  </w:pPr>
                </w:p>
              </w:tc>
              <w:tc>
                <w:tcPr>
                  <w:tcW w:w="320" w:type="pct"/>
                  <w:tcBorders>
                    <w:top w:val="single" w:color="000000" w:sz="6" w:space="0"/>
                    <w:left w:val="single" w:color="000000" w:sz="6" w:space="0"/>
                    <w:bottom w:val="single" w:color="000000" w:sz="6" w:space="0"/>
                    <w:right w:val="single" w:color="000000" w:sz="6" w:space="0"/>
                  </w:tcBorders>
                  <w:vAlign w:val="center"/>
                </w:tcPr>
                <w:p w14:paraId="0BCE92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67" w:type="pct"/>
                  <w:tcBorders>
                    <w:top w:val="single" w:color="000000" w:sz="6" w:space="0"/>
                    <w:left w:val="single" w:color="000000" w:sz="6" w:space="0"/>
                    <w:bottom w:val="single" w:color="000000" w:sz="6" w:space="0"/>
                    <w:right w:val="single" w:color="000000" w:sz="6" w:space="0"/>
                  </w:tcBorders>
                  <w:vAlign w:val="center"/>
                </w:tcPr>
                <w:p w14:paraId="18A3E6EE">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23:10-23:13</w:t>
                  </w:r>
                </w:p>
              </w:tc>
              <w:tc>
                <w:tcPr>
                  <w:tcW w:w="820" w:type="pct"/>
                  <w:vAlign w:val="center"/>
                </w:tcPr>
                <w:p w14:paraId="7E599D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46.9</w:t>
                  </w:r>
                </w:p>
              </w:tc>
              <w:tc>
                <w:tcPr>
                  <w:tcW w:w="819" w:type="pct"/>
                  <w:vAlign w:val="center"/>
                </w:tcPr>
                <w:p w14:paraId="269D43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r>
          </w:tbl>
          <w:p w14:paraId="5261F45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根据表3-</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拟建</w:t>
            </w:r>
            <w:r>
              <w:rPr>
                <w:color w:val="000000" w:themeColor="text1"/>
                <w:sz w:val="24"/>
                <w14:textFill>
                  <w14:solidFill>
                    <w14:schemeClr w14:val="tx1"/>
                  </w14:solidFill>
                </w14:textFill>
              </w:rPr>
              <w:t>项目区</w:t>
            </w:r>
            <w:r>
              <w:rPr>
                <w:rFonts w:hint="eastAsia"/>
                <w:color w:val="000000" w:themeColor="text1"/>
                <w:sz w:val="24"/>
                <w14:textFill>
                  <w14:solidFill>
                    <w14:schemeClr w14:val="tx1"/>
                  </w14:solidFill>
                </w14:textFill>
              </w:rPr>
              <w:t>附近</w:t>
            </w:r>
            <w:r>
              <w:rPr>
                <w:color w:val="000000" w:themeColor="text1"/>
                <w:sz w:val="24"/>
                <w14:textFill>
                  <w14:solidFill>
                    <w14:schemeClr w14:val="tx1"/>
                  </w14:solidFill>
                </w14:textFill>
              </w:rPr>
              <w:t>的四个</w:t>
            </w:r>
            <w:r>
              <w:rPr>
                <w:rFonts w:hint="eastAsia"/>
                <w:color w:val="000000" w:themeColor="text1"/>
                <w:sz w:val="24"/>
                <w14:textFill>
                  <w14:solidFill>
                    <w14:schemeClr w14:val="tx1"/>
                  </w14:solidFill>
                </w14:textFill>
              </w:rPr>
              <w:t>监测点位</w:t>
            </w:r>
            <w:r>
              <w:rPr>
                <w:color w:val="000000" w:themeColor="text1"/>
                <w:sz w:val="24"/>
                <w14:textFill>
                  <w14:solidFill>
                    <w14:schemeClr w14:val="tx1"/>
                  </w14:solidFill>
                </w14:textFill>
              </w:rPr>
              <w:t>的声环境质量均达到《声环境质量标准》（GB3096-2008）2类标准限值，项目所在地声环境质量现状</w:t>
            </w:r>
            <w:r>
              <w:rPr>
                <w:rFonts w:hint="eastAsia"/>
                <w:color w:val="000000" w:themeColor="text1"/>
                <w:sz w:val="24"/>
                <w14:textFill>
                  <w14:solidFill>
                    <w14:schemeClr w14:val="tx1"/>
                  </w14:solidFill>
                </w14:textFill>
              </w:rPr>
              <w:t>满足2类</w:t>
            </w:r>
            <w:r>
              <w:rPr>
                <w:color w:val="000000" w:themeColor="text1"/>
                <w:sz w:val="24"/>
                <w14:textFill>
                  <w14:solidFill>
                    <w14:schemeClr w14:val="tx1"/>
                  </w14:solidFill>
                </w14:textFill>
              </w:rPr>
              <w:t>声环境</w:t>
            </w:r>
            <w:r>
              <w:rPr>
                <w:rFonts w:hint="eastAsia"/>
                <w:color w:val="000000" w:themeColor="text1"/>
                <w:sz w:val="24"/>
                <w14:textFill>
                  <w14:solidFill>
                    <w14:schemeClr w14:val="tx1"/>
                  </w14:solidFill>
                </w14:textFill>
              </w:rPr>
              <w:t>功能区要求。</w:t>
            </w:r>
          </w:p>
          <w:p w14:paraId="269AF233">
            <w:pPr>
              <w:numPr>
                <w:ilvl w:val="0"/>
                <w:numId w:val="17"/>
              </w:numPr>
              <w:spacing w:line="360" w:lineRule="auto"/>
              <w:ind w:firstLine="472" w:firstLineChars="196"/>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地下水环境质量现状</w:t>
            </w:r>
          </w:p>
          <w:p w14:paraId="4F6A7E2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根据2021年《建设项目环境影响报告表编制技术指南（污染影响类）》，</w:t>
            </w:r>
            <w:r>
              <w:rPr>
                <w:rFonts w:hint="eastAsia"/>
                <w:color w:val="000000" w:themeColor="text1"/>
                <w:sz w:val="24"/>
                <w14:textFill>
                  <w14:solidFill>
                    <w14:schemeClr w14:val="tx1"/>
                  </w14:solidFill>
                </w14:textFill>
              </w:rPr>
              <w:t>原则上不开展地下水环境质量现状调查，</w:t>
            </w:r>
            <w:r>
              <w:rPr>
                <w:rFonts w:hint="eastAsia"/>
                <w:bCs/>
                <w:color w:val="000000" w:themeColor="text1"/>
                <w:sz w:val="24"/>
                <w14:textFill>
                  <w14:solidFill>
                    <w14:schemeClr w14:val="tx1"/>
                  </w14:solidFill>
                </w14:textFill>
              </w:rPr>
              <w:t>但本项目</w:t>
            </w:r>
            <w:r>
              <w:rPr>
                <w:color w:val="000000" w:themeColor="text1"/>
                <w:kern w:val="0"/>
                <w:sz w:val="24"/>
                <w:lang w:bidi="ar"/>
                <w14:textFill>
                  <w14:solidFill>
                    <w14:schemeClr w14:val="tx1"/>
                  </w14:solidFill>
                </w14:textFill>
              </w:rPr>
              <w:t>非正常工况</w:t>
            </w:r>
            <w:r>
              <w:rPr>
                <w:rFonts w:hint="eastAsia"/>
                <w:color w:val="000000" w:themeColor="text1"/>
                <w:kern w:val="0"/>
                <w:sz w:val="24"/>
                <w:lang w:bidi="ar"/>
                <w14:textFill>
                  <w14:solidFill>
                    <w14:schemeClr w14:val="tx1"/>
                  </w14:solidFill>
                </w14:textFill>
              </w:rPr>
              <w:t>下</w:t>
            </w:r>
            <w:r>
              <w:rPr>
                <w:color w:val="000000" w:themeColor="text1"/>
                <w:kern w:val="0"/>
                <w:sz w:val="24"/>
                <w:lang w:bidi="ar"/>
                <w14:textFill>
                  <w14:solidFill>
                    <w14:schemeClr w14:val="tx1"/>
                  </w14:solidFill>
                </w14:textFill>
              </w:rPr>
              <w:t>废水或危险废物</w:t>
            </w:r>
            <w:r>
              <w:rPr>
                <w:rFonts w:hint="eastAsia"/>
                <w:color w:val="000000" w:themeColor="text1"/>
                <w:kern w:val="0"/>
                <w:sz w:val="24"/>
                <w:lang w:bidi="ar"/>
                <w14:textFill>
                  <w14:solidFill>
                    <w14:schemeClr w14:val="tx1"/>
                  </w14:solidFill>
                </w14:textFill>
              </w:rPr>
              <w:t>泄漏下</w:t>
            </w:r>
            <w:r>
              <w:rPr>
                <w:color w:val="000000" w:themeColor="text1"/>
                <w:kern w:val="0"/>
                <w:sz w:val="24"/>
                <w:lang w:bidi="ar"/>
                <w14:textFill>
                  <w14:solidFill>
                    <w14:schemeClr w14:val="tx1"/>
                  </w14:solidFill>
                </w14:textFill>
              </w:rPr>
              <w:t>渗</w:t>
            </w:r>
            <w:r>
              <w:rPr>
                <w:rFonts w:hint="eastAsia"/>
                <w:color w:val="000000" w:themeColor="text1"/>
                <w:kern w:val="0"/>
                <w:sz w:val="24"/>
                <w:lang w:bidi="ar"/>
                <w14:textFill>
                  <w14:solidFill>
                    <w14:schemeClr w14:val="tx1"/>
                  </w14:solidFill>
                </w14:textFill>
              </w:rPr>
              <w:t>会污染地下水，</w:t>
            </w:r>
            <w:r>
              <w:rPr>
                <w:color w:val="000000" w:themeColor="text1"/>
                <w:sz w:val="24"/>
                <w14:textFill>
                  <w14:solidFill>
                    <w14:schemeClr w14:val="tx1"/>
                  </w14:solidFill>
                </w14:textFill>
              </w:rPr>
              <w:t>存在</w:t>
            </w:r>
            <w:r>
              <w:rPr>
                <w:color w:val="000000" w:themeColor="text1"/>
                <w:kern w:val="0"/>
                <w:sz w:val="24"/>
                <w:lang w:bidi="ar"/>
                <w14:textFill>
                  <w14:solidFill>
                    <w14:schemeClr w14:val="tx1"/>
                  </w14:solidFill>
                </w14:textFill>
              </w:rPr>
              <w:t>地下水污染途径</w:t>
            </w:r>
            <w:r>
              <w:rPr>
                <w:rFonts w:hint="eastAsia"/>
                <w:color w:val="000000" w:themeColor="text1"/>
                <w:kern w:val="0"/>
                <w:sz w:val="24"/>
                <w:lang w:bidi="ar"/>
                <w14:textFill>
                  <w14:solidFill>
                    <w14:schemeClr w14:val="tx1"/>
                  </w14:solidFill>
                </w14:textFill>
              </w:rPr>
              <w:t>。自运行以来，建设单位果蔬干加工项目从未发生地下水污染事件。根据走访调查，项目周边地区近年来也未曾出现地下水污染事件。因此，</w:t>
            </w:r>
            <w:r>
              <w:rPr>
                <w:rFonts w:hint="eastAsia"/>
                <w:color w:val="000000" w:themeColor="text1"/>
                <w:sz w:val="24"/>
                <w14:textFill>
                  <w14:solidFill>
                    <w14:schemeClr w14:val="tx1"/>
                  </w14:solidFill>
                </w14:textFill>
              </w:rPr>
              <w:t>本次评价引用先前的地下水监测数据作为背景值。云南坤发环境科技有限公司</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日～202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日对评价区进行了</w:t>
            </w:r>
            <w:r>
              <w:rPr>
                <w:rFonts w:hint="eastAsia"/>
                <w:color w:val="000000" w:themeColor="text1"/>
                <w:sz w:val="24"/>
                <w14:textFill>
                  <w14:solidFill>
                    <w14:schemeClr w14:val="tx1"/>
                  </w14:solidFill>
                </w14:textFill>
              </w:rPr>
              <w:t>地下水</w:t>
            </w:r>
            <w:r>
              <w:rPr>
                <w:color w:val="000000" w:themeColor="text1"/>
                <w:sz w:val="24"/>
                <w14:textFill>
                  <w14:solidFill>
                    <w14:schemeClr w14:val="tx1"/>
                  </w14:solidFill>
                </w14:textFill>
              </w:rPr>
              <w:t>环境质量现状检测，</w:t>
            </w:r>
            <w:r>
              <w:rPr>
                <w:rFonts w:hint="eastAsia"/>
                <w:color w:val="000000" w:themeColor="text1"/>
                <w:sz w:val="24"/>
                <w14:textFill>
                  <w14:solidFill>
                    <w14:schemeClr w14:val="tx1"/>
                  </w14:solidFill>
                </w14:textFill>
              </w:rPr>
              <w:t>并于</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日出具</w:t>
            </w:r>
            <w:r>
              <w:rPr>
                <w:rFonts w:hint="eastAsia"/>
                <w:color w:val="000000" w:themeColor="text1"/>
                <w:sz w:val="24"/>
                <w14:textFill>
                  <w14:solidFill>
                    <w14:schemeClr w14:val="tx1"/>
                  </w14:solidFill>
                </w14:textFill>
              </w:rPr>
              <w:t>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云南錦创环境科技有限公司果蔬废弃物处理项目（变更）检测</w:t>
            </w:r>
            <w:r>
              <w:rPr>
                <w:color w:val="000000" w:themeColor="text1"/>
                <w:sz w:val="24"/>
                <w14:textFill>
                  <w14:solidFill>
                    <w14:schemeClr w14:val="tx1"/>
                  </w14:solidFill>
                </w14:textFill>
              </w:rPr>
              <w:t>（编号：</w:t>
            </w:r>
            <w:r>
              <w:rPr>
                <w:rFonts w:hint="eastAsia"/>
                <w:color w:val="000000" w:themeColor="text1"/>
                <w:sz w:val="24"/>
                <w14:textFill>
                  <w14:solidFill>
                    <w14:schemeClr w14:val="tx1"/>
                  </w14:solidFill>
                </w14:textFill>
              </w:rPr>
              <w:t>坤发环检字</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-03265</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详见附件8。</w:t>
            </w:r>
            <w:r>
              <w:rPr>
                <w:color w:val="000000" w:themeColor="text1"/>
                <w:sz w:val="24"/>
                <w14:textFill>
                  <w14:solidFill>
                    <w14:schemeClr w14:val="tx1"/>
                  </w14:solidFill>
                </w14:textFill>
              </w:rPr>
              <w:t>检测结果见表3-</w:t>
            </w:r>
            <w:r>
              <w:rPr>
                <w:rFonts w:hint="eastAsia"/>
                <w:color w:val="000000" w:themeColor="text1"/>
                <w:sz w:val="24"/>
                <w14:textFill>
                  <w14:solidFill>
                    <w14:schemeClr w14:val="tx1"/>
                  </w14:solidFill>
                </w14:textFill>
              </w:rPr>
              <w:t>6，监测点位位于大法古村水井，该水井主要功能为灌溉，位于公司下游约600m，具体详见附图6。</w:t>
            </w:r>
          </w:p>
          <w:p w14:paraId="1223C35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6</w:t>
            </w:r>
            <w:r>
              <w:rPr>
                <w:b/>
                <w:bCs/>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地</w:t>
            </w:r>
            <w:r>
              <w:rPr>
                <w:rFonts w:hint="eastAsia"/>
                <w:b/>
                <w:color w:val="000000" w:themeColor="text1"/>
                <w:szCs w:val="21"/>
                <w14:textFill>
                  <w14:solidFill>
                    <w14:schemeClr w14:val="tx1"/>
                  </w14:solidFill>
                </w14:textFill>
              </w:rPr>
              <w:t>下</w:t>
            </w:r>
            <w:r>
              <w:rPr>
                <w:b/>
                <w:color w:val="000000" w:themeColor="text1"/>
                <w:szCs w:val="21"/>
                <w14:textFill>
                  <w14:solidFill>
                    <w14:schemeClr w14:val="tx1"/>
                  </w14:solidFill>
                </w14:textFill>
              </w:rPr>
              <w:t>水检测结果一览表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2165"/>
              <w:gridCol w:w="2165"/>
              <w:gridCol w:w="855"/>
              <w:gridCol w:w="811"/>
            </w:tblGrid>
            <w:tr w14:paraId="0C4F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862122">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检测点位</w:t>
                  </w:r>
                </w:p>
              </w:tc>
              <w:tc>
                <w:tcPr>
                  <w:tcW w:w="4330" w:type="dxa"/>
                  <w:gridSpan w:val="2"/>
                  <w:tcBorders>
                    <w:top w:val="single" w:color="auto" w:sz="4" w:space="0"/>
                    <w:left w:val="single" w:color="auto" w:sz="4" w:space="0"/>
                    <w:bottom w:val="single" w:color="auto" w:sz="4" w:space="0"/>
                    <w:right w:val="single" w:color="auto" w:sz="4" w:space="0"/>
                  </w:tcBorders>
                  <w:vAlign w:val="center"/>
                </w:tcPr>
                <w:p w14:paraId="1E484262">
                  <w:pPr>
                    <w:jc w:val="center"/>
                    <w:rPr>
                      <w:color w:val="000000" w:themeColor="text1"/>
                      <w:kern w:val="0"/>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大法古村水井</w:t>
                  </w:r>
                </w:p>
              </w:tc>
              <w:tc>
                <w:tcPr>
                  <w:tcW w:w="855" w:type="dxa"/>
                  <w:vMerge w:val="restart"/>
                  <w:tcBorders>
                    <w:top w:val="single" w:color="auto" w:sz="4" w:space="0"/>
                    <w:left w:val="single" w:color="auto" w:sz="4" w:space="0"/>
                    <w:bottom w:val="single" w:color="auto" w:sz="4" w:space="0"/>
                    <w:right w:val="single" w:color="auto" w:sz="4" w:space="0"/>
                  </w:tcBorders>
                  <w:vAlign w:val="center"/>
                </w:tcPr>
                <w:p w14:paraId="31896C5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标准值</w:t>
                  </w:r>
                </w:p>
              </w:tc>
              <w:tc>
                <w:tcPr>
                  <w:tcW w:w="835" w:type="dxa"/>
                  <w:vMerge w:val="restart"/>
                  <w:tcBorders>
                    <w:top w:val="single" w:color="auto" w:sz="4" w:space="0"/>
                    <w:left w:val="single" w:color="auto" w:sz="4" w:space="0"/>
                    <w:bottom w:val="single" w:color="auto" w:sz="4" w:space="0"/>
                    <w:right w:val="single" w:color="auto" w:sz="4" w:space="0"/>
                  </w:tcBorders>
                  <w:vAlign w:val="center"/>
                </w:tcPr>
                <w:p w14:paraId="7CD97B9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达标情况</w:t>
                  </w:r>
                </w:p>
              </w:tc>
            </w:tr>
            <w:tr w14:paraId="248D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062EFEE">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2165" w:type="dxa"/>
                  <w:tcBorders>
                    <w:top w:val="single" w:color="auto" w:sz="4" w:space="0"/>
                    <w:left w:val="single" w:color="auto" w:sz="4" w:space="0"/>
                    <w:bottom w:val="single" w:color="auto" w:sz="4" w:space="0"/>
                    <w:right w:val="single" w:color="auto" w:sz="4" w:space="0"/>
                  </w:tcBorders>
                  <w:vAlign w:val="center"/>
                </w:tcPr>
                <w:p w14:paraId="46315A64">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c>
                <w:tcPr>
                  <w:tcW w:w="2165" w:type="dxa"/>
                  <w:tcBorders>
                    <w:top w:val="single" w:color="auto" w:sz="4" w:space="0"/>
                    <w:left w:val="single" w:color="auto" w:sz="4" w:space="0"/>
                    <w:bottom w:val="single" w:color="auto" w:sz="4" w:space="0"/>
                    <w:right w:val="single" w:color="auto" w:sz="4" w:space="0"/>
                  </w:tcBorders>
                  <w:vAlign w:val="center"/>
                </w:tcPr>
                <w:p w14:paraId="4B97FA20">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2023.03.25/2023.03.26</w:t>
                  </w:r>
                </w:p>
              </w:tc>
              <w:tc>
                <w:tcPr>
                  <w:tcW w:w="855" w:type="dxa"/>
                  <w:vMerge w:val="continue"/>
                  <w:tcBorders>
                    <w:top w:val="single" w:color="auto" w:sz="4" w:space="0"/>
                    <w:left w:val="single" w:color="auto" w:sz="4" w:space="0"/>
                    <w:bottom w:val="single" w:color="auto" w:sz="4" w:space="0"/>
                    <w:right w:val="single" w:color="auto" w:sz="4" w:space="0"/>
                  </w:tcBorders>
                  <w:vAlign w:val="center"/>
                </w:tcPr>
                <w:p w14:paraId="15F7F276">
                  <w:pPr>
                    <w:rPr>
                      <w:color w:val="000000" w:themeColor="text1"/>
                      <w:sz w:val="20"/>
                      <w:szCs w:val="20"/>
                      <w14:textFill>
                        <w14:solidFill>
                          <w14:schemeClr w14:val="tx1"/>
                        </w14:solidFill>
                      </w14:textFill>
                    </w:rPr>
                  </w:pPr>
                </w:p>
              </w:tc>
              <w:tc>
                <w:tcPr>
                  <w:tcW w:w="835" w:type="dxa"/>
                  <w:vMerge w:val="continue"/>
                  <w:tcBorders>
                    <w:top w:val="single" w:color="auto" w:sz="4" w:space="0"/>
                    <w:left w:val="single" w:color="auto" w:sz="4" w:space="0"/>
                    <w:bottom w:val="single" w:color="auto" w:sz="4" w:space="0"/>
                    <w:right w:val="single" w:color="auto" w:sz="4" w:space="0"/>
                  </w:tcBorders>
                  <w:vAlign w:val="center"/>
                </w:tcPr>
                <w:p w14:paraId="4C1F4C66">
                  <w:pPr>
                    <w:rPr>
                      <w:color w:val="000000" w:themeColor="text1"/>
                      <w:sz w:val="20"/>
                      <w:szCs w:val="20"/>
                      <w14:textFill>
                        <w14:solidFill>
                          <w14:schemeClr w14:val="tx1"/>
                        </w14:solidFill>
                      </w14:textFill>
                    </w:rPr>
                  </w:pPr>
                </w:p>
              </w:tc>
            </w:tr>
            <w:tr w14:paraId="524D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579" w:type="dxa"/>
                  <w:tcBorders>
                    <w:top w:val="single" w:color="auto" w:sz="4" w:space="0"/>
                    <w:left w:val="single" w:color="auto" w:sz="4" w:space="0"/>
                    <w:bottom w:val="single" w:color="auto" w:sz="4" w:space="0"/>
                    <w:right w:val="single" w:color="auto" w:sz="4" w:space="0"/>
                  </w:tcBorders>
                  <w:vAlign w:val="center"/>
                </w:tcPr>
                <w:p w14:paraId="386862A5">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20E5B789">
                  <w:pPr>
                    <w:ind w:firstLine="630" w:firstLineChars="3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2165" w:type="dxa"/>
                  <w:tcBorders>
                    <w:top w:val="single" w:color="auto" w:sz="4" w:space="0"/>
                    <w:left w:val="single" w:color="auto" w:sz="4" w:space="0"/>
                    <w:bottom w:val="single" w:color="auto" w:sz="4" w:space="0"/>
                    <w:right w:val="single" w:color="auto" w:sz="4" w:space="0"/>
                  </w:tcBorders>
                  <w:vAlign w:val="center"/>
                </w:tcPr>
                <w:p w14:paraId="668D605A">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无色、无味、透明</w:t>
                  </w:r>
                </w:p>
              </w:tc>
              <w:tc>
                <w:tcPr>
                  <w:tcW w:w="2165" w:type="dxa"/>
                  <w:tcBorders>
                    <w:top w:val="single" w:color="auto" w:sz="4" w:space="0"/>
                    <w:left w:val="single" w:color="auto" w:sz="4" w:space="0"/>
                    <w:bottom w:val="single" w:color="auto" w:sz="4" w:space="0"/>
                    <w:right w:val="single" w:color="auto" w:sz="4" w:space="0"/>
                  </w:tcBorders>
                  <w:vAlign w:val="center"/>
                </w:tcPr>
                <w:p w14:paraId="300C3842">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无色、无味、透明</w:t>
                  </w:r>
                </w:p>
              </w:tc>
              <w:tc>
                <w:tcPr>
                  <w:tcW w:w="855" w:type="dxa"/>
                  <w:vMerge w:val="continue"/>
                  <w:tcBorders>
                    <w:top w:val="single" w:color="auto" w:sz="4" w:space="0"/>
                    <w:left w:val="single" w:color="auto" w:sz="4" w:space="0"/>
                    <w:bottom w:val="single" w:color="auto" w:sz="4" w:space="0"/>
                    <w:right w:val="single" w:color="auto" w:sz="4" w:space="0"/>
                  </w:tcBorders>
                  <w:vAlign w:val="center"/>
                </w:tcPr>
                <w:p w14:paraId="5B80ACD9">
                  <w:pPr>
                    <w:rPr>
                      <w:color w:val="000000" w:themeColor="text1"/>
                      <w:sz w:val="20"/>
                      <w:szCs w:val="20"/>
                      <w14:textFill>
                        <w14:solidFill>
                          <w14:schemeClr w14:val="tx1"/>
                        </w14:solidFill>
                      </w14:textFill>
                    </w:rPr>
                  </w:pPr>
                </w:p>
              </w:tc>
              <w:tc>
                <w:tcPr>
                  <w:tcW w:w="835" w:type="dxa"/>
                  <w:vMerge w:val="continue"/>
                  <w:tcBorders>
                    <w:top w:val="single" w:color="auto" w:sz="4" w:space="0"/>
                    <w:left w:val="single" w:color="auto" w:sz="4" w:space="0"/>
                    <w:bottom w:val="single" w:color="auto" w:sz="4" w:space="0"/>
                    <w:right w:val="single" w:color="auto" w:sz="4" w:space="0"/>
                  </w:tcBorders>
                  <w:vAlign w:val="center"/>
                </w:tcPr>
                <w:p w14:paraId="75B877FF">
                  <w:pPr>
                    <w:rPr>
                      <w:color w:val="000000" w:themeColor="text1"/>
                      <w:sz w:val="20"/>
                      <w:szCs w:val="20"/>
                      <w14:textFill>
                        <w14:solidFill>
                          <w14:schemeClr w14:val="tx1"/>
                        </w14:solidFill>
                      </w14:textFill>
                    </w:rPr>
                  </w:pPr>
                </w:p>
              </w:tc>
            </w:tr>
            <w:tr w14:paraId="50E5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04D6E0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pH</w:t>
                  </w:r>
                  <w:r>
                    <w:rPr>
                      <w:rFonts w:hint="eastAsia" w:ascii="宋体" w:hAnsi="宋体" w:cs="宋体"/>
                      <w:color w:val="000000" w:themeColor="text1"/>
                      <w:kern w:val="2"/>
                      <w:sz w:val="21"/>
                      <w:szCs w:val="21"/>
                      <w:lang w:bidi="ar"/>
                      <w14:textFill>
                        <w14:solidFill>
                          <w14:schemeClr w14:val="tx1"/>
                        </w14:solidFill>
                      </w14:textFill>
                    </w:rPr>
                    <w:t>（无量纲）</w:t>
                  </w:r>
                </w:p>
              </w:tc>
              <w:tc>
                <w:tcPr>
                  <w:tcW w:w="2165" w:type="dxa"/>
                  <w:tcBorders>
                    <w:top w:val="single" w:color="auto" w:sz="4" w:space="0"/>
                    <w:left w:val="single" w:color="auto" w:sz="4" w:space="0"/>
                    <w:bottom w:val="single" w:color="auto" w:sz="4" w:space="0"/>
                    <w:right w:val="single" w:color="auto" w:sz="4" w:space="0"/>
                  </w:tcBorders>
                  <w:vAlign w:val="center"/>
                </w:tcPr>
                <w:p w14:paraId="2003EB48">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7.81</w:t>
                  </w:r>
                </w:p>
              </w:tc>
              <w:tc>
                <w:tcPr>
                  <w:tcW w:w="2165" w:type="dxa"/>
                  <w:tcBorders>
                    <w:top w:val="single" w:color="auto" w:sz="4" w:space="0"/>
                    <w:left w:val="single" w:color="auto" w:sz="4" w:space="0"/>
                    <w:bottom w:val="single" w:color="auto" w:sz="4" w:space="0"/>
                    <w:right w:val="single" w:color="auto" w:sz="4" w:space="0"/>
                  </w:tcBorders>
                  <w:vAlign w:val="center"/>
                </w:tcPr>
                <w:p w14:paraId="79DF918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7.78</w:t>
                  </w:r>
                </w:p>
              </w:tc>
              <w:tc>
                <w:tcPr>
                  <w:tcW w:w="855" w:type="dxa"/>
                  <w:tcBorders>
                    <w:top w:val="single" w:color="auto" w:sz="4" w:space="0"/>
                    <w:left w:val="single" w:color="auto" w:sz="4" w:space="0"/>
                    <w:bottom w:val="single" w:color="auto" w:sz="4" w:space="0"/>
                    <w:right w:val="single" w:color="auto" w:sz="4" w:space="0"/>
                  </w:tcBorders>
                  <w:vAlign w:val="center"/>
                </w:tcPr>
                <w:p w14:paraId="221D8F3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6.5~8.5</w:t>
                  </w:r>
                </w:p>
              </w:tc>
              <w:tc>
                <w:tcPr>
                  <w:tcW w:w="835" w:type="dxa"/>
                  <w:tcBorders>
                    <w:top w:val="single" w:color="auto" w:sz="4" w:space="0"/>
                    <w:left w:val="single" w:color="auto" w:sz="4" w:space="0"/>
                    <w:bottom w:val="single" w:color="auto" w:sz="4" w:space="0"/>
                    <w:right w:val="single" w:color="auto" w:sz="4" w:space="0"/>
                  </w:tcBorders>
                  <w:vAlign w:val="center"/>
                </w:tcPr>
                <w:p w14:paraId="36846715">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达标</w:t>
                  </w:r>
                </w:p>
              </w:tc>
            </w:tr>
            <w:tr w14:paraId="1A51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D0F156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水温（</w:t>
                  </w:r>
                  <w:r>
                    <w:rPr>
                      <w:color w:val="000000" w:themeColor="text1"/>
                      <w:kern w:val="2"/>
                      <w:sz w:val="21"/>
                      <w:szCs w:val="21"/>
                      <w:lang w:bidi="ar"/>
                      <w14:textFill>
                        <w14:solidFill>
                          <w14:schemeClr w14:val="tx1"/>
                        </w14:solidFill>
                      </w14:textFill>
                    </w:rPr>
                    <w:t>℃</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26D97C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18.94</w:t>
                  </w:r>
                </w:p>
              </w:tc>
              <w:tc>
                <w:tcPr>
                  <w:tcW w:w="2165" w:type="dxa"/>
                  <w:tcBorders>
                    <w:top w:val="single" w:color="auto" w:sz="4" w:space="0"/>
                    <w:left w:val="single" w:color="auto" w:sz="4" w:space="0"/>
                    <w:bottom w:val="single" w:color="auto" w:sz="4" w:space="0"/>
                    <w:right w:val="single" w:color="auto" w:sz="4" w:space="0"/>
                  </w:tcBorders>
                  <w:vAlign w:val="center"/>
                </w:tcPr>
                <w:p w14:paraId="7E66B02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18.83</w:t>
                  </w:r>
                </w:p>
              </w:tc>
              <w:tc>
                <w:tcPr>
                  <w:tcW w:w="855" w:type="dxa"/>
                  <w:tcBorders>
                    <w:top w:val="single" w:color="auto" w:sz="4" w:space="0"/>
                    <w:left w:val="single" w:color="auto" w:sz="4" w:space="0"/>
                    <w:bottom w:val="single" w:color="auto" w:sz="4" w:space="0"/>
                    <w:right w:val="single" w:color="auto" w:sz="4" w:space="0"/>
                  </w:tcBorders>
                  <w:vAlign w:val="center"/>
                </w:tcPr>
                <w:p w14:paraId="3A029B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5F82776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05F8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055398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硝酸盐（以</w:t>
                  </w:r>
                  <w:r>
                    <w:rPr>
                      <w:color w:val="000000" w:themeColor="text1"/>
                      <w:kern w:val="2"/>
                      <w:sz w:val="21"/>
                      <w:szCs w:val="21"/>
                      <w:lang w:bidi="ar"/>
                      <w14:textFill>
                        <w14:solidFill>
                          <w14:schemeClr w14:val="tx1"/>
                        </w14:solidFill>
                      </w14:textFill>
                    </w:rPr>
                    <w:t>N</w:t>
                  </w:r>
                  <w:r>
                    <w:rPr>
                      <w:rFonts w:hint="eastAsia" w:ascii="宋体" w:hAnsi="宋体" w:cs="宋体"/>
                      <w:color w:val="000000" w:themeColor="text1"/>
                      <w:kern w:val="2"/>
                      <w:sz w:val="21"/>
                      <w:szCs w:val="21"/>
                      <w:lang w:bidi="ar"/>
                      <w14:textFill>
                        <w14:solidFill>
                          <w14:schemeClr w14:val="tx1"/>
                        </w14:solidFill>
                      </w14:textFill>
                    </w:rPr>
                    <w:t>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55B333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0.990</w:t>
                  </w:r>
                </w:p>
              </w:tc>
              <w:tc>
                <w:tcPr>
                  <w:tcW w:w="2165" w:type="dxa"/>
                  <w:tcBorders>
                    <w:top w:val="single" w:color="auto" w:sz="4" w:space="0"/>
                    <w:left w:val="single" w:color="auto" w:sz="4" w:space="0"/>
                    <w:bottom w:val="single" w:color="auto" w:sz="4" w:space="0"/>
                    <w:right w:val="single" w:color="auto" w:sz="4" w:space="0"/>
                  </w:tcBorders>
                  <w:vAlign w:val="center"/>
                </w:tcPr>
                <w:p w14:paraId="0B0EC9C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0.966</w:t>
                  </w:r>
                </w:p>
              </w:tc>
              <w:tc>
                <w:tcPr>
                  <w:tcW w:w="855" w:type="dxa"/>
                  <w:tcBorders>
                    <w:top w:val="single" w:color="auto" w:sz="4" w:space="0"/>
                    <w:left w:val="single" w:color="auto" w:sz="4" w:space="0"/>
                    <w:bottom w:val="single" w:color="auto" w:sz="4" w:space="0"/>
                    <w:right w:val="single" w:color="auto" w:sz="4" w:space="0"/>
                  </w:tcBorders>
                  <w:vAlign w:val="center"/>
                </w:tcPr>
                <w:p w14:paraId="03EC08A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20</w:t>
                  </w:r>
                </w:p>
              </w:tc>
              <w:tc>
                <w:tcPr>
                  <w:tcW w:w="835" w:type="dxa"/>
                  <w:tcBorders>
                    <w:top w:val="single" w:color="auto" w:sz="4" w:space="0"/>
                    <w:left w:val="single" w:color="auto" w:sz="4" w:space="0"/>
                    <w:bottom w:val="single" w:color="auto" w:sz="4" w:space="0"/>
                    <w:right w:val="single" w:color="auto" w:sz="4" w:space="0"/>
                  </w:tcBorders>
                  <w:vAlign w:val="center"/>
                </w:tcPr>
                <w:p w14:paraId="6B8A650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31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25843A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亚硝酸盐（以</w:t>
                  </w:r>
                  <w:r>
                    <w:rPr>
                      <w:color w:val="000000" w:themeColor="text1"/>
                      <w:kern w:val="2"/>
                      <w:sz w:val="21"/>
                      <w:szCs w:val="21"/>
                      <w:lang w:bidi="ar"/>
                      <w14:textFill>
                        <w14:solidFill>
                          <w14:schemeClr w14:val="tx1"/>
                        </w14:solidFill>
                      </w14:textFill>
                    </w:rPr>
                    <w:t>N</w:t>
                  </w:r>
                  <w:r>
                    <w:rPr>
                      <w:rFonts w:hint="eastAsia" w:ascii="宋体" w:hAnsi="宋体" w:cs="宋体"/>
                      <w:color w:val="000000" w:themeColor="text1"/>
                      <w:kern w:val="2"/>
                      <w:sz w:val="21"/>
                      <w:szCs w:val="21"/>
                      <w:lang w:bidi="ar"/>
                      <w14:textFill>
                        <w14:solidFill>
                          <w14:schemeClr w14:val="tx1"/>
                        </w14:solidFill>
                      </w14:textFill>
                    </w:rPr>
                    <w:t>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45A1DF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0.032</w:t>
                  </w:r>
                </w:p>
              </w:tc>
              <w:tc>
                <w:tcPr>
                  <w:tcW w:w="2165" w:type="dxa"/>
                  <w:tcBorders>
                    <w:top w:val="single" w:color="auto" w:sz="4" w:space="0"/>
                    <w:left w:val="single" w:color="auto" w:sz="4" w:space="0"/>
                    <w:bottom w:val="single" w:color="auto" w:sz="4" w:space="0"/>
                    <w:right w:val="single" w:color="auto" w:sz="4" w:space="0"/>
                  </w:tcBorders>
                  <w:vAlign w:val="center"/>
                </w:tcPr>
                <w:p w14:paraId="16FFB1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0.028</w:t>
                  </w:r>
                </w:p>
              </w:tc>
              <w:tc>
                <w:tcPr>
                  <w:tcW w:w="855" w:type="dxa"/>
                  <w:tcBorders>
                    <w:top w:val="single" w:color="auto" w:sz="4" w:space="0"/>
                    <w:left w:val="single" w:color="auto" w:sz="4" w:space="0"/>
                    <w:bottom w:val="single" w:color="auto" w:sz="4" w:space="0"/>
                    <w:right w:val="single" w:color="auto" w:sz="4" w:space="0"/>
                  </w:tcBorders>
                  <w:vAlign w:val="center"/>
                </w:tcPr>
                <w:p w14:paraId="09AF942A">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w:t>
                  </w:r>
                </w:p>
              </w:tc>
              <w:tc>
                <w:tcPr>
                  <w:tcW w:w="835" w:type="dxa"/>
                  <w:tcBorders>
                    <w:top w:val="single" w:color="auto" w:sz="4" w:space="0"/>
                    <w:left w:val="single" w:color="auto" w:sz="4" w:space="0"/>
                    <w:bottom w:val="single" w:color="auto" w:sz="4" w:space="0"/>
                    <w:right w:val="single" w:color="auto" w:sz="4" w:space="0"/>
                  </w:tcBorders>
                  <w:vAlign w:val="center"/>
                </w:tcPr>
                <w:p w14:paraId="03A0B36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B1F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C56C74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硫酸盐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CCBEE2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13.8</w:t>
                  </w:r>
                </w:p>
              </w:tc>
              <w:tc>
                <w:tcPr>
                  <w:tcW w:w="2165" w:type="dxa"/>
                  <w:tcBorders>
                    <w:top w:val="single" w:color="auto" w:sz="4" w:space="0"/>
                    <w:left w:val="single" w:color="auto" w:sz="4" w:space="0"/>
                    <w:bottom w:val="single" w:color="auto" w:sz="4" w:space="0"/>
                    <w:right w:val="single" w:color="auto" w:sz="4" w:space="0"/>
                  </w:tcBorders>
                  <w:vAlign w:val="center"/>
                </w:tcPr>
                <w:p w14:paraId="2EF5DD03">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13.0</w:t>
                  </w:r>
                </w:p>
              </w:tc>
              <w:tc>
                <w:tcPr>
                  <w:tcW w:w="855" w:type="dxa"/>
                  <w:tcBorders>
                    <w:top w:val="single" w:color="auto" w:sz="4" w:space="0"/>
                    <w:left w:val="single" w:color="auto" w:sz="4" w:space="0"/>
                    <w:bottom w:val="single" w:color="auto" w:sz="4" w:space="0"/>
                    <w:right w:val="single" w:color="auto" w:sz="4" w:space="0"/>
                  </w:tcBorders>
                  <w:vAlign w:val="center"/>
                </w:tcPr>
                <w:p w14:paraId="79CDA07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250</w:t>
                  </w:r>
                </w:p>
              </w:tc>
              <w:tc>
                <w:tcPr>
                  <w:tcW w:w="835" w:type="dxa"/>
                  <w:tcBorders>
                    <w:top w:val="single" w:color="auto" w:sz="4" w:space="0"/>
                    <w:left w:val="single" w:color="auto" w:sz="4" w:space="0"/>
                    <w:bottom w:val="single" w:color="auto" w:sz="4" w:space="0"/>
                    <w:right w:val="single" w:color="auto" w:sz="4" w:space="0"/>
                  </w:tcBorders>
                  <w:vAlign w:val="center"/>
                </w:tcPr>
                <w:p w14:paraId="7335C7C1">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C3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2F3CB9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氯化物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48502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11.9</w:t>
                  </w:r>
                </w:p>
              </w:tc>
              <w:tc>
                <w:tcPr>
                  <w:tcW w:w="2165" w:type="dxa"/>
                  <w:tcBorders>
                    <w:top w:val="single" w:color="auto" w:sz="4" w:space="0"/>
                    <w:left w:val="single" w:color="auto" w:sz="4" w:space="0"/>
                    <w:bottom w:val="single" w:color="auto" w:sz="4" w:space="0"/>
                    <w:right w:val="single" w:color="auto" w:sz="4" w:space="0"/>
                  </w:tcBorders>
                  <w:vAlign w:val="center"/>
                </w:tcPr>
                <w:p w14:paraId="2572126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12.4</w:t>
                  </w:r>
                </w:p>
              </w:tc>
              <w:tc>
                <w:tcPr>
                  <w:tcW w:w="855" w:type="dxa"/>
                  <w:tcBorders>
                    <w:top w:val="single" w:color="auto" w:sz="4" w:space="0"/>
                    <w:left w:val="single" w:color="auto" w:sz="4" w:space="0"/>
                    <w:bottom w:val="single" w:color="auto" w:sz="4" w:space="0"/>
                    <w:right w:val="single" w:color="auto" w:sz="4" w:space="0"/>
                  </w:tcBorders>
                  <w:vAlign w:val="center"/>
                </w:tcPr>
                <w:p w14:paraId="38EEF8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250</w:t>
                  </w:r>
                </w:p>
              </w:tc>
              <w:tc>
                <w:tcPr>
                  <w:tcW w:w="835" w:type="dxa"/>
                  <w:tcBorders>
                    <w:top w:val="single" w:color="auto" w:sz="4" w:space="0"/>
                    <w:left w:val="single" w:color="auto" w:sz="4" w:space="0"/>
                    <w:bottom w:val="single" w:color="auto" w:sz="4" w:space="0"/>
                    <w:right w:val="single" w:color="auto" w:sz="4" w:space="0"/>
                  </w:tcBorders>
                  <w:vAlign w:val="center"/>
                </w:tcPr>
                <w:p w14:paraId="5219D446">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89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3CA9B3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NH3</w:t>
                  </w:r>
                  <w:r>
                    <w:rPr>
                      <w:rFonts w:hint="eastAsia" w:ascii="宋体" w:hAnsi="宋体" w:cs="宋体"/>
                      <w:color w:val="000000" w:themeColor="text1"/>
                      <w:kern w:val="2"/>
                      <w:sz w:val="21"/>
                      <w:szCs w:val="21"/>
                      <w:lang w:bidi="ar"/>
                      <w14:textFill>
                        <w14:solidFill>
                          <w14:schemeClr w14:val="tx1"/>
                        </w14:solidFill>
                      </w14:textFill>
                    </w:rPr>
                    <w:t>氮</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A0B3E0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0.078</w:t>
                  </w:r>
                </w:p>
              </w:tc>
              <w:tc>
                <w:tcPr>
                  <w:tcW w:w="2165" w:type="dxa"/>
                  <w:tcBorders>
                    <w:top w:val="single" w:color="auto" w:sz="4" w:space="0"/>
                    <w:left w:val="single" w:color="auto" w:sz="4" w:space="0"/>
                    <w:bottom w:val="single" w:color="auto" w:sz="4" w:space="0"/>
                    <w:right w:val="single" w:color="auto" w:sz="4" w:space="0"/>
                  </w:tcBorders>
                  <w:vAlign w:val="center"/>
                </w:tcPr>
                <w:p w14:paraId="67F2A91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0.078</w:t>
                  </w:r>
                </w:p>
              </w:tc>
              <w:tc>
                <w:tcPr>
                  <w:tcW w:w="855" w:type="dxa"/>
                  <w:tcBorders>
                    <w:top w:val="single" w:color="auto" w:sz="4" w:space="0"/>
                    <w:left w:val="single" w:color="auto" w:sz="4" w:space="0"/>
                    <w:bottom w:val="single" w:color="auto" w:sz="4" w:space="0"/>
                    <w:right w:val="single" w:color="auto" w:sz="4" w:space="0"/>
                  </w:tcBorders>
                  <w:vAlign w:val="center"/>
                </w:tcPr>
                <w:p w14:paraId="30CB802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0.5</w:t>
                  </w:r>
                </w:p>
              </w:tc>
              <w:tc>
                <w:tcPr>
                  <w:tcW w:w="835" w:type="dxa"/>
                  <w:tcBorders>
                    <w:top w:val="single" w:color="auto" w:sz="4" w:space="0"/>
                    <w:left w:val="single" w:color="auto" w:sz="4" w:space="0"/>
                    <w:bottom w:val="single" w:color="auto" w:sz="4" w:space="0"/>
                    <w:right w:val="single" w:color="auto" w:sz="4" w:space="0"/>
                  </w:tcBorders>
                  <w:vAlign w:val="center"/>
                </w:tcPr>
                <w:p w14:paraId="677A82F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82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92AE5B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总硬度（以碳酸钙计）</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BD23EB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106</w:t>
                  </w:r>
                </w:p>
              </w:tc>
              <w:tc>
                <w:tcPr>
                  <w:tcW w:w="2165" w:type="dxa"/>
                  <w:tcBorders>
                    <w:top w:val="single" w:color="auto" w:sz="4" w:space="0"/>
                    <w:left w:val="single" w:color="auto" w:sz="4" w:space="0"/>
                    <w:bottom w:val="single" w:color="auto" w:sz="4" w:space="0"/>
                    <w:right w:val="single" w:color="auto" w:sz="4" w:space="0"/>
                  </w:tcBorders>
                  <w:vAlign w:val="center"/>
                </w:tcPr>
                <w:p w14:paraId="6544C85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109</w:t>
                  </w:r>
                </w:p>
              </w:tc>
              <w:tc>
                <w:tcPr>
                  <w:tcW w:w="855" w:type="dxa"/>
                  <w:tcBorders>
                    <w:top w:val="single" w:color="auto" w:sz="4" w:space="0"/>
                    <w:left w:val="single" w:color="auto" w:sz="4" w:space="0"/>
                    <w:bottom w:val="single" w:color="auto" w:sz="4" w:space="0"/>
                    <w:right w:val="single" w:color="auto" w:sz="4" w:space="0"/>
                  </w:tcBorders>
                  <w:vAlign w:val="center"/>
                </w:tcPr>
                <w:p w14:paraId="3EB7029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4520</w:t>
                  </w:r>
                </w:p>
              </w:tc>
              <w:tc>
                <w:tcPr>
                  <w:tcW w:w="835" w:type="dxa"/>
                  <w:tcBorders>
                    <w:top w:val="single" w:color="auto" w:sz="4" w:space="0"/>
                    <w:left w:val="single" w:color="auto" w:sz="4" w:space="0"/>
                    <w:bottom w:val="single" w:color="auto" w:sz="4" w:space="0"/>
                    <w:right w:val="single" w:color="auto" w:sz="4" w:space="0"/>
                  </w:tcBorders>
                  <w:vAlign w:val="center"/>
                </w:tcPr>
                <w:p w14:paraId="0019FB8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B7D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57EDBB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溶解性总固体</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E3EA78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83</w:t>
                  </w:r>
                </w:p>
              </w:tc>
              <w:tc>
                <w:tcPr>
                  <w:tcW w:w="2165" w:type="dxa"/>
                  <w:tcBorders>
                    <w:top w:val="single" w:color="auto" w:sz="4" w:space="0"/>
                    <w:left w:val="single" w:color="auto" w:sz="4" w:space="0"/>
                    <w:bottom w:val="single" w:color="auto" w:sz="4" w:space="0"/>
                    <w:right w:val="single" w:color="auto" w:sz="4" w:space="0"/>
                  </w:tcBorders>
                  <w:vAlign w:val="center"/>
                </w:tcPr>
                <w:p w14:paraId="42C765F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134</w:t>
                  </w:r>
                </w:p>
              </w:tc>
              <w:tc>
                <w:tcPr>
                  <w:tcW w:w="855" w:type="dxa"/>
                  <w:tcBorders>
                    <w:top w:val="single" w:color="auto" w:sz="4" w:space="0"/>
                    <w:left w:val="single" w:color="auto" w:sz="4" w:space="0"/>
                    <w:bottom w:val="single" w:color="auto" w:sz="4" w:space="0"/>
                    <w:right w:val="single" w:color="auto" w:sz="4" w:space="0"/>
                  </w:tcBorders>
                  <w:vAlign w:val="center"/>
                </w:tcPr>
                <w:p w14:paraId="563ADE0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1000</w:t>
                  </w:r>
                </w:p>
              </w:tc>
              <w:tc>
                <w:tcPr>
                  <w:tcW w:w="835" w:type="dxa"/>
                  <w:tcBorders>
                    <w:top w:val="single" w:color="auto" w:sz="4" w:space="0"/>
                    <w:left w:val="single" w:color="auto" w:sz="4" w:space="0"/>
                    <w:bottom w:val="single" w:color="auto" w:sz="4" w:space="0"/>
                    <w:right w:val="single" w:color="auto" w:sz="4" w:space="0"/>
                  </w:tcBorders>
                  <w:vAlign w:val="center"/>
                </w:tcPr>
                <w:p w14:paraId="7136882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CA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D80718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菌落总数</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MPN/mL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71D0F4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54</w:t>
                  </w:r>
                </w:p>
              </w:tc>
              <w:tc>
                <w:tcPr>
                  <w:tcW w:w="2165" w:type="dxa"/>
                  <w:tcBorders>
                    <w:top w:val="single" w:color="auto" w:sz="4" w:space="0"/>
                    <w:left w:val="single" w:color="auto" w:sz="4" w:space="0"/>
                    <w:bottom w:val="single" w:color="auto" w:sz="4" w:space="0"/>
                    <w:right w:val="single" w:color="auto" w:sz="4" w:space="0"/>
                  </w:tcBorders>
                  <w:vAlign w:val="center"/>
                </w:tcPr>
                <w:p w14:paraId="45A20F7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68</w:t>
                  </w:r>
                </w:p>
              </w:tc>
              <w:tc>
                <w:tcPr>
                  <w:tcW w:w="855" w:type="dxa"/>
                  <w:tcBorders>
                    <w:top w:val="single" w:color="auto" w:sz="4" w:space="0"/>
                    <w:left w:val="single" w:color="auto" w:sz="4" w:space="0"/>
                    <w:bottom w:val="single" w:color="auto" w:sz="4" w:space="0"/>
                    <w:right w:val="single" w:color="auto" w:sz="4" w:space="0"/>
                  </w:tcBorders>
                  <w:vAlign w:val="center"/>
                </w:tcPr>
                <w:p w14:paraId="4DAB501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100</w:t>
                  </w:r>
                </w:p>
              </w:tc>
              <w:tc>
                <w:tcPr>
                  <w:tcW w:w="835" w:type="dxa"/>
                  <w:tcBorders>
                    <w:top w:val="single" w:color="auto" w:sz="4" w:space="0"/>
                    <w:left w:val="single" w:color="auto" w:sz="4" w:space="0"/>
                    <w:bottom w:val="single" w:color="auto" w:sz="4" w:space="0"/>
                    <w:right w:val="single" w:color="auto" w:sz="4" w:space="0"/>
                  </w:tcBorders>
                  <w:vAlign w:val="center"/>
                </w:tcPr>
                <w:p w14:paraId="16C4E2B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EA9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4BC1CB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总大肠菌群</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MPN/L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7AD290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3</w:t>
                  </w:r>
                </w:p>
              </w:tc>
              <w:tc>
                <w:tcPr>
                  <w:tcW w:w="2165" w:type="dxa"/>
                  <w:tcBorders>
                    <w:top w:val="single" w:color="auto" w:sz="4" w:space="0"/>
                    <w:left w:val="single" w:color="auto" w:sz="4" w:space="0"/>
                    <w:bottom w:val="single" w:color="auto" w:sz="4" w:space="0"/>
                    <w:right w:val="single" w:color="auto" w:sz="4" w:space="0"/>
                  </w:tcBorders>
                  <w:vAlign w:val="center"/>
                </w:tcPr>
                <w:p w14:paraId="64A241B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1.8</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3</w:t>
                  </w:r>
                </w:p>
              </w:tc>
              <w:tc>
                <w:tcPr>
                  <w:tcW w:w="855" w:type="dxa"/>
                  <w:tcBorders>
                    <w:top w:val="single" w:color="auto" w:sz="4" w:space="0"/>
                    <w:left w:val="single" w:color="auto" w:sz="4" w:space="0"/>
                    <w:bottom w:val="single" w:color="auto" w:sz="4" w:space="0"/>
                    <w:right w:val="single" w:color="auto" w:sz="4" w:space="0"/>
                  </w:tcBorders>
                  <w:vAlign w:val="center"/>
                </w:tcPr>
                <w:p w14:paraId="718308F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w:t>
                  </w:r>
                </w:p>
              </w:tc>
              <w:tc>
                <w:tcPr>
                  <w:tcW w:w="835" w:type="dxa"/>
                  <w:tcBorders>
                    <w:top w:val="single" w:color="auto" w:sz="4" w:space="0"/>
                    <w:left w:val="single" w:color="auto" w:sz="4" w:space="0"/>
                    <w:bottom w:val="single" w:color="auto" w:sz="4" w:space="0"/>
                    <w:right w:val="single" w:color="auto" w:sz="4" w:space="0"/>
                  </w:tcBorders>
                  <w:vAlign w:val="center"/>
                </w:tcPr>
                <w:p w14:paraId="6CBF61C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9CA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6AE61C5">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氟化物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6CD266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0.296</w:t>
                  </w:r>
                </w:p>
              </w:tc>
              <w:tc>
                <w:tcPr>
                  <w:tcW w:w="2165" w:type="dxa"/>
                  <w:tcBorders>
                    <w:top w:val="single" w:color="auto" w:sz="4" w:space="0"/>
                    <w:left w:val="single" w:color="auto" w:sz="4" w:space="0"/>
                    <w:bottom w:val="single" w:color="auto" w:sz="4" w:space="0"/>
                    <w:right w:val="single" w:color="auto" w:sz="4" w:space="0"/>
                  </w:tcBorders>
                  <w:vAlign w:val="center"/>
                </w:tcPr>
                <w:p w14:paraId="4D0B7C7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0.296</w:t>
                  </w:r>
                </w:p>
              </w:tc>
              <w:tc>
                <w:tcPr>
                  <w:tcW w:w="855" w:type="dxa"/>
                  <w:tcBorders>
                    <w:top w:val="single" w:color="auto" w:sz="4" w:space="0"/>
                    <w:left w:val="single" w:color="auto" w:sz="4" w:space="0"/>
                    <w:bottom w:val="single" w:color="auto" w:sz="4" w:space="0"/>
                    <w:right w:val="single" w:color="auto" w:sz="4" w:space="0"/>
                  </w:tcBorders>
                  <w:vAlign w:val="center"/>
                </w:tcPr>
                <w:p w14:paraId="2DC6C64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w:t>
                  </w:r>
                </w:p>
              </w:tc>
              <w:tc>
                <w:tcPr>
                  <w:tcW w:w="835" w:type="dxa"/>
                  <w:tcBorders>
                    <w:top w:val="single" w:color="auto" w:sz="4" w:space="0"/>
                    <w:left w:val="single" w:color="auto" w:sz="4" w:space="0"/>
                    <w:bottom w:val="single" w:color="auto" w:sz="4" w:space="0"/>
                    <w:right w:val="single" w:color="auto" w:sz="4" w:space="0"/>
                  </w:tcBorders>
                  <w:vAlign w:val="center"/>
                </w:tcPr>
                <w:p w14:paraId="7929F3C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B7D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9F50A2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高锰酸盐指数</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134EF9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w:t>
                  </w:r>
                </w:p>
              </w:tc>
              <w:tc>
                <w:tcPr>
                  <w:tcW w:w="2165" w:type="dxa"/>
                  <w:tcBorders>
                    <w:top w:val="single" w:color="auto" w:sz="4" w:space="0"/>
                    <w:left w:val="single" w:color="auto" w:sz="4" w:space="0"/>
                    <w:bottom w:val="single" w:color="auto" w:sz="4" w:space="0"/>
                    <w:right w:val="single" w:color="auto" w:sz="4" w:space="0"/>
                  </w:tcBorders>
                  <w:vAlign w:val="center"/>
                </w:tcPr>
                <w:p w14:paraId="183720F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w:t>
                  </w:r>
                </w:p>
              </w:tc>
              <w:tc>
                <w:tcPr>
                  <w:tcW w:w="855" w:type="dxa"/>
                  <w:tcBorders>
                    <w:top w:val="single" w:color="auto" w:sz="4" w:space="0"/>
                    <w:left w:val="single" w:color="auto" w:sz="4" w:space="0"/>
                    <w:bottom w:val="single" w:color="auto" w:sz="4" w:space="0"/>
                    <w:right w:val="single" w:color="auto" w:sz="4" w:space="0"/>
                  </w:tcBorders>
                  <w:vAlign w:val="center"/>
                </w:tcPr>
                <w:p w14:paraId="3EDFC94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CA34AE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55B3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6B228602">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氰化物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694368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7734BA7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75BA208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0.05</w:t>
                  </w:r>
                </w:p>
              </w:tc>
              <w:tc>
                <w:tcPr>
                  <w:tcW w:w="835" w:type="dxa"/>
                  <w:tcBorders>
                    <w:top w:val="single" w:color="auto" w:sz="4" w:space="0"/>
                    <w:left w:val="single" w:color="auto" w:sz="4" w:space="0"/>
                    <w:bottom w:val="single" w:color="auto" w:sz="4" w:space="0"/>
                    <w:right w:val="single" w:color="auto" w:sz="4" w:space="0"/>
                  </w:tcBorders>
                  <w:vAlign w:val="center"/>
                </w:tcPr>
                <w:p w14:paraId="5B59747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CBC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2169159">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硫化物</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27438D4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0.003</w:t>
                  </w:r>
                </w:p>
              </w:tc>
              <w:tc>
                <w:tcPr>
                  <w:tcW w:w="2165" w:type="dxa"/>
                  <w:tcBorders>
                    <w:top w:val="single" w:color="auto" w:sz="4" w:space="0"/>
                    <w:left w:val="single" w:color="auto" w:sz="4" w:space="0"/>
                    <w:bottom w:val="single" w:color="auto" w:sz="4" w:space="0"/>
                    <w:right w:val="single" w:color="auto" w:sz="4" w:space="0"/>
                  </w:tcBorders>
                  <w:vAlign w:val="center"/>
                </w:tcPr>
                <w:p w14:paraId="60AA8EF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0.003</w:t>
                  </w:r>
                </w:p>
              </w:tc>
              <w:tc>
                <w:tcPr>
                  <w:tcW w:w="855" w:type="dxa"/>
                  <w:tcBorders>
                    <w:top w:val="single" w:color="auto" w:sz="4" w:space="0"/>
                    <w:left w:val="single" w:color="auto" w:sz="4" w:space="0"/>
                    <w:bottom w:val="single" w:color="auto" w:sz="4" w:space="0"/>
                    <w:right w:val="single" w:color="auto" w:sz="4" w:space="0"/>
                  </w:tcBorders>
                  <w:vAlign w:val="center"/>
                </w:tcPr>
                <w:p w14:paraId="0AF93CD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0.02</w:t>
                  </w:r>
                </w:p>
              </w:tc>
              <w:tc>
                <w:tcPr>
                  <w:tcW w:w="835" w:type="dxa"/>
                  <w:tcBorders>
                    <w:top w:val="single" w:color="auto" w:sz="4" w:space="0"/>
                    <w:left w:val="single" w:color="auto" w:sz="4" w:space="0"/>
                    <w:bottom w:val="single" w:color="auto" w:sz="4" w:space="0"/>
                    <w:right w:val="single" w:color="auto" w:sz="4" w:space="0"/>
                  </w:tcBorders>
                  <w:vAlign w:val="center"/>
                </w:tcPr>
                <w:p w14:paraId="3F2397D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1D5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5F4C1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耗氧量</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8ADBEB8">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1.18</w:t>
                  </w:r>
                </w:p>
              </w:tc>
              <w:tc>
                <w:tcPr>
                  <w:tcW w:w="2165" w:type="dxa"/>
                  <w:tcBorders>
                    <w:top w:val="single" w:color="auto" w:sz="4" w:space="0"/>
                    <w:left w:val="single" w:color="auto" w:sz="4" w:space="0"/>
                    <w:bottom w:val="single" w:color="auto" w:sz="4" w:space="0"/>
                    <w:right w:val="single" w:color="auto" w:sz="4" w:space="0"/>
                  </w:tcBorders>
                  <w:vAlign w:val="center"/>
                </w:tcPr>
                <w:p w14:paraId="2D9713B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1.24</w:t>
                  </w:r>
                </w:p>
              </w:tc>
              <w:tc>
                <w:tcPr>
                  <w:tcW w:w="855" w:type="dxa"/>
                  <w:tcBorders>
                    <w:top w:val="single" w:color="auto" w:sz="4" w:space="0"/>
                    <w:left w:val="single" w:color="auto" w:sz="4" w:space="0"/>
                    <w:bottom w:val="single" w:color="auto" w:sz="4" w:space="0"/>
                    <w:right w:val="single" w:color="auto" w:sz="4" w:space="0"/>
                  </w:tcBorders>
                  <w:vAlign w:val="center"/>
                </w:tcPr>
                <w:p w14:paraId="2B0A8F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w:t>
                  </w:r>
                </w:p>
              </w:tc>
              <w:tc>
                <w:tcPr>
                  <w:tcW w:w="835" w:type="dxa"/>
                  <w:tcBorders>
                    <w:top w:val="single" w:color="auto" w:sz="4" w:space="0"/>
                    <w:left w:val="single" w:color="auto" w:sz="4" w:space="0"/>
                    <w:bottom w:val="single" w:color="auto" w:sz="4" w:space="0"/>
                    <w:right w:val="single" w:color="auto" w:sz="4" w:space="0"/>
                  </w:tcBorders>
                  <w:vAlign w:val="center"/>
                </w:tcPr>
                <w:p w14:paraId="5633E55C">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CE7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3BACECC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六价铬</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73E48F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2147D62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1697DBA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0.05</w:t>
                  </w:r>
                </w:p>
              </w:tc>
              <w:tc>
                <w:tcPr>
                  <w:tcW w:w="835" w:type="dxa"/>
                  <w:tcBorders>
                    <w:top w:val="single" w:color="auto" w:sz="4" w:space="0"/>
                    <w:left w:val="single" w:color="auto" w:sz="4" w:space="0"/>
                    <w:bottom w:val="single" w:color="auto" w:sz="4" w:space="0"/>
                    <w:right w:val="single" w:color="auto" w:sz="4" w:space="0"/>
                  </w:tcBorders>
                  <w:vAlign w:val="center"/>
                </w:tcPr>
                <w:p w14:paraId="49F1D31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09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C5B41E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挥发酚</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8511160">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0.0003</w:t>
                  </w:r>
                </w:p>
              </w:tc>
              <w:tc>
                <w:tcPr>
                  <w:tcW w:w="2165" w:type="dxa"/>
                  <w:tcBorders>
                    <w:top w:val="single" w:color="auto" w:sz="4" w:space="0"/>
                    <w:left w:val="single" w:color="auto" w:sz="4" w:space="0"/>
                    <w:bottom w:val="single" w:color="auto" w:sz="4" w:space="0"/>
                    <w:right w:val="single" w:color="auto" w:sz="4" w:space="0"/>
                  </w:tcBorders>
                  <w:vAlign w:val="center"/>
                </w:tcPr>
                <w:p w14:paraId="35AC930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0.0003</w:t>
                  </w:r>
                </w:p>
              </w:tc>
              <w:tc>
                <w:tcPr>
                  <w:tcW w:w="855" w:type="dxa"/>
                  <w:tcBorders>
                    <w:top w:val="single" w:color="auto" w:sz="4" w:space="0"/>
                    <w:left w:val="single" w:color="auto" w:sz="4" w:space="0"/>
                    <w:bottom w:val="single" w:color="auto" w:sz="4" w:space="0"/>
                    <w:right w:val="single" w:color="auto" w:sz="4" w:space="0"/>
                  </w:tcBorders>
                  <w:vAlign w:val="center"/>
                </w:tcPr>
                <w:p w14:paraId="142D3A5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0.002</w:t>
                  </w:r>
                </w:p>
              </w:tc>
              <w:tc>
                <w:tcPr>
                  <w:tcW w:w="835" w:type="dxa"/>
                  <w:tcBorders>
                    <w:top w:val="single" w:color="auto" w:sz="4" w:space="0"/>
                    <w:left w:val="single" w:color="auto" w:sz="4" w:space="0"/>
                    <w:bottom w:val="single" w:color="auto" w:sz="4" w:space="0"/>
                    <w:right w:val="single" w:color="auto" w:sz="4" w:space="0"/>
                  </w:tcBorders>
                  <w:vAlign w:val="center"/>
                </w:tcPr>
                <w:p w14:paraId="5CD79A3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81D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82450CD">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铅</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80153A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0.001</w:t>
                  </w:r>
                </w:p>
              </w:tc>
              <w:tc>
                <w:tcPr>
                  <w:tcW w:w="2165" w:type="dxa"/>
                  <w:tcBorders>
                    <w:top w:val="single" w:color="auto" w:sz="4" w:space="0"/>
                    <w:left w:val="single" w:color="auto" w:sz="4" w:space="0"/>
                    <w:bottom w:val="single" w:color="auto" w:sz="4" w:space="0"/>
                    <w:right w:val="single" w:color="auto" w:sz="4" w:space="0"/>
                  </w:tcBorders>
                  <w:vAlign w:val="center"/>
                </w:tcPr>
                <w:p w14:paraId="6047F89C">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0.001</w:t>
                  </w:r>
                </w:p>
              </w:tc>
              <w:tc>
                <w:tcPr>
                  <w:tcW w:w="855" w:type="dxa"/>
                  <w:tcBorders>
                    <w:top w:val="single" w:color="auto" w:sz="4" w:space="0"/>
                    <w:left w:val="single" w:color="auto" w:sz="4" w:space="0"/>
                    <w:bottom w:val="single" w:color="auto" w:sz="4" w:space="0"/>
                    <w:right w:val="single" w:color="auto" w:sz="4" w:space="0"/>
                  </w:tcBorders>
                  <w:vAlign w:val="center"/>
                </w:tcPr>
                <w:p w14:paraId="577D5A5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0.01</w:t>
                  </w:r>
                </w:p>
              </w:tc>
              <w:tc>
                <w:tcPr>
                  <w:tcW w:w="835" w:type="dxa"/>
                  <w:tcBorders>
                    <w:top w:val="single" w:color="auto" w:sz="4" w:space="0"/>
                    <w:left w:val="single" w:color="auto" w:sz="4" w:space="0"/>
                    <w:bottom w:val="single" w:color="auto" w:sz="4" w:space="0"/>
                    <w:right w:val="single" w:color="auto" w:sz="4" w:space="0"/>
                  </w:tcBorders>
                  <w:vAlign w:val="center"/>
                </w:tcPr>
                <w:p w14:paraId="2AB405DA">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140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E4E170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镉</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53801DE">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2165" w:type="dxa"/>
                  <w:tcBorders>
                    <w:top w:val="single" w:color="auto" w:sz="4" w:space="0"/>
                    <w:left w:val="single" w:color="auto" w:sz="4" w:space="0"/>
                    <w:bottom w:val="single" w:color="auto" w:sz="4" w:space="0"/>
                    <w:right w:val="single" w:color="auto" w:sz="4" w:space="0"/>
                  </w:tcBorders>
                  <w:vAlign w:val="center"/>
                </w:tcPr>
                <w:p w14:paraId="24A2AEC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855" w:type="dxa"/>
                  <w:tcBorders>
                    <w:top w:val="single" w:color="auto" w:sz="4" w:space="0"/>
                    <w:left w:val="single" w:color="auto" w:sz="4" w:space="0"/>
                    <w:bottom w:val="single" w:color="auto" w:sz="4" w:space="0"/>
                    <w:right w:val="single" w:color="auto" w:sz="4" w:space="0"/>
                  </w:tcBorders>
                  <w:vAlign w:val="center"/>
                </w:tcPr>
                <w:p w14:paraId="2D584B81">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0.005</w:t>
                  </w:r>
                </w:p>
              </w:tc>
              <w:tc>
                <w:tcPr>
                  <w:tcW w:w="835" w:type="dxa"/>
                  <w:tcBorders>
                    <w:top w:val="single" w:color="auto" w:sz="4" w:space="0"/>
                    <w:left w:val="single" w:color="auto" w:sz="4" w:space="0"/>
                    <w:bottom w:val="single" w:color="auto" w:sz="4" w:space="0"/>
                    <w:right w:val="single" w:color="auto" w:sz="4" w:space="0"/>
                  </w:tcBorders>
                  <w:vAlign w:val="center"/>
                </w:tcPr>
                <w:p w14:paraId="3F5893D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33C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E4D9EDA">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铁</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166CABB">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0.01</w:t>
                  </w:r>
                </w:p>
              </w:tc>
              <w:tc>
                <w:tcPr>
                  <w:tcW w:w="2165" w:type="dxa"/>
                  <w:tcBorders>
                    <w:top w:val="single" w:color="auto" w:sz="4" w:space="0"/>
                    <w:left w:val="single" w:color="auto" w:sz="4" w:space="0"/>
                    <w:bottom w:val="single" w:color="auto" w:sz="4" w:space="0"/>
                    <w:right w:val="single" w:color="auto" w:sz="4" w:space="0"/>
                  </w:tcBorders>
                  <w:vAlign w:val="center"/>
                </w:tcPr>
                <w:p w14:paraId="0B20AA2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0.01</w:t>
                  </w:r>
                </w:p>
              </w:tc>
              <w:tc>
                <w:tcPr>
                  <w:tcW w:w="855" w:type="dxa"/>
                  <w:tcBorders>
                    <w:top w:val="single" w:color="auto" w:sz="4" w:space="0"/>
                    <w:left w:val="single" w:color="auto" w:sz="4" w:space="0"/>
                    <w:bottom w:val="single" w:color="auto" w:sz="4" w:space="0"/>
                    <w:right w:val="single" w:color="auto" w:sz="4" w:space="0"/>
                  </w:tcBorders>
                  <w:vAlign w:val="center"/>
                </w:tcPr>
                <w:p w14:paraId="29140CD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0.3</w:t>
                  </w:r>
                </w:p>
              </w:tc>
              <w:tc>
                <w:tcPr>
                  <w:tcW w:w="835" w:type="dxa"/>
                  <w:tcBorders>
                    <w:top w:val="single" w:color="auto" w:sz="4" w:space="0"/>
                    <w:left w:val="single" w:color="auto" w:sz="4" w:space="0"/>
                    <w:bottom w:val="single" w:color="auto" w:sz="4" w:space="0"/>
                    <w:right w:val="single" w:color="auto" w:sz="4" w:space="0"/>
                  </w:tcBorders>
                  <w:vAlign w:val="center"/>
                </w:tcPr>
                <w:p w14:paraId="1F8D029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B0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5D60131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锰</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E45434B">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2165" w:type="dxa"/>
                  <w:tcBorders>
                    <w:top w:val="single" w:color="auto" w:sz="4" w:space="0"/>
                    <w:left w:val="single" w:color="auto" w:sz="4" w:space="0"/>
                    <w:bottom w:val="single" w:color="auto" w:sz="4" w:space="0"/>
                    <w:right w:val="single" w:color="auto" w:sz="4" w:space="0"/>
                  </w:tcBorders>
                  <w:vAlign w:val="center"/>
                </w:tcPr>
                <w:p w14:paraId="7D29208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0.004</w:t>
                  </w:r>
                </w:p>
              </w:tc>
              <w:tc>
                <w:tcPr>
                  <w:tcW w:w="855" w:type="dxa"/>
                  <w:tcBorders>
                    <w:top w:val="single" w:color="auto" w:sz="4" w:space="0"/>
                    <w:left w:val="single" w:color="auto" w:sz="4" w:space="0"/>
                    <w:bottom w:val="single" w:color="auto" w:sz="4" w:space="0"/>
                    <w:right w:val="single" w:color="auto" w:sz="4" w:space="0"/>
                  </w:tcBorders>
                  <w:vAlign w:val="center"/>
                </w:tcPr>
                <w:p w14:paraId="1C30CEE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0.1</w:t>
                  </w:r>
                </w:p>
              </w:tc>
              <w:tc>
                <w:tcPr>
                  <w:tcW w:w="835" w:type="dxa"/>
                  <w:tcBorders>
                    <w:top w:val="single" w:color="auto" w:sz="4" w:space="0"/>
                    <w:left w:val="single" w:color="auto" w:sz="4" w:space="0"/>
                    <w:bottom w:val="single" w:color="auto" w:sz="4" w:space="0"/>
                    <w:right w:val="single" w:color="auto" w:sz="4" w:space="0"/>
                  </w:tcBorders>
                  <w:vAlign w:val="center"/>
                </w:tcPr>
                <w:p w14:paraId="1C054DD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D47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6ABE864">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汞</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429FD51">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4.0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-5</w:t>
                  </w:r>
                </w:p>
              </w:tc>
              <w:tc>
                <w:tcPr>
                  <w:tcW w:w="2165" w:type="dxa"/>
                  <w:tcBorders>
                    <w:top w:val="single" w:color="auto" w:sz="4" w:space="0"/>
                    <w:left w:val="single" w:color="auto" w:sz="4" w:space="0"/>
                    <w:bottom w:val="single" w:color="auto" w:sz="4" w:space="0"/>
                    <w:right w:val="single" w:color="auto" w:sz="4" w:space="0"/>
                  </w:tcBorders>
                  <w:vAlign w:val="center"/>
                </w:tcPr>
                <w:p w14:paraId="6EBA1F27">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4.0</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-5</w:t>
                  </w:r>
                </w:p>
              </w:tc>
              <w:tc>
                <w:tcPr>
                  <w:tcW w:w="855" w:type="dxa"/>
                  <w:tcBorders>
                    <w:top w:val="single" w:color="auto" w:sz="4" w:space="0"/>
                    <w:left w:val="single" w:color="auto" w:sz="4" w:space="0"/>
                    <w:bottom w:val="single" w:color="auto" w:sz="4" w:space="0"/>
                    <w:right w:val="single" w:color="auto" w:sz="4" w:space="0"/>
                  </w:tcBorders>
                  <w:vAlign w:val="center"/>
                </w:tcPr>
                <w:p w14:paraId="00B9925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0.001</w:t>
                  </w:r>
                </w:p>
              </w:tc>
              <w:tc>
                <w:tcPr>
                  <w:tcW w:w="835" w:type="dxa"/>
                  <w:tcBorders>
                    <w:top w:val="single" w:color="auto" w:sz="4" w:space="0"/>
                    <w:left w:val="single" w:color="auto" w:sz="4" w:space="0"/>
                    <w:bottom w:val="single" w:color="auto" w:sz="4" w:space="0"/>
                    <w:right w:val="single" w:color="auto" w:sz="4" w:space="0"/>
                  </w:tcBorders>
                  <w:vAlign w:val="center"/>
                </w:tcPr>
                <w:p w14:paraId="179CF09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984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AFE8236">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砷</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4C6DDFD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2165" w:type="dxa"/>
                  <w:tcBorders>
                    <w:top w:val="single" w:color="auto" w:sz="4" w:space="0"/>
                    <w:left w:val="single" w:color="auto" w:sz="4" w:space="0"/>
                    <w:bottom w:val="single" w:color="auto" w:sz="4" w:space="0"/>
                    <w:right w:val="single" w:color="auto" w:sz="4" w:space="0"/>
                  </w:tcBorders>
                  <w:vAlign w:val="center"/>
                </w:tcPr>
                <w:p w14:paraId="14B7CAC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5.6</w:t>
                  </w: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10</w:t>
                  </w:r>
                  <w:r>
                    <w:rPr>
                      <w:color w:val="000000" w:themeColor="text1"/>
                      <w:kern w:val="2"/>
                      <w:sz w:val="21"/>
                      <w:szCs w:val="21"/>
                      <w:vertAlign w:val="superscript"/>
                      <w:lang w:bidi="ar"/>
                      <w14:textFill>
                        <w14:solidFill>
                          <w14:schemeClr w14:val="tx1"/>
                        </w14:solidFill>
                      </w14:textFill>
                    </w:rPr>
                    <w:t>-4</w:t>
                  </w:r>
                </w:p>
              </w:tc>
              <w:tc>
                <w:tcPr>
                  <w:tcW w:w="855" w:type="dxa"/>
                  <w:tcBorders>
                    <w:top w:val="single" w:color="auto" w:sz="4" w:space="0"/>
                    <w:left w:val="single" w:color="auto" w:sz="4" w:space="0"/>
                    <w:bottom w:val="single" w:color="auto" w:sz="4" w:space="0"/>
                    <w:right w:val="single" w:color="auto" w:sz="4" w:space="0"/>
                  </w:tcBorders>
                  <w:vAlign w:val="center"/>
                </w:tcPr>
                <w:p w14:paraId="7488E43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0.01</w:t>
                  </w:r>
                </w:p>
              </w:tc>
              <w:tc>
                <w:tcPr>
                  <w:tcW w:w="835" w:type="dxa"/>
                  <w:tcBorders>
                    <w:top w:val="single" w:color="auto" w:sz="4" w:space="0"/>
                    <w:left w:val="single" w:color="auto" w:sz="4" w:space="0"/>
                    <w:bottom w:val="single" w:color="auto" w:sz="4" w:space="0"/>
                    <w:right w:val="single" w:color="auto" w:sz="4" w:space="0"/>
                  </w:tcBorders>
                  <w:vAlign w:val="center"/>
                </w:tcPr>
                <w:p w14:paraId="4BE1CA5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6C0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1AE0A05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重碳酸根</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222E3F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234</w:t>
                  </w:r>
                </w:p>
              </w:tc>
              <w:tc>
                <w:tcPr>
                  <w:tcW w:w="2165" w:type="dxa"/>
                  <w:tcBorders>
                    <w:top w:val="single" w:color="auto" w:sz="4" w:space="0"/>
                    <w:left w:val="single" w:color="auto" w:sz="4" w:space="0"/>
                    <w:bottom w:val="single" w:color="auto" w:sz="4" w:space="0"/>
                    <w:right w:val="single" w:color="auto" w:sz="4" w:space="0"/>
                  </w:tcBorders>
                  <w:vAlign w:val="center"/>
                </w:tcPr>
                <w:p w14:paraId="375A64F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236</w:t>
                  </w:r>
                </w:p>
              </w:tc>
              <w:tc>
                <w:tcPr>
                  <w:tcW w:w="855" w:type="dxa"/>
                  <w:tcBorders>
                    <w:top w:val="single" w:color="auto" w:sz="4" w:space="0"/>
                    <w:left w:val="single" w:color="auto" w:sz="4" w:space="0"/>
                    <w:bottom w:val="single" w:color="auto" w:sz="4" w:space="0"/>
                    <w:right w:val="single" w:color="auto" w:sz="4" w:space="0"/>
                  </w:tcBorders>
                  <w:vAlign w:val="center"/>
                </w:tcPr>
                <w:p w14:paraId="7D9C4F7A">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44A72DA9">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7F8F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4E84DE43">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碳酸根</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B25094F">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5</w:t>
                  </w:r>
                </w:p>
              </w:tc>
              <w:tc>
                <w:tcPr>
                  <w:tcW w:w="2165" w:type="dxa"/>
                  <w:tcBorders>
                    <w:top w:val="single" w:color="auto" w:sz="4" w:space="0"/>
                    <w:left w:val="single" w:color="auto" w:sz="4" w:space="0"/>
                    <w:bottom w:val="single" w:color="auto" w:sz="4" w:space="0"/>
                    <w:right w:val="single" w:color="auto" w:sz="4" w:space="0"/>
                  </w:tcBorders>
                  <w:vAlign w:val="center"/>
                </w:tcPr>
                <w:p w14:paraId="3EE5350D">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5</w:t>
                  </w:r>
                </w:p>
              </w:tc>
              <w:tc>
                <w:tcPr>
                  <w:tcW w:w="855" w:type="dxa"/>
                  <w:tcBorders>
                    <w:top w:val="single" w:color="auto" w:sz="4" w:space="0"/>
                    <w:left w:val="single" w:color="auto" w:sz="4" w:space="0"/>
                    <w:bottom w:val="single" w:color="auto" w:sz="4" w:space="0"/>
                    <w:right w:val="single" w:color="auto" w:sz="4" w:space="0"/>
                  </w:tcBorders>
                  <w:vAlign w:val="center"/>
                </w:tcPr>
                <w:p w14:paraId="31ADCA9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2EAFD8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1A66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4225E4C">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硫酸盐离子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0BD511F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13.4</w:t>
                  </w:r>
                </w:p>
              </w:tc>
              <w:tc>
                <w:tcPr>
                  <w:tcW w:w="2165" w:type="dxa"/>
                  <w:tcBorders>
                    <w:top w:val="single" w:color="auto" w:sz="4" w:space="0"/>
                    <w:left w:val="single" w:color="auto" w:sz="4" w:space="0"/>
                    <w:bottom w:val="single" w:color="auto" w:sz="4" w:space="0"/>
                    <w:right w:val="single" w:color="auto" w:sz="4" w:space="0"/>
                  </w:tcBorders>
                  <w:vAlign w:val="center"/>
                </w:tcPr>
                <w:p w14:paraId="09CDBE5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12.8</w:t>
                  </w:r>
                </w:p>
              </w:tc>
              <w:tc>
                <w:tcPr>
                  <w:tcW w:w="855" w:type="dxa"/>
                  <w:tcBorders>
                    <w:top w:val="single" w:color="auto" w:sz="4" w:space="0"/>
                    <w:left w:val="single" w:color="auto" w:sz="4" w:space="0"/>
                    <w:bottom w:val="single" w:color="auto" w:sz="4" w:space="0"/>
                    <w:right w:val="single" w:color="auto" w:sz="4" w:space="0"/>
                  </w:tcBorders>
                  <w:vAlign w:val="center"/>
                </w:tcPr>
                <w:p w14:paraId="7E00F44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BC3FAB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08BB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F26BB29">
                  <w:pPr>
                    <w:pStyle w:val="21"/>
                    <w:spacing w:beforeAutospacing="0" w:afterAutospacing="0"/>
                    <w:jc w:val="center"/>
                    <w:rPr>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lang w:bidi="ar"/>
                      <w14:textFill>
                        <w14:solidFill>
                          <w14:schemeClr w14:val="tx1"/>
                        </w14:solidFill>
                      </w14:textFill>
                    </w:rPr>
                    <w:t>氯化物离子</w:t>
                  </w:r>
                  <w:r>
                    <w:rPr>
                      <w:rFonts w:hint="eastAsia" w:ascii="宋体" w:hAnsi="宋体" w:cs="宋体"/>
                      <w:color w:val="000000" w:themeColor="text1"/>
                      <w:sz w:val="21"/>
                      <w:szCs w:val="21"/>
                      <w:lang w:bidi="ar"/>
                      <w14:textFill>
                        <w14:solidFill>
                          <w14:schemeClr w14:val="tx1"/>
                        </w14:solidFill>
                      </w14:textFill>
                    </w:rPr>
                    <w:t>（</w:t>
                  </w:r>
                  <w:r>
                    <w:rPr>
                      <w:color w:val="000000" w:themeColor="text1"/>
                      <w:kern w:val="2"/>
                      <w:sz w:val="21"/>
                      <w:szCs w:val="21"/>
                      <w:lang w:bidi="ar"/>
                      <w14:textFill>
                        <w14:solidFill>
                          <w14:schemeClr w14:val="tx1"/>
                        </w14:solidFill>
                      </w14:textFill>
                    </w:rPr>
                    <w:t>mg/L</w:t>
                  </w:r>
                  <w:r>
                    <w:rPr>
                      <w:rFonts w:hint="eastAsia" w:ascii="宋体" w:hAnsi="宋体" w:cs="宋体"/>
                      <w:color w:val="000000" w:themeColor="text1"/>
                      <w:kern w:val="2"/>
                      <w:sz w:val="2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1B83C8ED">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11.8</w:t>
                  </w:r>
                </w:p>
              </w:tc>
              <w:tc>
                <w:tcPr>
                  <w:tcW w:w="2165" w:type="dxa"/>
                  <w:tcBorders>
                    <w:top w:val="single" w:color="auto" w:sz="4" w:space="0"/>
                    <w:left w:val="single" w:color="auto" w:sz="4" w:space="0"/>
                    <w:bottom w:val="single" w:color="auto" w:sz="4" w:space="0"/>
                    <w:right w:val="single" w:color="auto" w:sz="4" w:space="0"/>
                  </w:tcBorders>
                  <w:vAlign w:val="center"/>
                </w:tcPr>
                <w:p w14:paraId="3930DF8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12.1</w:t>
                  </w:r>
                </w:p>
              </w:tc>
              <w:tc>
                <w:tcPr>
                  <w:tcW w:w="855" w:type="dxa"/>
                  <w:tcBorders>
                    <w:top w:val="single" w:color="auto" w:sz="4" w:space="0"/>
                    <w:left w:val="single" w:color="auto" w:sz="4" w:space="0"/>
                    <w:bottom w:val="single" w:color="auto" w:sz="4" w:space="0"/>
                    <w:right w:val="single" w:color="auto" w:sz="4" w:space="0"/>
                  </w:tcBorders>
                  <w:vAlign w:val="center"/>
                </w:tcPr>
                <w:p w14:paraId="193F86A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0390D017">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34C8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1836EF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钠</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68BC59F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6.40</w:t>
                  </w:r>
                </w:p>
              </w:tc>
              <w:tc>
                <w:tcPr>
                  <w:tcW w:w="2165" w:type="dxa"/>
                  <w:tcBorders>
                    <w:top w:val="single" w:color="auto" w:sz="4" w:space="0"/>
                    <w:left w:val="single" w:color="auto" w:sz="4" w:space="0"/>
                    <w:bottom w:val="single" w:color="auto" w:sz="4" w:space="0"/>
                    <w:right w:val="single" w:color="auto" w:sz="4" w:space="0"/>
                  </w:tcBorders>
                  <w:vAlign w:val="center"/>
                </w:tcPr>
                <w:p w14:paraId="7EBEE34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6.40</w:t>
                  </w:r>
                </w:p>
              </w:tc>
              <w:tc>
                <w:tcPr>
                  <w:tcW w:w="855" w:type="dxa"/>
                  <w:tcBorders>
                    <w:top w:val="single" w:color="auto" w:sz="4" w:space="0"/>
                    <w:left w:val="single" w:color="auto" w:sz="4" w:space="0"/>
                    <w:bottom w:val="single" w:color="auto" w:sz="4" w:space="0"/>
                    <w:right w:val="single" w:color="auto" w:sz="4" w:space="0"/>
                  </w:tcBorders>
                  <w:vAlign w:val="center"/>
                </w:tcPr>
                <w:p w14:paraId="0AD8629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411351B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50E5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2028773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钾</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5409518F">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1.14</w:t>
                  </w:r>
                </w:p>
              </w:tc>
              <w:tc>
                <w:tcPr>
                  <w:tcW w:w="2165" w:type="dxa"/>
                  <w:tcBorders>
                    <w:top w:val="single" w:color="auto" w:sz="4" w:space="0"/>
                    <w:left w:val="single" w:color="auto" w:sz="4" w:space="0"/>
                    <w:bottom w:val="single" w:color="auto" w:sz="4" w:space="0"/>
                    <w:right w:val="single" w:color="auto" w:sz="4" w:space="0"/>
                  </w:tcBorders>
                  <w:vAlign w:val="center"/>
                </w:tcPr>
                <w:p w14:paraId="6297064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1.14</w:t>
                  </w:r>
                </w:p>
              </w:tc>
              <w:tc>
                <w:tcPr>
                  <w:tcW w:w="855" w:type="dxa"/>
                  <w:tcBorders>
                    <w:top w:val="single" w:color="auto" w:sz="4" w:space="0"/>
                    <w:left w:val="single" w:color="auto" w:sz="4" w:space="0"/>
                    <w:bottom w:val="single" w:color="auto" w:sz="4" w:space="0"/>
                    <w:right w:val="single" w:color="auto" w:sz="4" w:space="0"/>
                  </w:tcBorders>
                  <w:vAlign w:val="center"/>
                </w:tcPr>
                <w:p w14:paraId="65324AB0">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3E59FD6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217F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76CBD94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钙</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753214FC">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37.6</w:t>
                  </w:r>
                </w:p>
              </w:tc>
              <w:tc>
                <w:tcPr>
                  <w:tcW w:w="2165" w:type="dxa"/>
                  <w:tcBorders>
                    <w:top w:val="single" w:color="auto" w:sz="4" w:space="0"/>
                    <w:left w:val="single" w:color="auto" w:sz="4" w:space="0"/>
                    <w:bottom w:val="single" w:color="auto" w:sz="4" w:space="0"/>
                    <w:right w:val="single" w:color="auto" w:sz="4" w:space="0"/>
                  </w:tcBorders>
                  <w:vAlign w:val="center"/>
                </w:tcPr>
                <w:p w14:paraId="297D9B84">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37.7</w:t>
                  </w:r>
                </w:p>
              </w:tc>
              <w:tc>
                <w:tcPr>
                  <w:tcW w:w="855" w:type="dxa"/>
                  <w:tcBorders>
                    <w:top w:val="single" w:color="auto" w:sz="4" w:space="0"/>
                    <w:left w:val="single" w:color="auto" w:sz="4" w:space="0"/>
                    <w:bottom w:val="single" w:color="auto" w:sz="4" w:space="0"/>
                    <w:right w:val="single" w:color="auto" w:sz="4" w:space="0"/>
                  </w:tcBorders>
                  <w:vAlign w:val="center"/>
                </w:tcPr>
                <w:p w14:paraId="3B4C5DB2">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29D6C43">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r w14:paraId="4D85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9" w:type="dxa"/>
                  <w:tcBorders>
                    <w:top w:val="single" w:color="auto" w:sz="4" w:space="0"/>
                    <w:left w:val="single" w:color="auto" w:sz="4" w:space="0"/>
                    <w:bottom w:val="single" w:color="auto" w:sz="4" w:space="0"/>
                    <w:right w:val="single" w:color="auto" w:sz="4" w:space="0"/>
                  </w:tcBorders>
                  <w:vAlign w:val="center"/>
                </w:tcPr>
                <w:p w14:paraId="0C4143D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镁</w:t>
                  </w:r>
                  <w:r>
                    <w:rPr>
                      <w:rFonts w:hint="eastAsia" w:ascii="宋体" w:hAnsi="宋体" w:cs="宋体"/>
                      <w:color w:val="000000" w:themeColor="text1"/>
                      <w:kern w:val="0"/>
                      <w:szCs w:val="21"/>
                      <w:lang w:bidi="ar"/>
                      <w14:textFill>
                        <w14:solidFill>
                          <w14:schemeClr w14:val="tx1"/>
                        </w14:solidFill>
                      </w14:textFill>
                    </w:rPr>
                    <w:t>（</w:t>
                  </w:r>
                  <w:r>
                    <w:rPr>
                      <w:color w:val="000000" w:themeColor="text1"/>
                      <w:szCs w:val="21"/>
                      <w:lang w:bidi="ar"/>
                      <w14:textFill>
                        <w14:solidFill>
                          <w14:schemeClr w14:val="tx1"/>
                        </w14:solidFill>
                      </w14:textFill>
                    </w:rPr>
                    <w:t>mg/L</w:t>
                  </w:r>
                  <w:r>
                    <w:rPr>
                      <w:rFonts w:hint="eastAsia" w:ascii="宋体" w:hAnsi="宋体" w:cs="宋体"/>
                      <w:color w:val="000000" w:themeColor="text1"/>
                      <w:szCs w:val="21"/>
                      <w:lang w:bidi="ar"/>
                      <w14:textFill>
                        <w14:solidFill>
                          <w14:schemeClr w14:val="tx1"/>
                        </w14:solidFill>
                      </w14:textFill>
                    </w:rPr>
                    <w:t>）</w:t>
                  </w:r>
                </w:p>
              </w:tc>
              <w:tc>
                <w:tcPr>
                  <w:tcW w:w="2165" w:type="dxa"/>
                  <w:tcBorders>
                    <w:top w:val="single" w:color="auto" w:sz="4" w:space="0"/>
                    <w:left w:val="single" w:color="auto" w:sz="4" w:space="0"/>
                    <w:bottom w:val="single" w:color="auto" w:sz="4" w:space="0"/>
                    <w:right w:val="single" w:color="auto" w:sz="4" w:space="0"/>
                  </w:tcBorders>
                  <w:vAlign w:val="center"/>
                </w:tcPr>
                <w:p w14:paraId="335D0AF5">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26.6</w:t>
                  </w:r>
                </w:p>
              </w:tc>
              <w:tc>
                <w:tcPr>
                  <w:tcW w:w="2165" w:type="dxa"/>
                  <w:tcBorders>
                    <w:top w:val="single" w:color="auto" w:sz="4" w:space="0"/>
                    <w:left w:val="single" w:color="auto" w:sz="4" w:space="0"/>
                    <w:bottom w:val="single" w:color="auto" w:sz="4" w:space="0"/>
                    <w:right w:val="single" w:color="auto" w:sz="4" w:space="0"/>
                  </w:tcBorders>
                  <w:vAlign w:val="center"/>
                </w:tcPr>
                <w:p w14:paraId="6EA2AFCE">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26.5</w:t>
                  </w:r>
                </w:p>
              </w:tc>
              <w:tc>
                <w:tcPr>
                  <w:tcW w:w="855" w:type="dxa"/>
                  <w:tcBorders>
                    <w:top w:val="single" w:color="auto" w:sz="4" w:space="0"/>
                    <w:left w:val="single" w:color="auto" w:sz="4" w:space="0"/>
                    <w:bottom w:val="single" w:color="auto" w:sz="4" w:space="0"/>
                    <w:right w:val="single" w:color="auto" w:sz="4" w:space="0"/>
                  </w:tcBorders>
                  <w:vAlign w:val="center"/>
                </w:tcPr>
                <w:p w14:paraId="393162DB">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c>
                <w:tcPr>
                  <w:tcW w:w="835" w:type="dxa"/>
                  <w:tcBorders>
                    <w:top w:val="single" w:color="auto" w:sz="4" w:space="0"/>
                    <w:left w:val="single" w:color="auto" w:sz="4" w:space="0"/>
                    <w:bottom w:val="single" w:color="auto" w:sz="4" w:space="0"/>
                    <w:right w:val="single" w:color="auto" w:sz="4" w:space="0"/>
                  </w:tcBorders>
                  <w:vAlign w:val="center"/>
                </w:tcPr>
                <w:p w14:paraId="1E64B086">
                  <w:pPr>
                    <w:pStyle w:val="21"/>
                    <w:spacing w:beforeAutospacing="0" w:afterAutospacing="0"/>
                    <w:jc w:val="center"/>
                    <w:rPr>
                      <w:color w:val="000000" w:themeColor="text1"/>
                      <w:kern w:val="2"/>
                      <w:sz w:val="21"/>
                      <w:szCs w:val="21"/>
                      <w14:textFill>
                        <w14:solidFill>
                          <w14:schemeClr w14:val="tx1"/>
                        </w14:solidFill>
                      </w14:textFill>
                    </w:rPr>
                  </w:pPr>
                  <w:r>
                    <w:rPr>
                      <w:color w:val="000000" w:themeColor="text1"/>
                      <w:kern w:val="2"/>
                      <w:sz w:val="21"/>
                      <w:szCs w:val="21"/>
                      <w:lang w:bidi="ar"/>
                      <w14:textFill>
                        <w14:solidFill>
                          <w14:schemeClr w14:val="tx1"/>
                        </w14:solidFill>
                      </w14:textFill>
                    </w:rPr>
                    <w:t>-</w:t>
                  </w:r>
                </w:p>
              </w:tc>
            </w:tr>
          </w:tbl>
          <w:p w14:paraId="1AD13C0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3-5</w:t>
            </w:r>
            <w:r>
              <w:rPr>
                <w:color w:val="000000" w:themeColor="text1"/>
                <w:sz w:val="24"/>
                <w14:textFill>
                  <w14:solidFill>
                    <w14:schemeClr w14:val="tx1"/>
                  </w14:solidFill>
                </w14:textFill>
              </w:rPr>
              <w:t>检测结果表明，</w:t>
            </w:r>
            <w:r>
              <w:rPr>
                <w:color w:val="000000" w:themeColor="text1"/>
                <w:sz w:val="24"/>
                <w:szCs w:val="22"/>
                <w14:textFill>
                  <w14:solidFill>
                    <w14:schemeClr w14:val="tx1"/>
                  </w14:solidFill>
                </w14:textFill>
              </w:rPr>
              <w:t>各项</w:t>
            </w:r>
            <w:r>
              <w:rPr>
                <w:rFonts w:hint="eastAsia"/>
                <w:color w:val="000000" w:themeColor="text1"/>
                <w:sz w:val="24"/>
                <w:szCs w:val="22"/>
                <w14:textFill>
                  <w14:solidFill>
                    <w14:schemeClr w14:val="tx1"/>
                  </w14:solidFill>
                </w14:textFill>
              </w:rPr>
              <w:t>检测</w:t>
            </w:r>
            <w:r>
              <w:rPr>
                <w:color w:val="000000" w:themeColor="text1"/>
                <w:sz w:val="24"/>
                <w:szCs w:val="22"/>
                <w14:textFill>
                  <w14:solidFill>
                    <w14:schemeClr w14:val="tx1"/>
                  </w14:solidFill>
                </w14:textFill>
              </w:rPr>
              <w:t>值均能满足《地下水质量标准》（GB/T 14848-2017）III类标准限值。项目所在区域地下水环境质量状况能满足Ⅲ类</w:t>
            </w:r>
            <w:r>
              <w:rPr>
                <w:rFonts w:hint="eastAsia"/>
                <w:color w:val="000000" w:themeColor="text1"/>
                <w:sz w:val="24"/>
                <w:szCs w:val="22"/>
                <w14:textFill>
                  <w14:solidFill>
                    <w14:schemeClr w14:val="tx1"/>
                  </w14:solidFill>
                </w14:textFill>
              </w:rPr>
              <w:t>水质</w:t>
            </w:r>
            <w:r>
              <w:rPr>
                <w:rFonts w:hint="eastAsia"/>
                <w:color w:val="000000" w:themeColor="text1"/>
                <w:sz w:val="24"/>
                <w14:textFill>
                  <w14:solidFill>
                    <w14:schemeClr w14:val="tx1"/>
                  </w14:solidFill>
                </w14:textFill>
              </w:rPr>
              <w:t>要求</w:t>
            </w:r>
            <w:r>
              <w:rPr>
                <w:color w:val="000000" w:themeColor="text1"/>
                <w:sz w:val="24"/>
                <w14:textFill>
                  <w14:solidFill>
                    <w14:schemeClr w14:val="tx1"/>
                  </w14:solidFill>
                </w14:textFill>
              </w:rPr>
              <w:t>。</w:t>
            </w:r>
          </w:p>
          <w:p w14:paraId="7D4B6471">
            <w:pPr>
              <w:spacing w:line="360" w:lineRule="auto"/>
              <w:ind w:firstLine="472" w:firstLineChars="196"/>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5、土壤环境</w:t>
            </w:r>
          </w:p>
          <w:p w14:paraId="165B4DD1">
            <w:pPr>
              <w:spacing w:line="360" w:lineRule="auto"/>
              <w:ind w:right="40"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根据《建设项目环境影响报告表编制技术指南（污染影响类）》（试行）》，原则上不开展土壤环境质量现状调查，本项目</w:t>
            </w:r>
            <w:r>
              <w:rPr>
                <w:color w:val="000000" w:themeColor="text1"/>
                <w:kern w:val="0"/>
                <w:sz w:val="24"/>
                <w:lang w:bidi="ar"/>
                <w14:textFill>
                  <w14:solidFill>
                    <w14:schemeClr w14:val="tx1"/>
                  </w14:solidFill>
                </w14:textFill>
              </w:rPr>
              <w:t>非正常工况废水或危险废物泄露下渗</w:t>
            </w:r>
            <w:r>
              <w:rPr>
                <w:rFonts w:hint="eastAsia"/>
                <w:color w:val="000000" w:themeColor="text1"/>
                <w:kern w:val="0"/>
                <w:sz w:val="24"/>
                <w:lang w:bidi="ar"/>
                <w14:textFill>
                  <w14:solidFill>
                    <w14:schemeClr w14:val="tx1"/>
                  </w14:solidFill>
                </w14:textFill>
              </w:rPr>
              <w:t>、发酵渗滤液泄露、废气污染物非正常排放大气沉降也会对土壤造成污染</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因此本次评价引用重新报批前的检测报告，</w:t>
            </w:r>
            <w:r>
              <w:rPr>
                <w:rFonts w:hint="eastAsia"/>
                <w:color w:val="000000" w:themeColor="text1"/>
                <w:sz w:val="24"/>
                <w14:textFill>
                  <w14:solidFill>
                    <w14:schemeClr w14:val="tx1"/>
                  </w14:solidFill>
                </w14:textFill>
              </w:rPr>
              <w:t>对项目区土壤表层样进行</w:t>
            </w:r>
            <w:r>
              <w:rPr>
                <w:color w:val="000000" w:themeColor="text1"/>
                <w:sz w:val="24"/>
                <w14:textFill>
                  <w14:solidFill>
                    <w14:schemeClr w14:val="tx1"/>
                  </w14:solidFill>
                </w14:textFill>
              </w:rPr>
              <w:t>建设用地</w:t>
            </w:r>
            <w:r>
              <w:rPr>
                <w:rFonts w:hint="eastAsia"/>
                <w:color w:val="000000" w:themeColor="text1"/>
                <w:sz w:val="24"/>
                <w14:textFill>
                  <w14:solidFill>
                    <w14:schemeClr w14:val="tx1"/>
                  </w14:solidFill>
                </w14:textFill>
              </w:rPr>
              <w:t>基本因子+特征因子监测以留作背景值：云南坤发环境科技有限公司</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24</w:t>
            </w:r>
            <w:r>
              <w:rPr>
                <w:color w:val="000000" w:themeColor="text1"/>
                <w:sz w:val="24"/>
                <w14:textFill>
                  <w14:solidFill>
                    <w14:schemeClr w14:val="tx1"/>
                  </w14:solidFill>
                </w14:textFill>
              </w:rPr>
              <w:t>日对评价区进行了</w:t>
            </w:r>
            <w:r>
              <w:rPr>
                <w:rFonts w:hint="eastAsia"/>
                <w:color w:val="000000" w:themeColor="text1"/>
                <w:sz w:val="24"/>
                <w14:textFill>
                  <w14:solidFill>
                    <w14:schemeClr w14:val="tx1"/>
                  </w14:solidFill>
                </w14:textFill>
              </w:rPr>
              <w:t>土壤</w:t>
            </w:r>
            <w:r>
              <w:rPr>
                <w:color w:val="000000" w:themeColor="text1"/>
                <w:sz w:val="24"/>
                <w14:textFill>
                  <w14:solidFill>
                    <w14:schemeClr w14:val="tx1"/>
                  </w14:solidFill>
                </w14:textFill>
              </w:rPr>
              <w:t>环境质量现状检测，</w:t>
            </w:r>
            <w:r>
              <w:rPr>
                <w:rFonts w:hint="eastAsia"/>
                <w:color w:val="000000" w:themeColor="text1"/>
                <w:sz w:val="24"/>
                <w14:textFill>
                  <w14:solidFill>
                    <w14:schemeClr w14:val="tx1"/>
                  </w14:solidFill>
                </w14:textFill>
              </w:rPr>
              <w:t>并于</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年0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19</w:t>
            </w:r>
            <w:r>
              <w:rPr>
                <w:color w:val="000000" w:themeColor="text1"/>
                <w:sz w:val="24"/>
                <w14:textFill>
                  <w14:solidFill>
                    <w14:schemeClr w14:val="tx1"/>
                  </w14:solidFill>
                </w14:textFill>
              </w:rPr>
              <w:t>日出具</w:t>
            </w:r>
            <w:r>
              <w:rPr>
                <w:rFonts w:hint="eastAsia"/>
                <w:color w:val="000000" w:themeColor="text1"/>
                <w:sz w:val="24"/>
                <w14:textFill>
                  <w14:solidFill>
                    <w14:schemeClr w14:val="tx1"/>
                  </w14:solidFill>
                </w14:textFill>
              </w:rPr>
              <w:t>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云南錦创环境科技有限公司果蔬废弃物处理项目（变更）检测</w:t>
            </w:r>
            <w:r>
              <w:rPr>
                <w:color w:val="000000" w:themeColor="text1"/>
                <w:sz w:val="24"/>
                <w14:textFill>
                  <w14:solidFill>
                    <w14:schemeClr w14:val="tx1"/>
                  </w14:solidFill>
                </w14:textFill>
              </w:rPr>
              <w:t>（编号：</w:t>
            </w:r>
            <w:r>
              <w:rPr>
                <w:rFonts w:hint="eastAsia"/>
                <w:color w:val="000000" w:themeColor="text1"/>
                <w:sz w:val="24"/>
                <w14:textFill>
                  <w14:solidFill>
                    <w14:schemeClr w14:val="tx1"/>
                  </w14:solidFill>
                </w14:textFill>
              </w:rPr>
              <w:t>坤发环检字</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-03265</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详见附件8。项目表层样土壤理化特性见表3-7，</w:t>
            </w:r>
            <w:r>
              <w:rPr>
                <w:color w:val="000000" w:themeColor="text1"/>
                <w:sz w:val="24"/>
                <w14:textFill>
                  <w14:solidFill>
                    <w14:schemeClr w14:val="tx1"/>
                  </w14:solidFill>
                </w14:textFill>
              </w:rPr>
              <w:t>检测结果见表3-</w:t>
            </w:r>
            <w:r>
              <w:rPr>
                <w:rFonts w:hint="eastAsia"/>
                <w:color w:val="000000" w:themeColor="text1"/>
                <w:sz w:val="24"/>
                <w14:textFill>
                  <w14:solidFill>
                    <w14:schemeClr w14:val="tx1"/>
                  </w14:solidFill>
                </w14:textFill>
              </w:rPr>
              <w:t>8，监测点位位于项目区内，具体详见附图6。</w:t>
            </w:r>
          </w:p>
          <w:p w14:paraId="2EE25961">
            <w:pPr>
              <w:pStyle w:val="115"/>
              <w:widowControl/>
              <w:ind w:firstLine="367" w:firstLineChars="174"/>
              <w:jc w:val="center"/>
              <w:rPr>
                <w:b/>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表</w:t>
            </w:r>
            <w:r>
              <w:rPr>
                <w:b/>
                <w:bCs/>
                <w:color w:val="000000" w:themeColor="text1"/>
                <w14:textFill>
                  <w14:solidFill>
                    <w14:schemeClr w14:val="tx1"/>
                  </w14:solidFill>
                </w14:textFill>
              </w:rPr>
              <w:t xml:space="preserve">3-7 </w:t>
            </w:r>
            <w:r>
              <w:rPr>
                <w:rFonts w:hint="eastAsia" w:ascii="宋体" w:hAnsi="宋体" w:cs="宋体"/>
                <w:b/>
                <w:bCs/>
                <w:color w:val="000000" w:themeColor="text1"/>
                <w14:textFill>
                  <w14:solidFill>
                    <w14:schemeClr w14:val="tx1"/>
                  </w14:solidFill>
                </w14:textFill>
              </w:rPr>
              <w:t>土壤理化特性调查表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248"/>
            </w:tblGrid>
            <w:tr w14:paraId="7A7D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29ECE165">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采样点位</w:t>
                  </w:r>
                </w:p>
              </w:tc>
              <w:tc>
                <w:tcPr>
                  <w:tcW w:w="4221" w:type="dxa"/>
                  <w:vAlign w:val="center"/>
                </w:tcPr>
                <w:p w14:paraId="609FDF7E">
                  <w:pPr>
                    <w:widowControl/>
                    <w:jc w:val="center"/>
                    <w:rPr>
                      <w:bCs/>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项目区内未硬化的地方取样（表层样）</w:t>
                  </w:r>
                </w:p>
              </w:tc>
            </w:tr>
            <w:tr w14:paraId="078F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77340EE7">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4221" w:type="dxa"/>
                  <w:vAlign w:val="center"/>
                </w:tcPr>
                <w:p w14:paraId="54C30008">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r>
            <w:tr w14:paraId="5F9E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345CAE47">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54E5164C">
                  <w:pPr>
                    <w:ind w:firstLine="1050" w:firstLineChars="5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4221" w:type="dxa"/>
                  <w:vAlign w:val="center"/>
                </w:tcPr>
                <w:p w14:paraId="7B2EA498">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红棕、颗粒</w:t>
                  </w:r>
                </w:p>
              </w:tc>
            </w:tr>
            <w:tr w14:paraId="7A65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82BCE1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阳离子交换量</w:t>
                  </w:r>
                  <w:r>
                    <w:rPr>
                      <w:rFonts w:hint="eastAsia" w:ascii="宋体" w:hAnsi="宋体" w:cs="宋体"/>
                      <w:color w:val="000000" w:themeColor="text1"/>
                      <w:kern w:val="0"/>
                      <w14:textFill>
                        <w14:solidFill>
                          <w14:schemeClr w14:val="tx1"/>
                        </w14:solidFill>
                      </w14:textFill>
                    </w:rPr>
                    <w:t>（</w:t>
                  </w:r>
                  <w:r>
                    <w:rPr>
                      <w:color w:val="000000" w:themeColor="text1"/>
                      <w14:textFill>
                        <w14:solidFill>
                          <w14:schemeClr w14:val="tx1"/>
                        </w14:solidFill>
                      </w14:textFill>
                    </w:rPr>
                    <w:t>cmol(+)/kg</w:t>
                  </w:r>
                  <w:r>
                    <w:rPr>
                      <w:rFonts w:hint="eastAsia" w:ascii="宋体" w:hAnsi="宋体" w:cs="宋体"/>
                      <w:color w:val="000000" w:themeColor="text1"/>
                      <w:kern w:val="0"/>
                      <w14:textFill>
                        <w14:solidFill>
                          <w14:schemeClr w14:val="tx1"/>
                        </w14:solidFill>
                      </w14:textFill>
                    </w:rPr>
                    <w:t>）</w:t>
                  </w:r>
                </w:p>
              </w:tc>
              <w:tc>
                <w:tcPr>
                  <w:tcW w:w="4221" w:type="dxa"/>
                  <w:vAlign w:val="center"/>
                </w:tcPr>
                <w:p w14:paraId="0A3EED9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r>
            <w:tr w14:paraId="1205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5C9391E9">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容重（</w:t>
                  </w:r>
                  <w:r>
                    <w:rPr>
                      <w:color w:val="000000" w:themeColor="text1"/>
                      <w14:textFill>
                        <w14:solidFill>
                          <w14:schemeClr w14:val="tx1"/>
                        </w14:solidFill>
                      </w14:textFill>
                    </w:rPr>
                    <w:t>g/m</w:t>
                  </w:r>
                  <w:r>
                    <w:rPr>
                      <w:color w:val="000000" w:themeColor="text1"/>
                      <w:vertAlign w:val="superscript"/>
                      <w14:textFill>
                        <w14:solidFill>
                          <w14:schemeClr w14:val="tx1"/>
                        </w14:solidFill>
                      </w14:textFill>
                    </w:rPr>
                    <w:t>3</w:t>
                  </w:r>
                  <w:r>
                    <w:rPr>
                      <w:rFonts w:hint="eastAsia" w:ascii="宋体" w:hAnsi="宋体" w:cs="宋体"/>
                      <w:color w:val="000000" w:themeColor="text1"/>
                      <w14:textFill>
                        <w14:solidFill>
                          <w14:schemeClr w14:val="tx1"/>
                        </w14:solidFill>
                      </w14:textFill>
                    </w:rPr>
                    <w:t>）</w:t>
                  </w:r>
                </w:p>
              </w:tc>
              <w:tc>
                <w:tcPr>
                  <w:tcW w:w="4221" w:type="dxa"/>
                  <w:vAlign w:val="center"/>
                </w:tcPr>
                <w:p w14:paraId="71D0D281">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1.49</w:t>
                  </w:r>
                </w:p>
              </w:tc>
            </w:tr>
            <w:tr w14:paraId="3C4B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836D9CB">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氧化还原电位（</w:t>
                  </w:r>
                  <w:r>
                    <w:rPr>
                      <w:color w:val="000000" w:themeColor="text1"/>
                      <w14:textFill>
                        <w14:solidFill>
                          <w14:schemeClr w14:val="tx1"/>
                        </w14:solidFill>
                      </w14:textFill>
                    </w:rPr>
                    <w:t>mV</w:t>
                  </w:r>
                  <w:r>
                    <w:rPr>
                      <w:rFonts w:hint="eastAsia" w:ascii="宋体" w:hAnsi="宋体" w:cs="宋体"/>
                      <w:color w:val="000000" w:themeColor="text1"/>
                      <w14:textFill>
                        <w14:solidFill>
                          <w14:schemeClr w14:val="tx1"/>
                        </w14:solidFill>
                      </w14:textFill>
                    </w:rPr>
                    <w:t>）</w:t>
                  </w:r>
                </w:p>
              </w:tc>
              <w:tc>
                <w:tcPr>
                  <w:tcW w:w="4221" w:type="dxa"/>
                  <w:vAlign w:val="center"/>
                </w:tcPr>
                <w:p w14:paraId="75C9914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498</w:t>
                  </w:r>
                </w:p>
              </w:tc>
            </w:tr>
            <w:tr w14:paraId="4EAD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3F06719A">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渗滤率（饱和导水率）</w:t>
                  </w:r>
                  <w:r>
                    <w:rPr>
                      <w:color w:val="000000" w:themeColor="text1"/>
                      <w14:textFill>
                        <w14:solidFill>
                          <w14:schemeClr w14:val="tx1"/>
                        </w14:solidFill>
                      </w14:textFill>
                    </w:rPr>
                    <w:t>k10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mm/min</w:t>
                  </w:r>
                  <w:r>
                    <w:rPr>
                      <w:rFonts w:hint="eastAsia" w:ascii="宋体" w:hAnsi="宋体" w:cs="宋体"/>
                      <w:color w:val="000000" w:themeColor="text1"/>
                      <w14:textFill>
                        <w14:solidFill>
                          <w14:schemeClr w14:val="tx1"/>
                        </w14:solidFill>
                      </w14:textFill>
                    </w:rPr>
                    <w:t>）</w:t>
                  </w:r>
                </w:p>
              </w:tc>
              <w:tc>
                <w:tcPr>
                  <w:tcW w:w="4221" w:type="dxa"/>
                  <w:vAlign w:val="center"/>
                </w:tcPr>
                <w:p w14:paraId="70CCAEE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6.28</w:t>
                  </w:r>
                </w:p>
              </w:tc>
            </w:tr>
            <w:tr w14:paraId="6EA0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5" w:type="dxa"/>
                  <w:vAlign w:val="center"/>
                </w:tcPr>
                <w:p w14:paraId="6D6735C3">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孔隙度</w:t>
                  </w:r>
                  <w:r>
                    <w:rPr>
                      <w:color w:val="000000" w:themeColor="text1"/>
                      <w14:textFill>
                        <w14:solidFill>
                          <w14:schemeClr w14:val="tx1"/>
                        </w14:solidFill>
                      </w14:textFill>
                    </w:rPr>
                    <w:t>Pt</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p>
              </w:tc>
              <w:tc>
                <w:tcPr>
                  <w:tcW w:w="4221" w:type="dxa"/>
                  <w:vAlign w:val="center"/>
                </w:tcPr>
                <w:p w14:paraId="33B3F61D">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9.3</w:t>
                  </w:r>
                </w:p>
              </w:tc>
            </w:tr>
            <w:tr w14:paraId="4FE2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19575CC6">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层次（</w:t>
                  </w:r>
                  <w:r>
                    <w:rPr>
                      <w:color w:val="000000" w:themeColor="text1"/>
                      <w14:textFill>
                        <w14:solidFill>
                          <w14:schemeClr w14:val="tx1"/>
                        </w14:solidFill>
                      </w14:textFill>
                    </w:rPr>
                    <w:t>m</w:t>
                  </w:r>
                  <w:r>
                    <w:rPr>
                      <w:rFonts w:hint="eastAsia" w:ascii="宋体" w:hAnsi="宋体" w:cs="宋体"/>
                      <w:color w:val="000000" w:themeColor="text1"/>
                      <w14:textFill>
                        <w14:solidFill>
                          <w14:schemeClr w14:val="tx1"/>
                        </w14:solidFill>
                      </w14:textFill>
                    </w:rPr>
                    <w:t>）</w:t>
                  </w:r>
                </w:p>
              </w:tc>
              <w:tc>
                <w:tcPr>
                  <w:tcW w:w="4221" w:type="dxa"/>
                  <w:vAlign w:val="center"/>
                </w:tcPr>
                <w:p w14:paraId="38DDA830">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0~0.5</w:t>
                  </w:r>
                </w:p>
              </w:tc>
            </w:tr>
            <w:tr w14:paraId="4FDC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01AF0705">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质地</w:t>
                  </w:r>
                </w:p>
              </w:tc>
              <w:tc>
                <w:tcPr>
                  <w:tcW w:w="4221" w:type="dxa"/>
                  <w:vAlign w:val="center"/>
                </w:tcPr>
                <w:p w14:paraId="01A5BC7E">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壤土</w:t>
                  </w:r>
                </w:p>
              </w:tc>
            </w:tr>
            <w:tr w14:paraId="03E5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1DD9FF6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砂砾含量（</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w:t>
                  </w:r>
                </w:p>
              </w:tc>
              <w:tc>
                <w:tcPr>
                  <w:tcW w:w="4221" w:type="dxa"/>
                  <w:vAlign w:val="center"/>
                </w:tcPr>
                <w:p w14:paraId="7A9E16BB">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w:t>
                  </w:r>
                </w:p>
              </w:tc>
            </w:tr>
            <w:tr w14:paraId="768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5" w:type="dxa"/>
                  <w:vAlign w:val="center"/>
                </w:tcPr>
                <w:p w14:paraId="46BC1AB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其他异物</w:t>
                  </w:r>
                </w:p>
              </w:tc>
              <w:tc>
                <w:tcPr>
                  <w:tcW w:w="4221" w:type="dxa"/>
                  <w:vAlign w:val="center"/>
                </w:tcPr>
                <w:p w14:paraId="0CA9810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植物根须</w:t>
                  </w:r>
                </w:p>
              </w:tc>
            </w:tr>
            <w:tr w14:paraId="77B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6" w:type="dxa"/>
                  <w:gridSpan w:val="2"/>
                  <w:vAlign w:val="center"/>
                </w:tcPr>
                <w:p w14:paraId="47C42CB8">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备注：饱和导水率以渗滤率计。</w:t>
                  </w:r>
                  <w:r>
                    <w:rPr>
                      <w:color w:val="000000" w:themeColor="text1"/>
                      <w14:textFill>
                        <w14:solidFill>
                          <w14:schemeClr w14:val="tx1"/>
                        </w14:solidFill>
                      </w14:textFill>
                    </w:rPr>
                    <w:t>“&amp;”</w:t>
                  </w:r>
                  <w:r>
                    <w:rPr>
                      <w:rFonts w:hint="eastAsia" w:ascii="宋体" w:hAnsi="宋体" w:cs="宋体"/>
                      <w:color w:val="000000" w:themeColor="text1"/>
                      <w14:textFill>
                        <w14:solidFill>
                          <w14:schemeClr w14:val="tx1"/>
                        </w14:solidFill>
                      </w14:textFill>
                    </w:rPr>
                    <w:t>为非计量认证项目。</w:t>
                  </w:r>
                </w:p>
              </w:tc>
            </w:tr>
          </w:tbl>
          <w:p w14:paraId="46593057">
            <w:pPr>
              <w:pStyle w:val="115"/>
              <w:widowControl/>
              <w:ind w:firstLine="367" w:firstLineChars="174"/>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表</w:t>
            </w:r>
            <w:r>
              <w:rPr>
                <w:b/>
                <w:color w:val="000000" w:themeColor="text1"/>
                <w14:textFill>
                  <w14:solidFill>
                    <w14:schemeClr w14:val="tx1"/>
                  </w14:solidFill>
                </w14:textFill>
              </w:rPr>
              <w:t xml:space="preserve">3-8    </w:t>
            </w:r>
            <w:r>
              <w:rPr>
                <w:rFonts w:hint="eastAsia"/>
                <w:b/>
                <w:color w:val="000000" w:themeColor="text1"/>
                <w14:textFill>
                  <w14:solidFill>
                    <w14:schemeClr w14:val="tx1"/>
                  </w14:solidFill>
                </w14:textFill>
              </w:rPr>
              <w:t>土壤监测</w:t>
            </w:r>
            <w:r>
              <w:rPr>
                <w:rFonts w:hint="eastAsia" w:ascii="宋体" w:hAnsi="宋体" w:cs="宋体"/>
                <w:b/>
                <w:color w:val="000000" w:themeColor="text1"/>
                <w14:textFill>
                  <w14:solidFill>
                    <w14:schemeClr w14:val="tx1"/>
                  </w14:solidFill>
                </w14:textFill>
              </w:rPr>
              <w:t>结果一览表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2263"/>
              <w:gridCol w:w="3921"/>
              <w:gridCol w:w="776"/>
              <w:gridCol w:w="674"/>
            </w:tblGrid>
            <w:tr w14:paraId="4274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8B4F145">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采样点位</w:t>
                  </w:r>
                </w:p>
              </w:tc>
              <w:tc>
                <w:tcPr>
                  <w:tcW w:w="3921" w:type="dxa"/>
                  <w:vAlign w:val="center"/>
                </w:tcPr>
                <w:p w14:paraId="14B0B9DF">
                  <w:pPr>
                    <w:widowControl/>
                    <w:jc w:val="center"/>
                    <w:rPr>
                      <w:bCs/>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项目区内未硬化的地方取样（表层样）</w:t>
                  </w:r>
                </w:p>
              </w:tc>
              <w:tc>
                <w:tcPr>
                  <w:tcW w:w="776" w:type="dxa"/>
                  <w:vMerge w:val="restart"/>
                  <w:vAlign w:val="center"/>
                </w:tcPr>
                <w:p w14:paraId="592D072F">
                  <w:pPr>
                    <w:widowControl/>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第二类用地筛选值</w:t>
                  </w:r>
                </w:p>
              </w:tc>
              <w:tc>
                <w:tcPr>
                  <w:tcW w:w="674" w:type="dxa"/>
                  <w:vMerge w:val="restart"/>
                  <w:vAlign w:val="center"/>
                </w:tcPr>
                <w:p w14:paraId="6BF101F6">
                  <w:pPr>
                    <w:widowControl/>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达标情况</w:t>
                  </w:r>
                </w:p>
              </w:tc>
            </w:tr>
            <w:tr w14:paraId="0FC7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FB5CBD9">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采样日期</w:t>
                  </w:r>
                  <w:r>
                    <w:rPr>
                      <w:bCs/>
                      <w:color w:val="000000" w:themeColor="text1"/>
                      <w:szCs w:val="21"/>
                      <w:lang w:bidi="ar"/>
                      <w14:textFill>
                        <w14:solidFill>
                          <w14:schemeClr w14:val="tx1"/>
                        </w14:solidFill>
                      </w14:textFill>
                    </w:rPr>
                    <w:t>/</w:t>
                  </w:r>
                  <w:r>
                    <w:rPr>
                      <w:rFonts w:hint="eastAsia" w:ascii="宋体" w:hAnsi="宋体" w:cs="宋体"/>
                      <w:bCs/>
                      <w:color w:val="000000" w:themeColor="text1"/>
                      <w:szCs w:val="21"/>
                      <w:lang w:bidi="ar"/>
                      <w14:textFill>
                        <w14:solidFill>
                          <w14:schemeClr w14:val="tx1"/>
                        </w14:solidFill>
                      </w14:textFill>
                    </w:rPr>
                    <w:t>接样日期</w:t>
                  </w:r>
                </w:p>
              </w:tc>
              <w:tc>
                <w:tcPr>
                  <w:tcW w:w="3921" w:type="dxa"/>
                  <w:vAlign w:val="center"/>
                </w:tcPr>
                <w:p w14:paraId="31CE44DC">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2023.03.24/2023.03.25</w:t>
                  </w:r>
                </w:p>
              </w:tc>
              <w:tc>
                <w:tcPr>
                  <w:tcW w:w="776" w:type="dxa"/>
                  <w:vMerge w:val="continue"/>
                  <w:vAlign w:val="center"/>
                </w:tcPr>
                <w:p w14:paraId="72E5A52D">
                  <w:pPr>
                    <w:rPr>
                      <w:color w:val="000000" w:themeColor="text1"/>
                      <w:sz w:val="20"/>
                      <w:szCs w:val="20"/>
                      <w14:textFill>
                        <w14:solidFill>
                          <w14:schemeClr w14:val="tx1"/>
                        </w14:solidFill>
                      </w14:textFill>
                    </w:rPr>
                  </w:pPr>
                </w:p>
              </w:tc>
              <w:tc>
                <w:tcPr>
                  <w:tcW w:w="674" w:type="dxa"/>
                  <w:vMerge w:val="continue"/>
                  <w:vAlign w:val="center"/>
                </w:tcPr>
                <w:p w14:paraId="4709B629">
                  <w:pPr>
                    <w:rPr>
                      <w:color w:val="000000" w:themeColor="text1"/>
                      <w:sz w:val="20"/>
                      <w:szCs w:val="20"/>
                      <w14:textFill>
                        <w14:solidFill>
                          <w14:schemeClr w14:val="tx1"/>
                        </w14:solidFill>
                      </w14:textFill>
                    </w:rPr>
                  </w:pPr>
                </w:p>
              </w:tc>
            </w:tr>
            <w:tr w14:paraId="3367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75D94C5">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 xml:space="preserve">                   </w:t>
                  </w:r>
                  <w:r>
                    <w:rPr>
                      <w:rFonts w:hint="eastAsia" w:ascii="宋体" w:hAnsi="宋体" w:cs="宋体"/>
                      <w:bCs/>
                      <w:color w:val="000000" w:themeColor="text1"/>
                      <w:szCs w:val="21"/>
                      <w:lang w:bidi="ar"/>
                      <w14:textFill>
                        <w14:solidFill>
                          <w14:schemeClr w14:val="tx1"/>
                        </w14:solidFill>
                      </w14:textFill>
                    </w:rPr>
                    <w:t>样品状态</w:t>
                  </w:r>
                </w:p>
                <w:p w14:paraId="0E8CDCE9">
                  <w:pPr>
                    <w:ind w:firstLine="840" w:firstLineChars="400"/>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项目</w:t>
                  </w:r>
                </w:p>
              </w:tc>
              <w:tc>
                <w:tcPr>
                  <w:tcW w:w="3921" w:type="dxa"/>
                  <w:vAlign w:val="center"/>
                </w:tcPr>
                <w:p w14:paraId="5CA59374">
                  <w:pPr>
                    <w:jc w:val="center"/>
                    <w:rPr>
                      <w:bCs/>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红棕、颗粒</w:t>
                  </w:r>
                </w:p>
              </w:tc>
              <w:tc>
                <w:tcPr>
                  <w:tcW w:w="776" w:type="dxa"/>
                  <w:vMerge w:val="continue"/>
                  <w:vAlign w:val="center"/>
                </w:tcPr>
                <w:p w14:paraId="108B669A">
                  <w:pPr>
                    <w:rPr>
                      <w:color w:val="000000" w:themeColor="text1"/>
                      <w:sz w:val="20"/>
                      <w:szCs w:val="20"/>
                      <w14:textFill>
                        <w14:solidFill>
                          <w14:schemeClr w14:val="tx1"/>
                        </w14:solidFill>
                      </w14:textFill>
                    </w:rPr>
                  </w:pPr>
                </w:p>
              </w:tc>
              <w:tc>
                <w:tcPr>
                  <w:tcW w:w="674" w:type="dxa"/>
                  <w:vMerge w:val="continue"/>
                  <w:vAlign w:val="center"/>
                </w:tcPr>
                <w:p w14:paraId="4968B793">
                  <w:pPr>
                    <w:rPr>
                      <w:color w:val="000000" w:themeColor="text1"/>
                      <w:sz w:val="20"/>
                      <w:szCs w:val="20"/>
                      <w14:textFill>
                        <w14:solidFill>
                          <w14:schemeClr w14:val="tx1"/>
                        </w14:solidFill>
                      </w14:textFill>
                    </w:rPr>
                  </w:pPr>
                </w:p>
              </w:tc>
            </w:tr>
            <w:tr w14:paraId="0F83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E05C16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ascii="宋体" w:hAnsi="宋体" w:cs="宋体"/>
                      <w:color w:val="000000" w:themeColor="text1"/>
                      <w14:textFill>
                        <w14:solidFill>
                          <w14:schemeClr w14:val="tx1"/>
                        </w14:solidFill>
                      </w14:textFill>
                    </w:rPr>
                    <w:t>（无量纲）</w:t>
                  </w:r>
                </w:p>
              </w:tc>
              <w:tc>
                <w:tcPr>
                  <w:tcW w:w="3921" w:type="dxa"/>
                  <w:vAlign w:val="center"/>
                </w:tcPr>
                <w:p w14:paraId="0FEC5137">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6.41</w:t>
                  </w:r>
                </w:p>
              </w:tc>
              <w:tc>
                <w:tcPr>
                  <w:tcW w:w="776" w:type="dxa"/>
                  <w:vAlign w:val="center"/>
                </w:tcPr>
                <w:p w14:paraId="7F288C68">
                  <w:pPr>
                    <w:pStyle w:val="115"/>
                    <w:widowControl/>
                    <w:ind w:firstLine="0" w:firstLineChars="0"/>
                    <w:jc w:val="center"/>
                    <w:rPr>
                      <w:rFonts w:hint="eastAsia" w:ascii="宋体" w:hAnsi="宋体" w:cs="宋体"/>
                      <w:color w:val="000000" w:themeColor="text1"/>
                      <w14:textFill>
                        <w14:solidFill>
                          <w14:schemeClr w14:val="tx1"/>
                        </w14:solidFill>
                      </w14:textFill>
                    </w:rPr>
                  </w:pPr>
                </w:p>
              </w:tc>
              <w:tc>
                <w:tcPr>
                  <w:tcW w:w="674" w:type="dxa"/>
                  <w:vAlign w:val="center"/>
                </w:tcPr>
                <w:p w14:paraId="07CFCDDC">
                  <w:pPr>
                    <w:pStyle w:val="115"/>
                    <w:widowControl/>
                    <w:ind w:firstLine="0" w:firstLineChars="0"/>
                    <w:jc w:val="center"/>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达标</w:t>
                  </w:r>
                </w:p>
              </w:tc>
            </w:tr>
            <w:tr w14:paraId="50A9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C82D17A">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镉（</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A701EAC">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0.402</w:t>
                  </w:r>
                </w:p>
              </w:tc>
              <w:tc>
                <w:tcPr>
                  <w:tcW w:w="776" w:type="dxa"/>
                  <w:vAlign w:val="center"/>
                </w:tcPr>
                <w:p w14:paraId="16CF85A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65</w:t>
                  </w:r>
                </w:p>
              </w:tc>
              <w:tc>
                <w:tcPr>
                  <w:tcW w:w="674" w:type="dxa"/>
                  <w:vAlign w:val="center"/>
                </w:tcPr>
                <w:p w14:paraId="313DA5A2">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3BD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ED19C8D">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铅（</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8FCB3FB">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43.2</w:t>
                  </w:r>
                </w:p>
              </w:tc>
              <w:tc>
                <w:tcPr>
                  <w:tcW w:w="776" w:type="dxa"/>
                  <w:vAlign w:val="center"/>
                </w:tcPr>
                <w:p w14:paraId="3399504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674" w:type="dxa"/>
                  <w:vAlign w:val="center"/>
                </w:tcPr>
                <w:p w14:paraId="5F8F66F9">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6D8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3B729F9">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铜（</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F48D7D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57.6</w:t>
                  </w:r>
                </w:p>
              </w:tc>
              <w:tc>
                <w:tcPr>
                  <w:tcW w:w="776" w:type="dxa"/>
                  <w:vAlign w:val="center"/>
                </w:tcPr>
                <w:p w14:paraId="3E26252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18000</w:t>
                  </w:r>
                </w:p>
              </w:tc>
              <w:tc>
                <w:tcPr>
                  <w:tcW w:w="674" w:type="dxa"/>
                  <w:vAlign w:val="center"/>
                </w:tcPr>
                <w:p w14:paraId="36E6463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55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9016D88">
                  <w:pPr>
                    <w:pStyle w:val="115"/>
                    <w:widowControl/>
                    <w:ind w:firstLine="0" w:firstLineChars="0"/>
                    <w:jc w:val="center"/>
                    <w:rPr>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镍</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649A7B6">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94.5</w:t>
                  </w:r>
                </w:p>
              </w:tc>
              <w:tc>
                <w:tcPr>
                  <w:tcW w:w="776" w:type="dxa"/>
                  <w:vAlign w:val="center"/>
                </w:tcPr>
                <w:p w14:paraId="52EEB0A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674" w:type="dxa"/>
                  <w:vAlign w:val="center"/>
                </w:tcPr>
                <w:p w14:paraId="1E15954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FF4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A190AB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汞（</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F9D5A9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0.166</w:t>
                  </w:r>
                </w:p>
              </w:tc>
              <w:tc>
                <w:tcPr>
                  <w:tcW w:w="776" w:type="dxa"/>
                  <w:vAlign w:val="center"/>
                </w:tcPr>
                <w:p w14:paraId="3A84685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38</w:t>
                  </w:r>
                </w:p>
              </w:tc>
              <w:tc>
                <w:tcPr>
                  <w:tcW w:w="674" w:type="dxa"/>
                  <w:vAlign w:val="center"/>
                </w:tcPr>
                <w:p w14:paraId="13996736">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872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DA8BCA0">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9E6C091">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55.7</w:t>
                  </w:r>
                </w:p>
              </w:tc>
              <w:tc>
                <w:tcPr>
                  <w:tcW w:w="776" w:type="dxa"/>
                  <w:vAlign w:val="center"/>
                </w:tcPr>
                <w:p w14:paraId="6E39B85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74" w:type="dxa"/>
                  <w:vAlign w:val="center"/>
                </w:tcPr>
                <w:p w14:paraId="2B5CE97A">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D5E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C59DCA0">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4956064">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78</w:t>
                  </w:r>
                </w:p>
              </w:tc>
              <w:tc>
                <w:tcPr>
                  <w:tcW w:w="776" w:type="dxa"/>
                  <w:vAlign w:val="center"/>
                </w:tcPr>
                <w:p w14:paraId="7461BBA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4500</w:t>
                  </w:r>
                </w:p>
              </w:tc>
              <w:tc>
                <w:tcPr>
                  <w:tcW w:w="674" w:type="dxa"/>
                  <w:vAlign w:val="center"/>
                </w:tcPr>
                <w:p w14:paraId="73D2057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3F4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B5CA841">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六价铬（</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D5DD0BD">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0.5</w:t>
                  </w:r>
                </w:p>
              </w:tc>
              <w:tc>
                <w:tcPr>
                  <w:tcW w:w="776" w:type="dxa"/>
                  <w:vAlign w:val="center"/>
                </w:tcPr>
                <w:p w14:paraId="3CD459E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5.7</w:t>
                  </w:r>
                </w:p>
              </w:tc>
              <w:tc>
                <w:tcPr>
                  <w:tcW w:w="674" w:type="dxa"/>
                  <w:vAlign w:val="center"/>
                </w:tcPr>
                <w:p w14:paraId="0B517D0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A72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499F71C">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氯甲烷（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A4B7D8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BC686A7">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37</w:t>
                  </w:r>
                </w:p>
              </w:tc>
              <w:tc>
                <w:tcPr>
                  <w:tcW w:w="674" w:type="dxa"/>
                  <w:vAlign w:val="center"/>
                </w:tcPr>
                <w:p w14:paraId="062C8B8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9A0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9D707D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四氯化碳（</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2D723E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D38B53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1E549C0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FB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35195A3">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氯仿（</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AF78DE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ECD809A">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0.9</w:t>
                  </w:r>
                </w:p>
              </w:tc>
              <w:tc>
                <w:tcPr>
                  <w:tcW w:w="674" w:type="dxa"/>
                  <w:vAlign w:val="center"/>
                </w:tcPr>
                <w:p w14:paraId="4F47671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06F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CBEB37B">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二氯乙烷（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3BD450A">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0D2CB213">
                  <w:pPr>
                    <w:pStyle w:val="115"/>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9</w:t>
                  </w:r>
                </w:p>
              </w:tc>
              <w:tc>
                <w:tcPr>
                  <w:tcW w:w="674" w:type="dxa"/>
                  <w:vAlign w:val="center"/>
                </w:tcPr>
                <w:p w14:paraId="7AFC1BC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058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1C2470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BB96F11">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6FBA102">
                  <w:pPr>
                    <w:pStyle w:val="115"/>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5</w:t>
                  </w:r>
                </w:p>
              </w:tc>
              <w:tc>
                <w:tcPr>
                  <w:tcW w:w="674" w:type="dxa"/>
                  <w:vAlign w:val="center"/>
                </w:tcPr>
                <w:p w14:paraId="751847F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9A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9456365">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7592DCB">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4B6B7EE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66</w:t>
                  </w:r>
                </w:p>
              </w:tc>
              <w:tc>
                <w:tcPr>
                  <w:tcW w:w="674" w:type="dxa"/>
                  <w:vAlign w:val="center"/>
                </w:tcPr>
                <w:p w14:paraId="2111158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A63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80E1DC8">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顺</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F768FB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55491F0">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596</w:t>
                  </w:r>
                </w:p>
              </w:tc>
              <w:tc>
                <w:tcPr>
                  <w:tcW w:w="674" w:type="dxa"/>
                  <w:vAlign w:val="center"/>
                </w:tcPr>
                <w:p w14:paraId="3BC0F11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DE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F1D24F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反</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26CE8D1">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1D199B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54</w:t>
                  </w:r>
                </w:p>
              </w:tc>
              <w:tc>
                <w:tcPr>
                  <w:tcW w:w="674" w:type="dxa"/>
                  <w:vAlign w:val="center"/>
                </w:tcPr>
                <w:p w14:paraId="7D732D5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42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9DF9197">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二氯甲烷（</w:t>
                  </w:r>
                  <w:r>
                    <w:rPr>
                      <w:color w:val="000000" w:themeColor="text1"/>
                      <w:szCs w:val="21"/>
                      <w:lang w:bidi="ar"/>
                      <w14:textFill>
                        <w14:solidFill>
                          <w14:schemeClr w14:val="tx1"/>
                        </w14:solidFill>
                      </w14:textFill>
                    </w:rPr>
                    <w:t>mg/kg</w:t>
                  </w:r>
                  <w:r>
                    <w:rPr>
                      <w:rFonts w:hint="eastAsia" w:ascii="宋体" w:hAnsi="宋体" w:cs="宋体"/>
                      <w:color w:val="000000" w:themeColor="text1"/>
                      <w:szCs w:val="21"/>
                      <w:lang w:bidi="ar"/>
                      <w14:textFill>
                        <w14:solidFill>
                          <w14:schemeClr w14:val="tx1"/>
                        </w14:solidFill>
                      </w14:textFill>
                    </w:rPr>
                    <w:t>）</w:t>
                  </w:r>
                </w:p>
              </w:tc>
              <w:tc>
                <w:tcPr>
                  <w:tcW w:w="3921" w:type="dxa"/>
                  <w:vAlign w:val="center"/>
                </w:tcPr>
                <w:p w14:paraId="4412A62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519A2797">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674" w:type="dxa"/>
                  <w:vAlign w:val="center"/>
                </w:tcPr>
                <w:p w14:paraId="1F5DD8B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8E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F0D8FD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二氯丙烷（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17C3BC0">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CB8FCA7">
                  <w:pPr>
                    <w:pStyle w:val="115"/>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5</w:t>
                  </w:r>
                </w:p>
              </w:tc>
              <w:tc>
                <w:tcPr>
                  <w:tcW w:w="674" w:type="dxa"/>
                  <w:vAlign w:val="center"/>
                </w:tcPr>
                <w:p w14:paraId="499A2B7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BB6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8B5AA77">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1,1,1,2-</w:t>
                  </w:r>
                  <w:r>
                    <w:rPr>
                      <w:rFonts w:hint="eastAsia" w:ascii="宋体" w:hAnsi="宋体" w:cs="宋体"/>
                      <w:color w:val="000000" w:themeColor="text1"/>
                      <w14:textFill>
                        <w14:solidFill>
                          <w14:schemeClr w14:val="tx1"/>
                        </w14:solidFill>
                      </w14:textFill>
                    </w:rPr>
                    <w:t>四氯乙烷（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794793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05A0BFF5">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74" w:type="dxa"/>
                  <w:vAlign w:val="center"/>
                </w:tcPr>
                <w:p w14:paraId="21EA3BF9">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1AE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6C107D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1,1,2,2-</w:t>
                  </w:r>
                  <w:r>
                    <w:rPr>
                      <w:rFonts w:hint="eastAsia" w:ascii="宋体" w:hAnsi="宋体" w:cs="宋体"/>
                      <w:color w:val="000000" w:themeColor="text1"/>
                      <w14:textFill>
                        <w14:solidFill>
                          <w14:schemeClr w14:val="tx1"/>
                        </w14:solidFill>
                      </w14:textFill>
                    </w:rPr>
                    <w:t>四氯乙烷（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125F393">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C45BBD0">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6.8</w:t>
                  </w:r>
                </w:p>
              </w:tc>
              <w:tc>
                <w:tcPr>
                  <w:tcW w:w="674" w:type="dxa"/>
                  <w:vAlign w:val="center"/>
                </w:tcPr>
                <w:p w14:paraId="586AEED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CBC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C2D69F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E61F90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1EDF532B">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0.43</w:t>
                  </w:r>
                </w:p>
              </w:tc>
              <w:tc>
                <w:tcPr>
                  <w:tcW w:w="674" w:type="dxa"/>
                  <w:vAlign w:val="center"/>
                </w:tcPr>
                <w:p w14:paraId="781EBB1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A47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AABBA5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1,1,1-</w:t>
                  </w:r>
                  <w:r>
                    <w:rPr>
                      <w:rFonts w:hint="eastAsia" w:ascii="宋体" w:hAnsi="宋体" w:cs="宋体"/>
                      <w:color w:val="000000" w:themeColor="text1"/>
                      <w14:textFill>
                        <w14:solidFill>
                          <w14:schemeClr w14:val="tx1"/>
                        </w14:solidFill>
                      </w14:textFill>
                    </w:rPr>
                    <w:t>三氯乙烷（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6B719F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F35B31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674" w:type="dxa"/>
                  <w:vAlign w:val="center"/>
                </w:tcPr>
                <w:p w14:paraId="6513C42C">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BB2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71911A5">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1,1,2-</w:t>
                  </w:r>
                  <w:r>
                    <w:rPr>
                      <w:rFonts w:hint="eastAsia" w:ascii="宋体" w:hAnsi="宋体" w:cs="宋体"/>
                      <w:color w:val="000000" w:themeColor="text1"/>
                      <w14:textFill>
                        <w14:solidFill>
                          <w14:schemeClr w14:val="tx1"/>
                        </w14:solidFill>
                      </w14:textFill>
                    </w:rPr>
                    <w:t>三氯乙烷（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21DBF2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FB4E4E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1F4A54C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C7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9377515">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三氯乙烯（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28DB43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537F5D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3593143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FE9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D67FBB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1,2,3-</w:t>
                  </w:r>
                  <w:r>
                    <w:rPr>
                      <w:rFonts w:hint="eastAsia" w:ascii="宋体" w:hAnsi="宋体" w:cs="宋体"/>
                      <w:color w:val="000000" w:themeColor="text1"/>
                      <w14:textFill>
                        <w14:solidFill>
                          <w14:schemeClr w14:val="tx1"/>
                        </w14:solidFill>
                      </w14:textFill>
                    </w:rPr>
                    <w:t>三氯丙烷（</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7561B93">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4DC1D23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0.5</w:t>
                  </w:r>
                </w:p>
              </w:tc>
              <w:tc>
                <w:tcPr>
                  <w:tcW w:w="674" w:type="dxa"/>
                  <w:vAlign w:val="center"/>
                </w:tcPr>
                <w:p w14:paraId="4B7624D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02C4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ED638BC">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四氯乙烯（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A0CF1B2">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1.4</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AEBF0C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53</w:t>
                  </w:r>
                </w:p>
              </w:tc>
              <w:tc>
                <w:tcPr>
                  <w:tcW w:w="674" w:type="dxa"/>
                  <w:vAlign w:val="center"/>
                </w:tcPr>
                <w:p w14:paraId="0F4B4524">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838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6F718F6">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B261BE3">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1.9</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1A9FD98">
                  <w:pPr>
                    <w:pStyle w:val="115"/>
                    <w:widowControl/>
                    <w:ind w:firstLine="0" w:firstLineChars="0"/>
                    <w:jc w:val="center"/>
                    <w:rPr>
                      <w:rFonts w:hint="eastAsia" w:ascii="宋体" w:hAnsi="宋体" w:cs="宋体"/>
                      <w:color w:val="000000" w:themeColor="text1"/>
                      <w14:textFill>
                        <w14:solidFill>
                          <w14:schemeClr w14:val="tx1"/>
                        </w14:solidFill>
                      </w14:textFill>
                    </w:rPr>
                  </w:pPr>
                  <w:r>
                    <w:rPr>
                      <w:color w:val="000000" w:themeColor="text1"/>
                      <w14:textFill>
                        <w14:solidFill>
                          <w14:schemeClr w14:val="tx1"/>
                        </w14:solidFill>
                      </w14:textFill>
                    </w:rPr>
                    <w:t>4</w:t>
                  </w:r>
                </w:p>
              </w:tc>
              <w:tc>
                <w:tcPr>
                  <w:tcW w:w="674" w:type="dxa"/>
                  <w:vAlign w:val="center"/>
                </w:tcPr>
                <w:p w14:paraId="6210BB1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7A2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4B2D5CC">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乙苯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3E6E97E">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CA10B1B">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74" w:type="dxa"/>
                  <w:vAlign w:val="center"/>
                </w:tcPr>
                <w:p w14:paraId="5DD1931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70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0D782FDC">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苯乙烯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1BE4DAA">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2D57DF52">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1290</w:t>
                  </w:r>
                </w:p>
              </w:tc>
              <w:tc>
                <w:tcPr>
                  <w:tcW w:w="674" w:type="dxa"/>
                  <w:vAlign w:val="center"/>
                </w:tcPr>
                <w:p w14:paraId="561E614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6EE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F945A9A">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62271DC8">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1.3</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1BF552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674" w:type="dxa"/>
                  <w:vAlign w:val="center"/>
                </w:tcPr>
                <w:p w14:paraId="17738DD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22A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vAlign w:val="center"/>
                </w:tcPr>
                <w:p w14:paraId="6548C542">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二甲苯</w:t>
                  </w:r>
                </w:p>
              </w:tc>
              <w:tc>
                <w:tcPr>
                  <w:tcW w:w="2263" w:type="dxa"/>
                  <w:vAlign w:val="center"/>
                </w:tcPr>
                <w:p w14:paraId="2025C8B3">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间</w:t>
                  </w:r>
                  <w:r>
                    <w:rPr>
                      <w:color w:val="000000" w:themeColor="text1"/>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对二甲苯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DDD1592">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33591BB">
                  <w:pPr>
                    <w:pStyle w:val="115"/>
                    <w:widowControl/>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4.48</w:t>
                  </w:r>
                </w:p>
              </w:tc>
              <w:tc>
                <w:tcPr>
                  <w:tcW w:w="674" w:type="dxa"/>
                  <w:vAlign w:val="center"/>
                </w:tcPr>
                <w:p w14:paraId="11505FEC">
                  <w:pPr>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E23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vAlign w:val="center"/>
                </w:tcPr>
                <w:p w14:paraId="68375C53">
                  <w:pPr>
                    <w:rPr>
                      <w:color w:val="000000" w:themeColor="text1"/>
                      <w:sz w:val="20"/>
                      <w:szCs w:val="20"/>
                      <w14:textFill>
                        <w14:solidFill>
                          <w14:schemeClr w14:val="tx1"/>
                        </w14:solidFill>
                      </w14:textFill>
                    </w:rPr>
                  </w:pPr>
                </w:p>
              </w:tc>
              <w:tc>
                <w:tcPr>
                  <w:tcW w:w="2263" w:type="dxa"/>
                  <w:vAlign w:val="center"/>
                </w:tcPr>
                <w:p w14:paraId="13F126D9">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邻二甲苯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BBAC61E">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62D513E">
                  <w:pPr>
                    <w:jc w:val="center"/>
                    <w:rPr>
                      <w:rFonts w:hint="default"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1000</w:t>
                  </w:r>
                </w:p>
              </w:tc>
              <w:tc>
                <w:tcPr>
                  <w:tcW w:w="674" w:type="dxa"/>
                  <w:vAlign w:val="center"/>
                </w:tcPr>
                <w:p w14:paraId="47707A67">
                  <w:pPr>
                    <w:rPr>
                      <w:color w:val="000000" w:themeColor="text1"/>
                      <w:sz w:val="20"/>
                      <w:szCs w:val="20"/>
                      <w14:textFill>
                        <w14:solidFill>
                          <w14:schemeClr w14:val="tx1"/>
                        </w14:solidFill>
                      </w14:textFill>
                    </w:rPr>
                  </w:pPr>
                  <w:r>
                    <w:rPr>
                      <w:rFonts w:hint="eastAsia" w:ascii="宋体" w:hAnsi="宋体" w:cs="宋体"/>
                      <w:color w:val="000000" w:themeColor="text1"/>
                      <w:lang w:bidi="ar"/>
                      <w14:textFill>
                        <w14:solidFill>
                          <w14:schemeClr w14:val="tx1"/>
                        </w14:solidFill>
                      </w14:textFill>
                    </w:rPr>
                    <w:t>达标</w:t>
                  </w:r>
                </w:p>
              </w:tc>
            </w:tr>
            <w:tr w14:paraId="770E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4A591DC">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14:textFill>
                        <w14:solidFill>
                          <w14:schemeClr w14:val="tx1"/>
                        </w14:solidFill>
                      </w14:textFill>
                    </w:rPr>
                    <w:t>氯苯（</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05CE49E">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6540AA4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270</w:t>
                  </w:r>
                </w:p>
              </w:tc>
              <w:tc>
                <w:tcPr>
                  <w:tcW w:w="674" w:type="dxa"/>
                  <w:vAlign w:val="center"/>
                </w:tcPr>
                <w:p w14:paraId="5ABC2DB0">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3B2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394EC8A">
                  <w:pPr>
                    <w:pStyle w:val="115"/>
                    <w:widowControl/>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t>1,2-</w:t>
                  </w:r>
                  <w:r>
                    <w:rPr>
                      <w:rFonts w:hint="eastAsia" w:ascii="宋体" w:hAnsi="宋体" w:cs="宋体"/>
                      <w:color w:val="000000" w:themeColor="text1"/>
                      <w:kern w:val="0"/>
                      <w14:textFill>
                        <w14:solidFill>
                          <w14:schemeClr w14:val="tx1"/>
                        </w14:solidFill>
                      </w14:textFill>
                    </w:rPr>
                    <w:t>二氯苯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7EB645A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34B63F84">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674" w:type="dxa"/>
                  <w:vAlign w:val="center"/>
                </w:tcPr>
                <w:p w14:paraId="214D87ED">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5EF4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BE7E436">
                  <w:pPr>
                    <w:pStyle w:val="115"/>
                    <w:widowControl/>
                    <w:ind w:firstLine="0" w:firstLineChars="0"/>
                    <w:jc w:val="center"/>
                    <w:rPr>
                      <w:color w:val="000000" w:themeColor="text1"/>
                      <w14:textFill>
                        <w14:solidFill>
                          <w14:schemeClr w14:val="tx1"/>
                        </w14:solidFill>
                      </w14:textFill>
                    </w:rPr>
                  </w:pPr>
                  <w:r>
                    <w:rPr>
                      <w:color w:val="000000" w:themeColor="text1"/>
                      <w:kern w:val="0"/>
                      <w14:textFill>
                        <w14:solidFill>
                          <w14:schemeClr w14:val="tx1"/>
                        </w14:solidFill>
                      </w14:textFill>
                    </w:rPr>
                    <w:t>1,4-</w:t>
                  </w:r>
                  <w:r>
                    <w:rPr>
                      <w:rFonts w:hint="eastAsia" w:ascii="宋体" w:hAnsi="宋体" w:cs="宋体"/>
                      <w:color w:val="000000" w:themeColor="text1"/>
                      <w:kern w:val="0"/>
                      <w14:textFill>
                        <w14:solidFill>
                          <w14:schemeClr w14:val="tx1"/>
                        </w14:solidFill>
                      </w14:textFill>
                    </w:rPr>
                    <w:t>二氯苯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4050673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-3</w:t>
                  </w:r>
                </w:p>
              </w:tc>
              <w:tc>
                <w:tcPr>
                  <w:tcW w:w="776" w:type="dxa"/>
                  <w:vAlign w:val="center"/>
                </w:tcPr>
                <w:p w14:paraId="7E321C89">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674" w:type="dxa"/>
                  <w:vAlign w:val="center"/>
                </w:tcPr>
                <w:p w14:paraId="11F34BF2">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0AD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7B098B9">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硝基苯</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D294AF4">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0.09</w:t>
                  </w:r>
                  <w:r>
                    <w:rPr>
                      <w:color w:val="000000" w:themeColor="text1"/>
                      <w:kern w:val="0"/>
                      <w14:textFill>
                        <w14:solidFill>
                          <w14:schemeClr w14:val="tx1"/>
                        </w14:solidFill>
                      </w14:textFill>
                    </w:rPr>
                    <w:t xml:space="preserve"> </w:t>
                  </w:r>
                </w:p>
              </w:tc>
              <w:tc>
                <w:tcPr>
                  <w:tcW w:w="776" w:type="dxa"/>
                  <w:vAlign w:val="center"/>
                </w:tcPr>
                <w:p w14:paraId="3579987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76</w:t>
                  </w:r>
                </w:p>
              </w:tc>
              <w:tc>
                <w:tcPr>
                  <w:tcW w:w="674" w:type="dxa"/>
                  <w:vAlign w:val="center"/>
                </w:tcPr>
                <w:p w14:paraId="57F3808F">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7AEF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B5B9EA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苯胺</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48263FC7">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72FF3AB8">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260</w:t>
                  </w:r>
                </w:p>
              </w:tc>
              <w:tc>
                <w:tcPr>
                  <w:tcW w:w="674" w:type="dxa"/>
                  <w:vAlign w:val="center"/>
                </w:tcPr>
                <w:p w14:paraId="1CAC146B">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8B3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717F62A">
                  <w:pPr>
                    <w:pStyle w:val="115"/>
                    <w:widowControl/>
                    <w:ind w:firstLine="0" w:firstLineChars="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r>
                    <w:rPr>
                      <w:rFonts w:hint="eastAsia" w:ascii="宋体" w:hAnsi="宋体" w:cs="宋体"/>
                      <w:color w:val="000000" w:themeColor="text1"/>
                      <w:kern w:val="0"/>
                      <w14:textFill>
                        <w14:solidFill>
                          <w14:schemeClr w14:val="tx1"/>
                        </w14:solidFill>
                      </w14:textFill>
                    </w:rPr>
                    <w:t>氯酚</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F8AB80C">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0.06</w:t>
                  </w:r>
                </w:p>
              </w:tc>
              <w:tc>
                <w:tcPr>
                  <w:tcW w:w="776" w:type="dxa"/>
                  <w:vAlign w:val="center"/>
                </w:tcPr>
                <w:p w14:paraId="706D1595">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2256</w:t>
                  </w:r>
                </w:p>
              </w:tc>
              <w:tc>
                <w:tcPr>
                  <w:tcW w:w="674" w:type="dxa"/>
                  <w:vAlign w:val="center"/>
                </w:tcPr>
                <w:p w14:paraId="364AD81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27EA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29806419">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[a]</w:t>
                  </w:r>
                  <w:r>
                    <w:rPr>
                      <w:rFonts w:hint="eastAsia" w:ascii="宋体" w:hAnsi="宋体" w:cs="宋体"/>
                      <w:color w:val="000000" w:themeColor="text1"/>
                      <w:kern w:val="0"/>
                      <w14:textFill>
                        <w14:solidFill>
                          <w14:schemeClr w14:val="tx1"/>
                        </w14:solidFill>
                      </w14:textFill>
                    </w:rPr>
                    <w:t>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3B5D4B62">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028B1DE3">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41FB3611">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1B35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8DEAB62">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[b]</w:t>
                  </w:r>
                  <w:r>
                    <w:rPr>
                      <w:rFonts w:hint="eastAsia" w:ascii="宋体" w:hAnsi="宋体" w:cs="宋体"/>
                      <w:color w:val="000000" w:themeColor="text1"/>
                      <w:kern w:val="0"/>
                      <w14:textFill>
                        <w14:solidFill>
                          <w14:schemeClr w14:val="tx1"/>
                        </w14:solidFill>
                      </w14:textFill>
                    </w:rPr>
                    <w:t>荧蒽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57F9EE0C">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0.2</w:t>
                  </w:r>
                </w:p>
              </w:tc>
              <w:tc>
                <w:tcPr>
                  <w:tcW w:w="776" w:type="dxa"/>
                  <w:vAlign w:val="center"/>
                </w:tcPr>
                <w:p w14:paraId="1FE5F4C1">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3372CAF3">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A85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338335DC">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[k]</w:t>
                  </w:r>
                  <w:r>
                    <w:rPr>
                      <w:rFonts w:hint="eastAsia" w:ascii="宋体" w:hAnsi="宋体" w:cs="宋体"/>
                      <w:color w:val="000000" w:themeColor="text1"/>
                      <w:kern w:val="0"/>
                      <w14:textFill>
                        <w14:solidFill>
                          <w14:schemeClr w14:val="tx1"/>
                        </w14:solidFill>
                      </w14:textFill>
                    </w:rPr>
                    <w:t>荧蒽</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2EDA4F95">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32757DDA">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151</w:t>
                  </w:r>
                </w:p>
              </w:tc>
              <w:tc>
                <w:tcPr>
                  <w:tcW w:w="674" w:type="dxa"/>
                  <w:vAlign w:val="center"/>
                </w:tcPr>
                <w:p w14:paraId="4FF2ADC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492F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5E8B0922">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苯并</w:t>
                  </w:r>
                  <w:r>
                    <w:rPr>
                      <w:color w:val="000000" w:themeColor="text1"/>
                      <w:kern w:val="0"/>
                      <w14:textFill>
                        <w14:solidFill>
                          <w14:schemeClr w14:val="tx1"/>
                        </w14:solidFill>
                      </w14:textFill>
                    </w:rPr>
                    <w:t>[a]</w:t>
                  </w:r>
                  <w:r>
                    <w:rPr>
                      <w:rFonts w:hint="eastAsia" w:ascii="宋体" w:hAnsi="宋体" w:cs="宋体"/>
                      <w:color w:val="000000" w:themeColor="text1"/>
                      <w:kern w:val="0"/>
                      <w14:textFill>
                        <w14:solidFill>
                          <w14:schemeClr w14:val="tx1"/>
                        </w14:solidFill>
                      </w14:textFill>
                    </w:rPr>
                    <w:t>芘</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1293254D">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64D6516F">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1701BE45">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4C2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1271073">
                  <w:pPr>
                    <w:pStyle w:val="115"/>
                    <w:widowControl/>
                    <w:ind w:firstLine="0" w:firstLineChars="0"/>
                    <w:jc w:val="center"/>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䓛</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mg/kg</w:t>
                  </w:r>
                  <w:r>
                    <w:rPr>
                      <w:rFonts w:hint="eastAsia" w:ascii="宋体" w:hAnsi="宋体" w:cs="宋体"/>
                      <w:color w:val="000000" w:themeColor="text1"/>
                      <w14:textFill>
                        <w14:solidFill>
                          <w14:schemeClr w14:val="tx1"/>
                        </w14:solidFill>
                      </w14:textFill>
                    </w:rPr>
                    <w:t>）</w:t>
                  </w:r>
                </w:p>
              </w:tc>
              <w:tc>
                <w:tcPr>
                  <w:tcW w:w="3921" w:type="dxa"/>
                  <w:vAlign w:val="center"/>
                </w:tcPr>
                <w:p w14:paraId="0A494660">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45EBF5A">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1293</w:t>
                  </w:r>
                </w:p>
              </w:tc>
              <w:tc>
                <w:tcPr>
                  <w:tcW w:w="674" w:type="dxa"/>
                  <w:vAlign w:val="center"/>
                </w:tcPr>
                <w:p w14:paraId="20E5003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BEB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63DA6554">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二苯并</w:t>
                  </w:r>
                  <w:r>
                    <w:rPr>
                      <w:bCs/>
                      <w:color w:val="000000" w:themeColor="text1"/>
                      <w:szCs w:val="21"/>
                      <w:lang w:bidi="ar"/>
                      <w14:textFill>
                        <w14:solidFill>
                          <w14:schemeClr w14:val="tx1"/>
                        </w14:solidFill>
                      </w14:textFill>
                    </w:rPr>
                    <w:t>[a,h]</w:t>
                  </w:r>
                  <w:r>
                    <w:rPr>
                      <w:rFonts w:hint="eastAsia" w:ascii="宋体" w:hAnsi="宋体" w:cs="宋体"/>
                      <w:bCs/>
                      <w:color w:val="000000" w:themeColor="text1"/>
                      <w:szCs w:val="21"/>
                      <w:lang w:bidi="ar"/>
                      <w14:textFill>
                        <w14:solidFill>
                          <w14:schemeClr w14:val="tx1"/>
                        </w14:solidFill>
                      </w14:textFill>
                    </w:rPr>
                    <w:t>蒽</w:t>
                  </w:r>
                </w:p>
              </w:tc>
              <w:tc>
                <w:tcPr>
                  <w:tcW w:w="3921" w:type="dxa"/>
                  <w:vAlign w:val="center"/>
                </w:tcPr>
                <w:p w14:paraId="0E593ABA">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0450E4E">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0C639E5E">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631B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4F612A0C">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茚并</w:t>
                  </w:r>
                  <w:r>
                    <w:rPr>
                      <w:bCs/>
                      <w:color w:val="000000" w:themeColor="text1"/>
                      <w:szCs w:val="21"/>
                      <w:lang w:bidi="ar"/>
                      <w14:textFill>
                        <w14:solidFill>
                          <w14:schemeClr w14:val="tx1"/>
                        </w14:solidFill>
                      </w14:textFill>
                    </w:rPr>
                    <w:t>[1,2,3-cd]</w:t>
                  </w:r>
                  <w:r>
                    <w:rPr>
                      <w:rFonts w:hint="eastAsia" w:ascii="宋体" w:hAnsi="宋体" w:cs="宋体"/>
                      <w:bCs/>
                      <w:color w:val="000000" w:themeColor="text1"/>
                      <w:szCs w:val="21"/>
                      <w:lang w:bidi="ar"/>
                      <w14:textFill>
                        <w14:solidFill>
                          <w14:schemeClr w14:val="tx1"/>
                        </w14:solidFill>
                      </w14:textFill>
                    </w:rPr>
                    <w:t>芘</w:t>
                  </w:r>
                </w:p>
              </w:tc>
              <w:tc>
                <w:tcPr>
                  <w:tcW w:w="3921" w:type="dxa"/>
                  <w:vAlign w:val="center"/>
                </w:tcPr>
                <w:p w14:paraId="4AD33572">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0.1</w:t>
                  </w:r>
                </w:p>
              </w:tc>
              <w:tc>
                <w:tcPr>
                  <w:tcW w:w="776" w:type="dxa"/>
                  <w:vAlign w:val="center"/>
                </w:tcPr>
                <w:p w14:paraId="58F101F6">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74" w:type="dxa"/>
                  <w:vAlign w:val="center"/>
                </w:tcPr>
                <w:p w14:paraId="736FD816">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r w14:paraId="3D6B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9" w:type="dxa"/>
                  <w:gridSpan w:val="2"/>
                  <w:vAlign w:val="center"/>
                </w:tcPr>
                <w:p w14:paraId="10BA5929">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萘</w:t>
                  </w:r>
                </w:p>
              </w:tc>
              <w:tc>
                <w:tcPr>
                  <w:tcW w:w="3921" w:type="dxa"/>
                  <w:vAlign w:val="center"/>
                </w:tcPr>
                <w:p w14:paraId="12B08BBF">
                  <w:pPr>
                    <w:pStyle w:val="115"/>
                    <w:widowControl/>
                    <w:ind w:firstLine="0" w:firstLineChars="0"/>
                    <w:jc w:val="center"/>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0.09</w:t>
                  </w:r>
                  <w:r>
                    <w:rPr>
                      <w:color w:val="000000" w:themeColor="text1"/>
                      <w:kern w:val="0"/>
                      <w14:textFill>
                        <w14:solidFill>
                          <w14:schemeClr w14:val="tx1"/>
                        </w14:solidFill>
                      </w14:textFill>
                    </w:rPr>
                    <w:t xml:space="preserve"> </w:t>
                  </w:r>
                </w:p>
              </w:tc>
              <w:tc>
                <w:tcPr>
                  <w:tcW w:w="776" w:type="dxa"/>
                  <w:vAlign w:val="center"/>
                </w:tcPr>
                <w:p w14:paraId="60D54E44">
                  <w:pPr>
                    <w:pStyle w:val="115"/>
                    <w:widowControl/>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74" w:type="dxa"/>
                  <w:vAlign w:val="center"/>
                </w:tcPr>
                <w:p w14:paraId="72B03008">
                  <w:pPr>
                    <w:jc w:val="center"/>
                    <w:rPr>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达标</w:t>
                  </w:r>
                </w:p>
              </w:tc>
            </w:tr>
          </w:tbl>
          <w:p w14:paraId="17930C44">
            <w:pPr>
              <w:spacing w:line="360" w:lineRule="auto"/>
              <w:ind w:right="40"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由表</w:t>
            </w:r>
            <w:r>
              <w:rPr>
                <w:color w:val="000000" w:themeColor="text1"/>
                <w:sz w:val="24"/>
                <w14:textFill>
                  <w14:solidFill>
                    <w14:schemeClr w14:val="tx1"/>
                  </w14:solidFill>
                </w14:textFill>
              </w:rPr>
              <w:t>3-8</w:t>
            </w:r>
            <w:r>
              <w:rPr>
                <w:rFonts w:hint="eastAsia" w:ascii="宋体" w:hAnsi="宋体" w:cs="宋体"/>
                <w:color w:val="000000" w:themeColor="text1"/>
                <w:sz w:val="24"/>
                <w14:textFill>
                  <w14:solidFill>
                    <w14:schemeClr w14:val="tx1"/>
                  </w14:solidFill>
                </w14:textFill>
              </w:rPr>
              <w:t>可知，项目土壤表层样监测指标含量低于《土壤环境质量</w:t>
            </w:r>
            <w:r>
              <w:rPr>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建设用地土壤污染风险管控标准（试行）》（</w:t>
            </w:r>
            <w:r>
              <w:rPr>
                <w:color w:val="000000" w:themeColor="text1"/>
                <w:sz w:val="24"/>
                <w14:textFill>
                  <w14:solidFill>
                    <w14:schemeClr w14:val="tx1"/>
                  </w14:solidFill>
                </w14:textFill>
              </w:rPr>
              <w:t>GB36600-2018</w:t>
            </w:r>
            <w:r>
              <w:rPr>
                <w:rFonts w:hint="eastAsia" w:ascii="宋体" w:hAnsi="宋体" w:cs="宋体"/>
                <w:color w:val="000000" w:themeColor="text1"/>
                <w:sz w:val="24"/>
                <w14:textFill>
                  <w14:solidFill>
                    <w14:schemeClr w14:val="tx1"/>
                  </w14:solidFill>
                </w14:textFill>
              </w:rPr>
              <w:t>）表</w:t>
            </w:r>
            <w:r>
              <w:rPr>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所列</w:t>
            </w:r>
            <w:r>
              <w:rPr>
                <w:color w:val="000000" w:themeColor="text1"/>
                <w:sz w:val="24"/>
                <w14:textFill>
                  <w14:solidFill>
                    <w14:schemeClr w14:val="tx1"/>
                  </w14:solidFill>
                </w14:textFill>
              </w:rPr>
              <w:t>45</w:t>
            </w:r>
            <w:r>
              <w:rPr>
                <w:rFonts w:hint="eastAsia" w:ascii="宋体" w:hAnsi="宋体" w:cs="宋体"/>
                <w:color w:val="000000" w:themeColor="text1"/>
                <w:sz w:val="24"/>
                <w14:textFill>
                  <w14:solidFill>
                    <w14:schemeClr w14:val="tx1"/>
                  </w14:solidFill>
                </w14:textFill>
              </w:rPr>
              <w:t>项基本因子和</w:t>
            </w:r>
            <w:r>
              <w:rPr>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项特征因子（石油烃）的含量要求。</w:t>
            </w:r>
          </w:p>
          <w:p w14:paraId="6FA18C62">
            <w:pPr>
              <w:spacing w:line="360" w:lineRule="auto"/>
              <w:ind w:firstLine="472" w:firstLineChars="196"/>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、生态环境现状</w:t>
            </w:r>
          </w:p>
          <w:p w14:paraId="007138EF">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根据现场调查，项目所在区域由于受人类频繁活动和交通的影响，已无大型动物，仅有些小型常见动物，如常见鸟类、鼠类、蛇等与人伴居的物种</w:t>
            </w:r>
            <w:r>
              <w:rPr>
                <w:color w:val="000000" w:themeColor="text1"/>
                <w:sz w:val="24"/>
                <w:shd w:val="clear" w:color="auto" w:fill="FFFFFF"/>
                <w14:textFill>
                  <w14:solidFill>
                    <w14:schemeClr w14:val="tx1"/>
                  </w14:solidFill>
                </w14:textFill>
              </w:rPr>
              <w:t>等。生态环境自身调控能力一般。项目所在区域无国家级和云南省级保护植物物种，以及地方狭域植物种类分布，无古树名木。建设区已无大型野生动物、受国家和云南省重点保护及关注物种。</w:t>
            </w:r>
          </w:p>
        </w:tc>
      </w:tr>
      <w:tr w14:paraId="3ABD7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465AE561">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环境保护</w:t>
            </w:r>
          </w:p>
          <w:p w14:paraId="16AD2245">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8537" w:type="dxa"/>
          </w:tcPr>
          <w:p w14:paraId="7D54DB91">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大气环境</w:t>
            </w:r>
          </w:p>
          <w:p w14:paraId="0ECC54EF">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项目厂界外500米范围内无自然保护区、风景名胜区、文化区等保护目标</w:t>
            </w:r>
            <w:r>
              <w:rPr>
                <w:rFonts w:hint="eastAsia"/>
                <w:color w:val="000000" w:themeColor="text1"/>
                <w:sz w:val="24"/>
                <w:szCs w:val="32"/>
                <w14:textFill>
                  <w14:solidFill>
                    <w14:schemeClr w14:val="tx1"/>
                  </w14:solidFill>
                </w14:textFill>
              </w:rPr>
              <w:t>，扩建后大气保护目标为居住区，详见表3-6。扩建后，与大气环境保护目标距离发生                                                             变化。</w:t>
            </w:r>
          </w:p>
          <w:p w14:paraId="6A9A706D">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t>声环境</w:t>
            </w:r>
          </w:p>
          <w:p w14:paraId="17B7303E">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扩建后，整个厂区</w:t>
            </w:r>
            <w:r>
              <w:rPr>
                <w:color w:val="000000" w:themeColor="text1"/>
                <w:kern w:val="0"/>
                <w:sz w:val="24"/>
                <w:lang w:bidi="ar"/>
                <w14:textFill>
                  <w14:solidFill>
                    <w14:schemeClr w14:val="tx1"/>
                  </w14:solidFill>
                </w14:textFill>
              </w:rPr>
              <w:t>厂界外50米范围内</w:t>
            </w:r>
            <w:r>
              <w:rPr>
                <w:rFonts w:hint="eastAsia"/>
                <w:color w:val="000000" w:themeColor="text1"/>
                <w:kern w:val="0"/>
                <w:sz w:val="24"/>
                <w:lang w:bidi="ar"/>
                <w14:textFill>
                  <w14:solidFill>
                    <w14:schemeClr w14:val="tx1"/>
                  </w14:solidFill>
                </w14:textFill>
              </w:rPr>
              <w:t>无</w:t>
            </w:r>
            <w:r>
              <w:rPr>
                <w:color w:val="000000" w:themeColor="text1"/>
                <w:kern w:val="0"/>
                <w:sz w:val="24"/>
                <w:lang w:bidi="ar"/>
                <w14:textFill>
                  <w14:solidFill>
                    <w14:schemeClr w14:val="tx1"/>
                  </w14:solidFill>
                </w14:textFill>
              </w:rPr>
              <w:t>声环境保护目标。</w:t>
            </w:r>
          </w:p>
          <w:p w14:paraId="34CB9AA7">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地</w:t>
            </w:r>
            <w:r>
              <w:rPr>
                <w:rFonts w:hint="eastAsia"/>
                <w:b/>
                <w:bCs/>
                <w:color w:val="000000" w:themeColor="text1"/>
                <w:sz w:val="24"/>
                <w:szCs w:val="32"/>
                <w14:textFill>
                  <w14:solidFill>
                    <w14:schemeClr w14:val="tx1"/>
                  </w14:solidFill>
                </w14:textFill>
              </w:rPr>
              <w:t>表</w:t>
            </w:r>
            <w:r>
              <w:rPr>
                <w:b/>
                <w:bCs/>
                <w:color w:val="000000" w:themeColor="text1"/>
                <w:sz w:val="24"/>
                <w:szCs w:val="32"/>
                <w14:textFill>
                  <w14:solidFill>
                    <w14:schemeClr w14:val="tx1"/>
                  </w14:solidFill>
                </w14:textFill>
              </w:rPr>
              <w:t>水环境</w:t>
            </w:r>
          </w:p>
          <w:p w14:paraId="38FBE0C5">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扩建后，</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距</w:t>
            </w:r>
            <w:r>
              <w:rPr>
                <w:color w:val="000000" w:themeColor="text1"/>
                <w:kern w:val="0"/>
                <w:sz w:val="24"/>
                <w:lang w:bidi="ar"/>
                <w14:textFill>
                  <w14:solidFill>
                    <w14:schemeClr w14:val="tx1"/>
                  </w14:solidFill>
                </w14:textFill>
              </w:rPr>
              <w:t>离</w:t>
            </w:r>
            <w:r>
              <w:rPr>
                <w:rFonts w:hint="eastAsia"/>
                <w:color w:val="000000" w:themeColor="text1"/>
                <w:kern w:val="0"/>
                <w:sz w:val="24"/>
                <w:lang w:bidi="ar"/>
                <w14:textFill>
                  <w14:solidFill>
                    <w14:schemeClr w14:val="tx1"/>
                  </w14:solidFill>
                </w14:textFill>
              </w:rPr>
              <w:t>西侧</w:t>
            </w:r>
            <w:r>
              <w:rPr>
                <w:rFonts w:hint="eastAsia"/>
                <w:color w:val="000000" w:themeColor="text1"/>
                <w:sz w:val="24"/>
                <w14:textFill>
                  <w14:solidFill>
                    <w14:schemeClr w14:val="tx1"/>
                  </w14:solidFill>
                </w14:textFill>
              </w:rPr>
              <w:t>牛栏江约1973m</w:t>
            </w:r>
            <w:r>
              <w:rPr>
                <w:color w:val="000000" w:themeColor="text1"/>
                <w:kern w:val="0"/>
                <w:sz w:val="24"/>
                <w:lang w:bidi="ar"/>
                <w14:textFill>
                  <w14:solidFill>
                    <w14:schemeClr w14:val="tx1"/>
                  </w14:solidFill>
                </w14:textFill>
              </w:rPr>
              <w:t>，把</w:t>
            </w:r>
            <w:r>
              <w:rPr>
                <w:rFonts w:hint="eastAsia"/>
                <w:color w:val="000000" w:themeColor="text1"/>
                <w:sz w:val="24"/>
                <w14:textFill>
                  <w14:solidFill>
                    <w14:schemeClr w14:val="tx1"/>
                  </w14:solidFill>
                </w14:textFill>
              </w:rPr>
              <w:t>牛栏江</w:t>
            </w:r>
            <w:r>
              <w:rPr>
                <w:color w:val="000000" w:themeColor="text1"/>
                <w:kern w:val="0"/>
                <w:sz w:val="24"/>
                <w:lang w:bidi="ar"/>
                <w14:textFill>
                  <w14:solidFill>
                    <w14:schemeClr w14:val="tx1"/>
                  </w14:solidFill>
                </w14:textFill>
              </w:rPr>
              <w:t>列入地表水环境保护目标</w:t>
            </w:r>
            <w:r>
              <w:rPr>
                <w:rFonts w:hint="eastAsia"/>
                <w:color w:val="000000" w:themeColor="text1"/>
                <w:kern w:val="0"/>
                <w:sz w:val="24"/>
                <w:lang w:bidi="ar"/>
                <w14:textFill>
                  <w14:solidFill>
                    <w14:schemeClr w14:val="tx1"/>
                  </w14:solidFill>
                </w14:textFill>
              </w:rPr>
              <w:t>，详见表3-6</w:t>
            </w:r>
            <w:r>
              <w:rPr>
                <w:color w:val="000000" w:themeColor="text1"/>
                <w:kern w:val="0"/>
                <w:sz w:val="24"/>
                <w:lang w:bidi="ar"/>
                <w14:textFill>
                  <w14:solidFill>
                    <w14:schemeClr w14:val="tx1"/>
                  </w14:solidFill>
                </w14:textFill>
              </w:rPr>
              <w:t>。</w:t>
            </w:r>
          </w:p>
          <w:p w14:paraId="5958E3F4">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4</w:t>
            </w:r>
            <w:r>
              <w:rPr>
                <w:b/>
                <w:bCs/>
                <w:color w:val="000000" w:themeColor="text1"/>
                <w:sz w:val="24"/>
                <w:szCs w:val="32"/>
                <w14:textFill>
                  <w14:solidFill>
                    <w14:schemeClr w14:val="tx1"/>
                  </w14:solidFill>
                </w14:textFill>
              </w:rPr>
              <w:t>地</w:t>
            </w:r>
            <w:r>
              <w:rPr>
                <w:rFonts w:hint="eastAsia"/>
                <w:b/>
                <w:bCs/>
                <w:color w:val="000000" w:themeColor="text1"/>
                <w:sz w:val="24"/>
                <w:szCs w:val="32"/>
                <w14:textFill>
                  <w14:solidFill>
                    <w14:schemeClr w14:val="tx1"/>
                  </w14:solidFill>
                </w14:textFill>
              </w:rPr>
              <w:t>下</w:t>
            </w:r>
            <w:r>
              <w:rPr>
                <w:b/>
                <w:bCs/>
                <w:color w:val="000000" w:themeColor="text1"/>
                <w:sz w:val="24"/>
                <w:szCs w:val="32"/>
                <w14:textFill>
                  <w14:solidFill>
                    <w14:schemeClr w14:val="tx1"/>
                  </w14:solidFill>
                </w14:textFill>
              </w:rPr>
              <w:t>水环境</w:t>
            </w:r>
          </w:p>
          <w:p w14:paraId="282CBB01">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项目厂界外500m范围内均无集中式饮用水源和热水、矿泉水、温泉等特殊地下水资源。扩建后，地下水环境保护目标为项目所在区域水文地质单元潜水含水层。</w:t>
            </w:r>
          </w:p>
          <w:p w14:paraId="41DA6BB4">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5土壤</w:t>
            </w:r>
            <w:r>
              <w:rPr>
                <w:b/>
                <w:bCs/>
                <w:color w:val="000000" w:themeColor="text1"/>
                <w:sz w:val="24"/>
                <w:szCs w:val="32"/>
                <w14:textFill>
                  <w14:solidFill>
                    <w14:schemeClr w14:val="tx1"/>
                  </w14:solidFill>
                </w14:textFill>
              </w:rPr>
              <w:t>环境</w:t>
            </w:r>
          </w:p>
          <w:p w14:paraId="6B556BC1">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扩建后，土壤环境保护目标为项目所在地及周边50m的土壤环境。</w:t>
            </w:r>
          </w:p>
          <w:p w14:paraId="54F707E5">
            <w:pPr>
              <w:adjustRightInd w:val="0"/>
              <w:snapToGrid w:val="0"/>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6生态</w:t>
            </w:r>
            <w:r>
              <w:rPr>
                <w:b/>
                <w:bCs/>
                <w:color w:val="000000" w:themeColor="text1"/>
                <w:sz w:val="24"/>
                <w:szCs w:val="32"/>
                <w14:textFill>
                  <w14:solidFill>
                    <w14:schemeClr w14:val="tx1"/>
                  </w14:solidFill>
                </w14:textFill>
              </w:rPr>
              <w:t>环境</w:t>
            </w:r>
          </w:p>
          <w:p w14:paraId="52358E2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32"/>
                <w14:textFill>
                  <w14:solidFill>
                    <w14:schemeClr w14:val="tx1"/>
                  </w14:solidFill>
                </w14:textFill>
              </w:rPr>
              <w:t>扩建后，生态环境保护目标为项目所在地及周边500m的动植物及水土流失。</w:t>
            </w:r>
          </w:p>
          <w:p w14:paraId="08C83802">
            <w:pPr>
              <w:spacing w:line="360" w:lineRule="auto"/>
              <w:ind w:firstLine="480" w:firstLineChars="200"/>
              <w:rPr>
                <w:b/>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周边</w:t>
            </w:r>
            <w:r>
              <w:rPr>
                <w:color w:val="000000" w:themeColor="text1"/>
                <w:kern w:val="0"/>
                <w:sz w:val="24"/>
                <w14:textFill>
                  <w14:solidFill>
                    <w14:schemeClr w14:val="tx1"/>
                  </w14:solidFill>
                </w14:textFill>
              </w:rPr>
              <w:t>主要环境保护目标详见表3-</w:t>
            </w:r>
            <w:r>
              <w:rPr>
                <w:rFonts w:hint="eastAsia"/>
                <w:color w:val="000000" w:themeColor="text1"/>
                <w:kern w:val="0"/>
                <w:sz w:val="24"/>
                <w14:textFill>
                  <w14:solidFill>
                    <w14:schemeClr w14:val="tx1"/>
                  </w14:solidFill>
                </w14:textFill>
              </w:rPr>
              <w:t>9</w:t>
            </w:r>
            <w:r>
              <w:rPr>
                <w:color w:val="000000" w:themeColor="text1"/>
                <w:kern w:val="0"/>
                <w:sz w:val="24"/>
                <w14:textFill>
                  <w14:solidFill>
                    <w14:schemeClr w14:val="tx1"/>
                  </w14:solidFill>
                </w14:textFill>
              </w:rPr>
              <w:t>。</w:t>
            </w:r>
          </w:p>
          <w:p w14:paraId="74BC7BBE">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表3-9 项目周围环境保护目标一览表</w:t>
            </w:r>
          </w:p>
          <w:tbl>
            <w:tblPr>
              <w:tblStyle w:val="23"/>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974"/>
              <w:gridCol w:w="1544"/>
              <w:gridCol w:w="1469"/>
              <w:gridCol w:w="639"/>
              <w:gridCol w:w="761"/>
              <w:gridCol w:w="653"/>
              <w:gridCol w:w="951"/>
              <w:gridCol w:w="657"/>
            </w:tblGrid>
            <w:tr w14:paraId="60A6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2" w:type="dxa"/>
                  <w:vMerge w:val="restart"/>
                  <w:vAlign w:val="center"/>
                </w:tcPr>
                <w:p w14:paraId="127567B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环境</w:t>
                  </w:r>
                </w:p>
                <w:p w14:paraId="67A69F9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要素</w:t>
                  </w:r>
                </w:p>
              </w:tc>
              <w:tc>
                <w:tcPr>
                  <w:tcW w:w="974" w:type="dxa"/>
                  <w:vMerge w:val="restart"/>
                  <w:vAlign w:val="center"/>
                </w:tcPr>
                <w:p w14:paraId="71EA913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3013" w:type="dxa"/>
                  <w:gridSpan w:val="2"/>
                  <w:vAlign w:val="center"/>
                </w:tcPr>
                <w:p w14:paraId="3E04130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坐标</w:t>
                  </w:r>
                </w:p>
              </w:tc>
              <w:tc>
                <w:tcPr>
                  <w:tcW w:w="639" w:type="dxa"/>
                  <w:vMerge w:val="restart"/>
                  <w:vAlign w:val="center"/>
                </w:tcPr>
                <w:p w14:paraId="6DDDFED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w:t>
                  </w:r>
                </w:p>
                <w:p w14:paraId="5C4B7BA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对象</w:t>
                  </w:r>
                </w:p>
              </w:tc>
              <w:tc>
                <w:tcPr>
                  <w:tcW w:w="761" w:type="dxa"/>
                  <w:vMerge w:val="restart"/>
                  <w:vAlign w:val="center"/>
                </w:tcPr>
                <w:p w14:paraId="1AE95DB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w:t>
                  </w:r>
                </w:p>
                <w:p w14:paraId="37EC060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653" w:type="dxa"/>
                  <w:vMerge w:val="restart"/>
                  <w:vAlign w:val="center"/>
                </w:tcPr>
                <w:p w14:paraId="133DAFD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w:t>
                  </w:r>
                </w:p>
                <w:p w14:paraId="41CABAC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功能区</w:t>
                  </w:r>
                </w:p>
              </w:tc>
              <w:tc>
                <w:tcPr>
                  <w:tcW w:w="951" w:type="dxa"/>
                  <w:vMerge w:val="restart"/>
                  <w:vAlign w:val="center"/>
                </w:tcPr>
                <w:p w14:paraId="1595038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657" w:type="dxa"/>
                  <w:vMerge w:val="restart"/>
                  <w:vAlign w:val="center"/>
                </w:tcPr>
                <w:p w14:paraId="445A4D32">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相对厂界距离/m</w:t>
                  </w:r>
                </w:p>
              </w:tc>
            </w:tr>
            <w:tr w14:paraId="3DF1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5657F0F">
                  <w:pPr>
                    <w:jc w:val="center"/>
                    <w:rPr>
                      <w:color w:val="000000" w:themeColor="text1"/>
                      <w:szCs w:val="21"/>
                      <w14:textFill>
                        <w14:solidFill>
                          <w14:schemeClr w14:val="tx1"/>
                        </w14:solidFill>
                      </w14:textFill>
                    </w:rPr>
                  </w:pPr>
                </w:p>
              </w:tc>
              <w:tc>
                <w:tcPr>
                  <w:tcW w:w="974" w:type="dxa"/>
                  <w:vMerge w:val="continue"/>
                  <w:vAlign w:val="center"/>
                </w:tcPr>
                <w:p w14:paraId="7D386A25">
                  <w:pPr>
                    <w:jc w:val="center"/>
                    <w:rPr>
                      <w:color w:val="000000" w:themeColor="text1"/>
                      <w:szCs w:val="21"/>
                      <w14:textFill>
                        <w14:solidFill>
                          <w14:schemeClr w14:val="tx1"/>
                        </w14:solidFill>
                      </w14:textFill>
                    </w:rPr>
                  </w:pPr>
                </w:p>
              </w:tc>
              <w:tc>
                <w:tcPr>
                  <w:tcW w:w="1544" w:type="dxa"/>
                  <w:vAlign w:val="center"/>
                </w:tcPr>
                <w:p w14:paraId="38606726">
                  <w:pPr>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经度</w:t>
                  </w:r>
                </w:p>
              </w:tc>
              <w:tc>
                <w:tcPr>
                  <w:tcW w:w="1469" w:type="dxa"/>
                  <w:vAlign w:val="center"/>
                </w:tcPr>
                <w:p w14:paraId="592D6E13">
                  <w:pPr>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纬度</w:t>
                  </w:r>
                </w:p>
              </w:tc>
              <w:tc>
                <w:tcPr>
                  <w:tcW w:w="639" w:type="dxa"/>
                  <w:vMerge w:val="continue"/>
                  <w:vAlign w:val="center"/>
                </w:tcPr>
                <w:p w14:paraId="37E56A6A">
                  <w:pPr>
                    <w:jc w:val="center"/>
                    <w:rPr>
                      <w:color w:val="000000" w:themeColor="text1"/>
                      <w:szCs w:val="21"/>
                      <w14:textFill>
                        <w14:solidFill>
                          <w14:schemeClr w14:val="tx1"/>
                        </w14:solidFill>
                      </w14:textFill>
                    </w:rPr>
                  </w:pPr>
                </w:p>
              </w:tc>
              <w:tc>
                <w:tcPr>
                  <w:tcW w:w="761" w:type="dxa"/>
                  <w:vMerge w:val="continue"/>
                  <w:vAlign w:val="center"/>
                </w:tcPr>
                <w:p w14:paraId="32FCBF32">
                  <w:pPr>
                    <w:jc w:val="center"/>
                    <w:rPr>
                      <w:color w:val="000000" w:themeColor="text1"/>
                      <w:szCs w:val="21"/>
                      <w14:textFill>
                        <w14:solidFill>
                          <w14:schemeClr w14:val="tx1"/>
                        </w14:solidFill>
                      </w14:textFill>
                    </w:rPr>
                  </w:pPr>
                </w:p>
              </w:tc>
              <w:tc>
                <w:tcPr>
                  <w:tcW w:w="653" w:type="dxa"/>
                  <w:vMerge w:val="continue"/>
                  <w:vAlign w:val="center"/>
                </w:tcPr>
                <w:p w14:paraId="583CE925">
                  <w:pPr>
                    <w:jc w:val="center"/>
                    <w:rPr>
                      <w:color w:val="000000" w:themeColor="text1"/>
                      <w:szCs w:val="21"/>
                      <w14:textFill>
                        <w14:solidFill>
                          <w14:schemeClr w14:val="tx1"/>
                        </w14:solidFill>
                      </w14:textFill>
                    </w:rPr>
                  </w:pPr>
                </w:p>
              </w:tc>
              <w:tc>
                <w:tcPr>
                  <w:tcW w:w="951" w:type="dxa"/>
                  <w:vMerge w:val="continue"/>
                  <w:vAlign w:val="center"/>
                </w:tcPr>
                <w:p w14:paraId="4165859A">
                  <w:pPr>
                    <w:jc w:val="center"/>
                    <w:rPr>
                      <w:color w:val="000000" w:themeColor="text1"/>
                      <w:szCs w:val="21"/>
                      <w14:textFill>
                        <w14:solidFill>
                          <w14:schemeClr w14:val="tx1"/>
                        </w14:solidFill>
                      </w14:textFill>
                    </w:rPr>
                  </w:pPr>
                </w:p>
              </w:tc>
              <w:tc>
                <w:tcPr>
                  <w:tcW w:w="657" w:type="dxa"/>
                  <w:vMerge w:val="continue"/>
                  <w:vAlign w:val="center"/>
                </w:tcPr>
                <w:p w14:paraId="70360DC2">
                  <w:pPr>
                    <w:jc w:val="center"/>
                    <w:rPr>
                      <w:color w:val="000000" w:themeColor="text1"/>
                      <w:szCs w:val="21"/>
                      <w14:textFill>
                        <w14:solidFill>
                          <w14:schemeClr w14:val="tx1"/>
                        </w14:solidFill>
                      </w14:textFill>
                    </w:rPr>
                  </w:pPr>
                </w:p>
              </w:tc>
            </w:tr>
            <w:tr w14:paraId="65BF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3F803E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w:t>
                  </w:r>
                </w:p>
              </w:tc>
              <w:tc>
                <w:tcPr>
                  <w:tcW w:w="974" w:type="dxa"/>
                  <w:vAlign w:val="center"/>
                </w:tcPr>
                <w:p w14:paraId="4D87F8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散户</w:t>
                  </w:r>
                </w:p>
              </w:tc>
              <w:tc>
                <w:tcPr>
                  <w:tcW w:w="1544" w:type="dxa"/>
                  <w:vAlign w:val="center"/>
                </w:tcPr>
                <w:p w14:paraId="06DC8FFB">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18</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30.558</w:t>
                  </w:r>
                  <w:r>
                    <w:rPr>
                      <w:color w:val="000000" w:themeColor="text1"/>
                      <w:kern w:val="1"/>
                      <w:szCs w:val="21"/>
                      <w14:textFill>
                        <w14:solidFill>
                          <w14:schemeClr w14:val="tx1"/>
                        </w14:solidFill>
                      </w14:textFill>
                    </w:rPr>
                    <w:t>"</w:t>
                  </w:r>
                </w:p>
              </w:tc>
              <w:tc>
                <w:tcPr>
                  <w:tcW w:w="1469" w:type="dxa"/>
                  <w:vAlign w:val="center"/>
                </w:tcPr>
                <w:p w14:paraId="0ABD8E52">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2</w:t>
                  </w:r>
                  <w:r>
                    <w:rPr>
                      <w:rFonts w:hint="eastAsia"/>
                      <w:color w:val="000000" w:themeColor="text1"/>
                      <w:kern w:val="1"/>
                      <w:szCs w:val="21"/>
                      <w14:textFill>
                        <w14:solidFill>
                          <w14:schemeClr w14:val="tx1"/>
                        </w14:solidFill>
                      </w14:textFill>
                    </w:rPr>
                    <w:t>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34</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2.325</w:t>
                  </w:r>
                  <w:r>
                    <w:rPr>
                      <w:color w:val="000000" w:themeColor="text1"/>
                      <w:kern w:val="1"/>
                      <w:szCs w:val="21"/>
                      <w14:textFill>
                        <w14:solidFill>
                          <w14:schemeClr w14:val="tx1"/>
                        </w14:solidFill>
                      </w14:textFill>
                    </w:rPr>
                    <w:t>"</w:t>
                  </w:r>
                </w:p>
              </w:tc>
              <w:tc>
                <w:tcPr>
                  <w:tcW w:w="639" w:type="dxa"/>
                  <w:vMerge w:val="restart"/>
                  <w:vAlign w:val="center"/>
                </w:tcPr>
                <w:p w14:paraId="022BE5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w:t>
                  </w:r>
                </w:p>
              </w:tc>
              <w:tc>
                <w:tcPr>
                  <w:tcW w:w="761" w:type="dxa"/>
                  <w:vAlign w:val="center"/>
                </w:tcPr>
                <w:p w14:paraId="652D2866">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约2</w:t>
                  </w:r>
                  <w:r>
                    <w:rPr>
                      <w:color w:val="000000" w:themeColor="text1"/>
                      <w:szCs w:val="21"/>
                      <w14:textFill>
                        <w14:solidFill>
                          <w14:schemeClr w14:val="tx1"/>
                        </w14:solidFill>
                      </w14:textFill>
                    </w:rPr>
                    <w:t>0人</w:t>
                  </w:r>
                </w:p>
              </w:tc>
              <w:tc>
                <w:tcPr>
                  <w:tcW w:w="653" w:type="dxa"/>
                  <w:vMerge w:val="restart"/>
                  <w:vAlign w:val="center"/>
                </w:tcPr>
                <w:p w14:paraId="1272A3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环境空气二类区</w:t>
                  </w:r>
                </w:p>
              </w:tc>
              <w:tc>
                <w:tcPr>
                  <w:tcW w:w="951" w:type="dxa"/>
                  <w:vAlign w:val="center"/>
                </w:tcPr>
                <w:p w14:paraId="36E9B16A">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w:t>
                  </w:r>
                </w:p>
              </w:tc>
              <w:tc>
                <w:tcPr>
                  <w:tcW w:w="657" w:type="dxa"/>
                  <w:vAlign w:val="center"/>
                </w:tcPr>
                <w:p w14:paraId="6843503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r>
            <w:tr w14:paraId="4F9B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6496CBB">
                  <w:pPr>
                    <w:jc w:val="center"/>
                    <w:rPr>
                      <w:color w:val="000000" w:themeColor="text1"/>
                      <w:szCs w:val="21"/>
                      <w14:textFill>
                        <w14:solidFill>
                          <w14:schemeClr w14:val="tx1"/>
                        </w14:solidFill>
                      </w14:textFill>
                    </w:rPr>
                  </w:pPr>
                </w:p>
              </w:tc>
              <w:tc>
                <w:tcPr>
                  <w:tcW w:w="974" w:type="dxa"/>
                  <w:vAlign w:val="center"/>
                </w:tcPr>
                <w:p w14:paraId="3287FF5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大法古</w:t>
                  </w:r>
                </w:p>
              </w:tc>
              <w:tc>
                <w:tcPr>
                  <w:tcW w:w="1544" w:type="dxa"/>
                  <w:vAlign w:val="center"/>
                </w:tcPr>
                <w:p w14:paraId="447DDA47">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18</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20.670</w:t>
                  </w:r>
                  <w:r>
                    <w:rPr>
                      <w:color w:val="000000" w:themeColor="text1"/>
                      <w:kern w:val="1"/>
                      <w:szCs w:val="21"/>
                      <w14:textFill>
                        <w14:solidFill>
                          <w14:schemeClr w14:val="tx1"/>
                        </w14:solidFill>
                      </w14:textFill>
                    </w:rPr>
                    <w:t>"</w:t>
                  </w:r>
                </w:p>
              </w:tc>
              <w:tc>
                <w:tcPr>
                  <w:tcW w:w="1469" w:type="dxa"/>
                  <w:vAlign w:val="center"/>
                </w:tcPr>
                <w:p w14:paraId="6BE5E9BE">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2</w:t>
                  </w:r>
                  <w:r>
                    <w:rPr>
                      <w:rFonts w:hint="eastAsia"/>
                      <w:color w:val="000000" w:themeColor="text1"/>
                      <w:kern w:val="1"/>
                      <w:szCs w:val="21"/>
                      <w14:textFill>
                        <w14:solidFill>
                          <w14:schemeClr w14:val="tx1"/>
                        </w14:solidFill>
                      </w14:textFill>
                    </w:rPr>
                    <w:t>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58.057</w:t>
                  </w:r>
                  <w:r>
                    <w:rPr>
                      <w:color w:val="000000" w:themeColor="text1"/>
                      <w:kern w:val="1"/>
                      <w:szCs w:val="21"/>
                      <w14:textFill>
                        <w14:solidFill>
                          <w14:schemeClr w14:val="tx1"/>
                        </w14:solidFill>
                      </w14:textFill>
                    </w:rPr>
                    <w:t>"</w:t>
                  </w:r>
                </w:p>
              </w:tc>
              <w:tc>
                <w:tcPr>
                  <w:tcW w:w="639" w:type="dxa"/>
                  <w:vMerge w:val="continue"/>
                  <w:vAlign w:val="center"/>
                </w:tcPr>
                <w:p w14:paraId="29EF87B4">
                  <w:pPr>
                    <w:jc w:val="center"/>
                    <w:rPr>
                      <w:color w:val="000000" w:themeColor="text1"/>
                      <w:szCs w:val="21"/>
                      <w14:textFill>
                        <w14:solidFill>
                          <w14:schemeClr w14:val="tx1"/>
                        </w14:solidFill>
                      </w14:textFill>
                    </w:rPr>
                  </w:pPr>
                </w:p>
              </w:tc>
              <w:tc>
                <w:tcPr>
                  <w:tcW w:w="761" w:type="dxa"/>
                  <w:vAlign w:val="center"/>
                </w:tcPr>
                <w:p w14:paraId="218341CD">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w:t>
                  </w:r>
                </w:p>
                <w:p w14:paraId="743AE848">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00人</w:t>
                  </w:r>
                </w:p>
              </w:tc>
              <w:tc>
                <w:tcPr>
                  <w:tcW w:w="653" w:type="dxa"/>
                  <w:vMerge w:val="continue"/>
                  <w:vAlign w:val="center"/>
                </w:tcPr>
                <w:p w14:paraId="510F97E3">
                  <w:pPr>
                    <w:jc w:val="center"/>
                    <w:rPr>
                      <w:color w:val="000000" w:themeColor="text1"/>
                      <w:szCs w:val="21"/>
                      <w14:textFill>
                        <w14:solidFill>
                          <w14:schemeClr w14:val="tx1"/>
                        </w14:solidFill>
                      </w14:textFill>
                    </w:rPr>
                  </w:pPr>
                </w:p>
              </w:tc>
              <w:tc>
                <w:tcPr>
                  <w:tcW w:w="951" w:type="dxa"/>
                  <w:vAlign w:val="center"/>
                </w:tcPr>
                <w:p w14:paraId="0F96653F">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（W</w:t>
                  </w:r>
                  <w:r>
                    <w:rPr>
                      <w:rFonts w:hint="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w:t>
                  </w:r>
                </w:p>
              </w:tc>
              <w:tc>
                <w:tcPr>
                  <w:tcW w:w="657" w:type="dxa"/>
                  <w:vAlign w:val="center"/>
                </w:tcPr>
                <w:p w14:paraId="04D809A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313</w:t>
                  </w:r>
                </w:p>
              </w:tc>
            </w:tr>
            <w:tr w14:paraId="130B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2C6AF0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w:t>
                  </w:r>
                </w:p>
              </w:tc>
              <w:tc>
                <w:tcPr>
                  <w:tcW w:w="7648" w:type="dxa"/>
                  <w:gridSpan w:val="8"/>
                  <w:vAlign w:val="center"/>
                </w:tcPr>
                <w:p w14:paraId="76542960">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项目厂界外50米范围内</w:t>
                  </w:r>
                  <w:r>
                    <w:rPr>
                      <w:rFonts w:hint="eastAsia"/>
                      <w:color w:val="000000" w:themeColor="text1"/>
                      <w:kern w:val="0"/>
                      <w:szCs w:val="21"/>
                      <w:lang w:bidi="ar"/>
                      <w14:textFill>
                        <w14:solidFill>
                          <w14:schemeClr w14:val="tx1"/>
                        </w14:solidFill>
                      </w14:textFill>
                    </w:rPr>
                    <w:t>无</w:t>
                  </w:r>
                  <w:r>
                    <w:rPr>
                      <w:color w:val="000000" w:themeColor="text1"/>
                      <w:kern w:val="0"/>
                      <w:szCs w:val="21"/>
                      <w:lang w:bidi="ar"/>
                      <w14:textFill>
                        <w14:solidFill>
                          <w14:schemeClr w14:val="tx1"/>
                        </w14:solidFill>
                      </w14:textFill>
                    </w:rPr>
                    <w:t>声环境保护目标</w:t>
                  </w:r>
                </w:p>
              </w:tc>
            </w:tr>
            <w:tr w14:paraId="4466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1A0652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w:t>
                  </w:r>
                </w:p>
              </w:tc>
              <w:tc>
                <w:tcPr>
                  <w:tcW w:w="974" w:type="dxa"/>
                  <w:vAlign w:val="center"/>
                </w:tcPr>
                <w:p w14:paraId="7E08207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牛栏江</w:t>
                  </w:r>
                </w:p>
              </w:tc>
              <w:tc>
                <w:tcPr>
                  <w:tcW w:w="1544" w:type="dxa"/>
                  <w:vAlign w:val="center"/>
                </w:tcPr>
                <w:p w14:paraId="52BC5EFA">
                  <w:pPr>
                    <w:tabs>
                      <w:tab w:val="center" w:pos="4153"/>
                      <w:tab w:val="right" w:pos="8306"/>
                    </w:tabs>
                    <w:jc w:val="center"/>
                    <w:rPr>
                      <w:color w:val="000000" w:themeColor="text1"/>
                      <w:szCs w:val="21"/>
                      <w14:textFill>
                        <w14:solidFill>
                          <w14:schemeClr w14:val="tx1"/>
                        </w14:solidFill>
                      </w14:textFill>
                    </w:rPr>
                  </w:pPr>
                  <w:r>
                    <w:rPr>
                      <w:color w:val="000000" w:themeColor="text1"/>
                      <w:kern w:val="1"/>
                      <w:szCs w:val="21"/>
                      <w14:textFill>
                        <w14:solidFill>
                          <w14:schemeClr w14:val="tx1"/>
                        </w14:solidFill>
                      </w14:textFill>
                    </w:rPr>
                    <w:t>10</w:t>
                  </w:r>
                  <w:r>
                    <w:rPr>
                      <w:rFonts w:hint="eastAsia"/>
                      <w:color w:val="000000" w:themeColor="text1"/>
                      <w:kern w:val="1"/>
                      <w:szCs w:val="21"/>
                      <w14:textFill>
                        <w14:solidFill>
                          <w14:schemeClr w14:val="tx1"/>
                        </w14:solidFill>
                      </w14:textFill>
                    </w:rPr>
                    <w:t>3</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19</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47.709</w:t>
                  </w:r>
                  <w:r>
                    <w:rPr>
                      <w:color w:val="000000" w:themeColor="text1"/>
                      <w:kern w:val="1"/>
                      <w:szCs w:val="21"/>
                      <w14:textFill>
                        <w14:solidFill>
                          <w14:schemeClr w14:val="tx1"/>
                        </w14:solidFill>
                      </w14:textFill>
                    </w:rPr>
                    <w:t>"</w:t>
                  </w:r>
                </w:p>
              </w:tc>
              <w:tc>
                <w:tcPr>
                  <w:tcW w:w="1469" w:type="dxa"/>
                  <w:vAlign w:val="center"/>
                </w:tcPr>
                <w:p w14:paraId="5EC5B4F8">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kern w:val="1"/>
                      <w:szCs w:val="21"/>
                      <w14:textFill>
                        <w14:solidFill>
                          <w14:schemeClr w14:val="tx1"/>
                        </w14:solidFill>
                      </w14:textFill>
                    </w:rPr>
                    <w:t>25</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34</w:t>
                  </w:r>
                  <w:r>
                    <w:rPr>
                      <w:color w:val="000000" w:themeColor="text1"/>
                      <w:kern w:val="1"/>
                      <w:szCs w:val="21"/>
                      <w14:textFill>
                        <w14:solidFill>
                          <w14:schemeClr w14:val="tx1"/>
                        </w14:solidFill>
                      </w14:textFill>
                    </w:rPr>
                    <w:t>'</w:t>
                  </w:r>
                  <w:r>
                    <w:rPr>
                      <w:rFonts w:hint="eastAsia"/>
                      <w:color w:val="000000" w:themeColor="text1"/>
                      <w:kern w:val="1"/>
                      <w:szCs w:val="21"/>
                      <w14:textFill>
                        <w14:solidFill>
                          <w14:schemeClr w14:val="tx1"/>
                        </w14:solidFill>
                      </w14:textFill>
                    </w:rPr>
                    <w:t>7.674</w:t>
                  </w:r>
                  <w:r>
                    <w:rPr>
                      <w:color w:val="000000" w:themeColor="text1"/>
                      <w:kern w:val="1"/>
                      <w:szCs w:val="21"/>
                      <w14:textFill>
                        <w14:solidFill>
                          <w14:schemeClr w14:val="tx1"/>
                        </w14:solidFill>
                      </w14:textFill>
                    </w:rPr>
                    <w:t>"</w:t>
                  </w:r>
                </w:p>
              </w:tc>
              <w:tc>
                <w:tcPr>
                  <w:tcW w:w="639" w:type="dxa"/>
                  <w:vAlign w:val="center"/>
                </w:tcPr>
                <w:p w14:paraId="391507E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河流</w:t>
                  </w:r>
                </w:p>
              </w:tc>
              <w:tc>
                <w:tcPr>
                  <w:tcW w:w="761" w:type="dxa"/>
                  <w:vAlign w:val="center"/>
                </w:tcPr>
                <w:p w14:paraId="13898926">
                  <w:pPr>
                    <w:tabs>
                      <w:tab w:val="center" w:pos="4153"/>
                      <w:tab w:val="right" w:pos="8306"/>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653" w:type="dxa"/>
                  <w:vAlign w:val="center"/>
                </w:tcPr>
                <w:p w14:paraId="18FF05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Ⅲ类</w:t>
                  </w:r>
                </w:p>
              </w:tc>
              <w:tc>
                <w:tcPr>
                  <w:tcW w:w="951" w:type="dxa"/>
                  <w:vAlign w:val="center"/>
                </w:tcPr>
                <w:p w14:paraId="42BA667B">
                  <w:pPr>
                    <w:tabs>
                      <w:tab w:val="center" w:pos="4153"/>
                      <w:tab w:val="right" w:pos="8306"/>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w:t>
                  </w:r>
                  <w:r>
                    <w:rPr>
                      <w:color w:val="000000" w:themeColor="text1"/>
                      <w:szCs w:val="21"/>
                      <w14:textFill>
                        <w14:solidFill>
                          <w14:schemeClr w14:val="tx1"/>
                        </w14:solidFill>
                      </w14:textFill>
                    </w:rPr>
                    <w:t>）</w:t>
                  </w:r>
                </w:p>
              </w:tc>
              <w:tc>
                <w:tcPr>
                  <w:tcW w:w="657" w:type="dxa"/>
                  <w:vAlign w:val="center"/>
                </w:tcPr>
                <w:p w14:paraId="33C1E8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1973</w:t>
                  </w:r>
                </w:p>
              </w:tc>
            </w:tr>
            <w:tr w14:paraId="1D3F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7F787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7648" w:type="dxa"/>
                  <w:gridSpan w:val="8"/>
                  <w:vAlign w:val="center"/>
                </w:tcPr>
                <w:p w14:paraId="597264F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项目所在区域水文地质单元潜水含水层</w:t>
                  </w:r>
                </w:p>
              </w:tc>
            </w:tr>
            <w:tr w14:paraId="0A6A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7D9ABB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7648" w:type="dxa"/>
                  <w:gridSpan w:val="8"/>
                  <w:vAlign w:val="center"/>
                </w:tcPr>
                <w:p w14:paraId="2ECFE0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项目所在地及周边50m的土壤环境</w:t>
                  </w:r>
                </w:p>
              </w:tc>
            </w:tr>
            <w:tr w14:paraId="73A1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F1A7E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7648" w:type="dxa"/>
                  <w:gridSpan w:val="8"/>
                  <w:vAlign w:val="center"/>
                </w:tcPr>
                <w:p w14:paraId="229DCB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项目所在地及周边500m的动植物及水土流失</w:t>
                  </w:r>
                </w:p>
              </w:tc>
            </w:tr>
          </w:tbl>
          <w:p w14:paraId="795EC90C">
            <w:pPr>
              <w:rPr>
                <w:color w:val="000000" w:themeColor="text1"/>
                <w:kern w:val="0"/>
                <w:sz w:val="24"/>
                <w14:textFill>
                  <w14:solidFill>
                    <w14:schemeClr w14:val="tx1"/>
                  </w14:solidFill>
                </w14:textFill>
              </w:rPr>
            </w:pPr>
          </w:p>
        </w:tc>
      </w:tr>
      <w:tr w14:paraId="1DE58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left w:val="single" w:color="auto" w:sz="4" w:space="0"/>
            </w:tcBorders>
            <w:vAlign w:val="center"/>
          </w:tcPr>
          <w:p w14:paraId="4F1943DF">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6B52FE9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6BFA99A6">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4BF0D78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2E556E07">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8537" w:type="dxa"/>
            <w:tcBorders>
              <w:right w:val="single" w:color="auto" w:sz="4" w:space="0"/>
            </w:tcBorders>
            <w:vAlign w:val="center"/>
          </w:tcPr>
          <w:p w14:paraId="6C3B3FB6">
            <w:pPr>
              <w:tabs>
                <w:tab w:val="left" w:pos="3094"/>
              </w:tabs>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1、大气污染物</w:t>
            </w:r>
          </w:p>
          <w:p w14:paraId="5026501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（1）施工期</w:t>
            </w:r>
          </w:p>
          <w:p w14:paraId="24601615">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施工期扬尘</w:t>
            </w:r>
            <w:r>
              <w:rPr>
                <w:color w:val="000000" w:themeColor="text1"/>
                <w:kern w:val="0"/>
                <w:sz w:val="24"/>
                <w:szCs w:val="20"/>
                <w14:textFill>
                  <w14:solidFill>
                    <w14:schemeClr w14:val="tx1"/>
                  </w14:solidFill>
                </w14:textFill>
              </w:rPr>
              <w:t>执行《大气污染物综合排放标准》（GB16297-1996）表2中的无组织排放监控浓度限值。污染物排放标准见表</w:t>
            </w:r>
            <w:r>
              <w:rPr>
                <w:rFonts w:hint="eastAsia"/>
                <w:color w:val="000000" w:themeColor="text1"/>
                <w:kern w:val="0"/>
                <w:sz w:val="24"/>
                <w:szCs w:val="20"/>
                <w14:textFill>
                  <w14:solidFill>
                    <w14:schemeClr w14:val="tx1"/>
                  </w14:solidFill>
                </w14:textFill>
              </w:rPr>
              <w:t>3-6</w:t>
            </w:r>
            <w:r>
              <w:rPr>
                <w:color w:val="000000" w:themeColor="text1"/>
                <w:kern w:val="0"/>
                <w:sz w:val="24"/>
                <w:szCs w:val="20"/>
                <w14:textFill>
                  <w14:solidFill>
                    <w14:schemeClr w14:val="tx1"/>
                  </w14:solidFill>
                </w14:textFill>
              </w:rPr>
              <w:t>。</w:t>
            </w:r>
          </w:p>
          <w:p w14:paraId="37BB25AF">
            <w:pPr>
              <w:spacing w:before="48" w:beforeLines="2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表3-6  施工期颗粒物大气污染物排放浓度限值</w:t>
            </w:r>
          </w:p>
          <w:tbl>
            <w:tblPr>
              <w:tblStyle w:val="2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00"/>
              <w:gridCol w:w="3198"/>
              <w:gridCol w:w="3310"/>
            </w:tblGrid>
            <w:tr w14:paraId="3E4D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75" w:type="pct"/>
                  <w:vMerge w:val="restart"/>
                  <w:vAlign w:val="center"/>
                </w:tcPr>
                <w:p w14:paraId="59414EC3">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3824" w:type="pct"/>
                  <w:gridSpan w:val="2"/>
                  <w:vAlign w:val="center"/>
                </w:tcPr>
                <w:p w14:paraId="7CE66D9F">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无组织排放浓度监控限值</w:t>
                  </w:r>
                </w:p>
              </w:tc>
            </w:tr>
            <w:tr w14:paraId="36299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75" w:type="pct"/>
                  <w:vMerge w:val="continue"/>
                  <w:vAlign w:val="center"/>
                </w:tcPr>
                <w:p w14:paraId="17B63577">
                  <w:pPr>
                    <w:spacing w:line="320" w:lineRule="exact"/>
                    <w:jc w:val="center"/>
                    <w:rPr>
                      <w:b/>
                      <w:color w:val="000000" w:themeColor="text1"/>
                      <w:kern w:val="0"/>
                      <w:szCs w:val="21"/>
                      <w14:textFill>
                        <w14:solidFill>
                          <w14:schemeClr w14:val="tx1"/>
                        </w14:solidFill>
                      </w14:textFill>
                    </w:rPr>
                  </w:pPr>
                </w:p>
              </w:tc>
              <w:tc>
                <w:tcPr>
                  <w:tcW w:w="1879" w:type="pct"/>
                  <w:vAlign w:val="center"/>
                </w:tcPr>
                <w:p w14:paraId="457B636C">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监控点</w:t>
                  </w:r>
                </w:p>
              </w:tc>
              <w:tc>
                <w:tcPr>
                  <w:tcW w:w="1944" w:type="pct"/>
                  <w:vAlign w:val="center"/>
                </w:tcPr>
                <w:p w14:paraId="15036FA5">
                  <w:pPr>
                    <w:spacing w:line="32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浓度限值（mg/m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w:t>
                  </w:r>
                </w:p>
              </w:tc>
            </w:tr>
            <w:tr w14:paraId="1761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jc w:val="center"/>
              </w:trPr>
              <w:tc>
                <w:tcPr>
                  <w:tcW w:w="1175" w:type="pct"/>
                  <w:vAlign w:val="center"/>
                </w:tcPr>
                <w:p w14:paraId="2ED09062">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1879" w:type="pct"/>
                  <w:vAlign w:val="center"/>
                </w:tcPr>
                <w:p w14:paraId="5FA79C78">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周界外浓度最高点</w:t>
                  </w:r>
                </w:p>
              </w:tc>
              <w:tc>
                <w:tcPr>
                  <w:tcW w:w="1944" w:type="pct"/>
                  <w:vAlign w:val="center"/>
                </w:tcPr>
                <w:p w14:paraId="48202572">
                  <w:pPr>
                    <w:spacing w:line="32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r>
          </w:tbl>
          <w:p w14:paraId="7FEDB832">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（2）运营期</w:t>
            </w:r>
          </w:p>
          <w:p w14:paraId="646BD3E0">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szCs w:val="32"/>
                <w14:textFill>
                  <w14:solidFill>
                    <w14:schemeClr w14:val="tx1"/>
                  </w14:solidFill>
                </w14:textFill>
              </w:rPr>
              <w:t>营运期</w:t>
            </w:r>
            <w:r>
              <w:rPr>
                <w:rFonts w:hint="eastAsia"/>
                <w:color w:val="000000" w:themeColor="text1"/>
                <w:kern w:val="0"/>
                <w:sz w:val="24"/>
                <w:szCs w:val="32"/>
                <w14:textFill>
                  <w14:solidFill>
                    <w14:schemeClr w14:val="tx1"/>
                  </w14:solidFill>
                </w14:textFill>
              </w:rPr>
              <w:t>原料投料、粉碎、扑粉、筛分过程颗粒物</w:t>
            </w:r>
            <w:r>
              <w:rPr>
                <w:rFonts w:hint="eastAsia"/>
                <w:color w:val="000000" w:themeColor="text1"/>
                <w:kern w:val="0"/>
                <w:sz w:val="24"/>
                <w:szCs w:val="32"/>
                <w:lang w:val="en-US" w:eastAsia="zh-CN"/>
                <w14:textFill>
                  <w14:solidFill>
                    <w14:schemeClr w14:val="tx1"/>
                  </w14:solidFill>
                </w14:textFill>
              </w:rPr>
              <w:t>经过湿式作业及厂房阻隔呈无组织排放，</w:t>
            </w:r>
            <w:r>
              <w:rPr>
                <w:rFonts w:hint="eastAsia"/>
                <w:color w:val="000000" w:themeColor="text1"/>
                <w:kern w:val="0"/>
                <w:sz w:val="24"/>
                <w14:textFill>
                  <w14:solidFill>
                    <w14:schemeClr w14:val="tx1"/>
                  </w14:solidFill>
                </w14:textFill>
              </w:rPr>
              <w:t>运营期厂界无组织排放颗粒物执行《大气污染物综合排放标准》（GB16297-1996）无组织排放监控限值，陈化、发酵过程中的废气：氨、硫化氢、异味（以臭气浓度表征）</w:t>
            </w:r>
            <w:r>
              <w:rPr>
                <w:rFonts w:hint="eastAsia"/>
                <w:color w:val="000000" w:themeColor="text1"/>
                <w:kern w:val="0"/>
                <w:sz w:val="24"/>
                <w:lang w:val="en-US" w:eastAsia="zh-CN"/>
                <w14:textFill>
                  <w14:solidFill>
                    <w14:schemeClr w14:val="tx1"/>
                  </w14:solidFill>
                </w14:textFill>
              </w:rPr>
              <w:t>经过生物除臭喷淋设施及通风换气措施后呈无组织排放，</w:t>
            </w:r>
            <w:r>
              <w:rPr>
                <w:rFonts w:hint="eastAsia"/>
                <w:color w:val="000000" w:themeColor="text1"/>
                <w:kern w:val="0"/>
                <w:sz w:val="24"/>
                <w14:textFill>
                  <w14:solidFill>
                    <w14:schemeClr w14:val="tx1"/>
                  </w14:solidFill>
                </w14:textFill>
              </w:rPr>
              <w:t>排放执行《恶臭污染物排放标准》（GB14554-93）中表1排放标准。</w:t>
            </w:r>
            <w:r>
              <w:rPr>
                <w:color w:val="000000" w:themeColor="text1"/>
                <w:sz w:val="24"/>
                <w14:textFill>
                  <w14:solidFill>
                    <w14:schemeClr w14:val="tx1"/>
                  </w14:solidFill>
                </w14:textFill>
              </w:rPr>
              <w:t>外排油烟执行《</w:t>
            </w:r>
            <w:r>
              <w:rPr>
                <w:rFonts w:hint="eastAsia"/>
                <w:color w:val="000000" w:themeColor="text1"/>
                <w:sz w:val="24"/>
                <w14:textFill>
                  <w14:solidFill>
                    <w14:schemeClr w14:val="tx1"/>
                  </w14:solidFill>
                </w14:textFill>
              </w:rPr>
              <w:t>饮食业油烟排放标准（试行）</w:t>
            </w:r>
            <w:r>
              <w:rPr>
                <w:color w:val="000000" w:themeColor="text1"/>
                <w:sz w:val="24"/>
                <w14:textFill>
                  <w14:solidFill>
                    <w14:schemeClr w14:val="tx1"/>
                  </w14:solidFill>
                </w14:textFill>
              </w:rPr>
              <w:t>》（GB18483-2001）</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型类排放标准。</w:t>
            </w:r>
            <w:r>
              <w:rPr>
                <w:rFonts w:hint="eastAsia"/>
                <w:color w:val="000000" w:themeColor="text1"/>
                <w:kern w:val="0"/>
                <w:sz w:val="24"/>
                <w14:textFill>
                  <w14:solidFill>
                    <w14:schemeClr w14:val="tx1"/>
                  </w14:solidFill>
                </w14:textFill>
              </w:rPr>
              <w:t>无组织排放限值见表3-8。</w:t>
            </w:r>
          </w:p>
          <w:p w14:paraId="79A59B49">
            <w:pPr>
              <w:spacing w:before="48" w:beforeLines="20"/>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表3-</w:t>
            </w:r>
            <w:r>
              <w:rPr>
                <w:rFonts w:hint="eastAsia"/>
                <w:b/>
                <w:bCs/>
                <w:color w:val="000000" w:themeColor="text1"/>
                <w:szCs w:val="20"/>
                <w:lang w:val="en-US" w:eastAsia="zh-CN"/>
                <w14:textFill>
                  <w14:solidFill>
                    <w14:schemeClr w14:val="tx1"/>
                  </w14:solidFill>
                </w14:textFill>
              </w:rPr>
              <w:t>7</w:t>
            </w:r>
            <w:r>
              <w:rPr>
                <w:rFonts w:hint="eastAsia"/>
                <w:b/>
                <w:bCs/>
                <w:color w:val="000000" w:themeColor="text1"/>
                <w:szCs w:val="20"/>
                <w14:textFill>
                  <w14:solidFill>
                    <w14:schemeClr w14:val="tx1"/>
                  </w14:solidFill>
                </w14:textFill>
              </w:rPr>
              <w:t xml:space="preserve"> 无组织排放限值</w:t>
            </w:r>
          </w:p>
          <w:tbl>
            <w:tblPr>
              <w:tblStyle w:val="2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1940"/>
              <w:gridCol w:w="1741"/>
              <w:gridCol w:w="3215"/>
            </w:tblGrid>
            <w:tr w14:paraId="4BA0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44" w:type="pct"/>
                  <w:vAlign w:val="center"/>
                </w:tcPr>
                <w:p w14:paraId="6FE4A1F1">
                  <w:pPr>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污染物项目</w:t>
                  </w:r>
                </w:p>
              </w:tc>
              <w:tc>
                <w:tcPr>
                  <w:tcW w:w="1141" w:type="pct"/>
                  <w:vAlign w:val="center"/>
                </w:tcPr>
                <w:p w14:paraId="6C203F2A">
                  <w:pPr>
                    <w:jc w:val="center"/>
                    <w:rPr>
                      <w:b/>
                      <w:bCs/>
                      <w:color w:val="000000" w:themeColor="text1"/>
                      <w:kern w:val="0"/>
                      <w:vertAlign w:val="superscript"/>
                      <w14:textFill>
                        <w14:solidFill>
                          <w14:schemeClr w14:val="tx1"/>
                        </w14:solidFill>
                      </w14:textFill>
                    </w:rPr>
                  </w:pPr>
                  <w:r>
                    <w:rPr>
                      <w:b/>
                      <w:bCs/>
                      <w:color w:val="000000" w:themeColor="text1"/>
                      <w:kern w:val="0"/>
                      <w14:textFill>
                        <w14:solidFill>
                          <w14:schemeClr w14:val="tx1"/>
                        </w14:solidFill>
                      </w14:textFill>
                    </w:rPr>
                    <w:t>排放限值</w:t>
                  </w:r>
                </w:p>
              </w:tc>
              <w:tc>
                <w:tcPr>
                  <w:tcW w:w="1024" w:type="pct"/>
                  <w:vAlign w:val="center"/>
                </w:tcPr>
                <w:p w14:paraId="3CC453EA">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监控位置</w:t>
                  </w:r>
                </w:p>
              </w:tc>
              <w:tc>
                <w:tcPr>
                  <w:tcW w:w="1890" w:type="pct"/>
                  <w:vAlign w:val="center"/>
                </w:tcPr>
                <w:p w14:paraId="31D835C4">
                  <w:pPr>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执行标准</w:t>
                  </w:r>
                </w:p>
              </w:tc>
            </w:tr>
            <w:tr w14:paraId="6ABF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6BFCC39">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颗粒物</w:t>
                  </w:r>
                </w:p>
              </w:tc>
              <w:tc>
                <w:tcPr>
                  <w:tcW w:w="1141" w:type="pct"/>
                  <w:vAlign w:val="center"/>
                </w:tcPr>
                <w:p w14:paraId="0246A3A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restart"/>
                  <w:vAlign w:val="center"/>
                </w:tcPr>
                <w:p w14:paraId="7D4D8DE6">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厂界处浓度最高点</w:t>
                  </w:r>
                </w:p>
              </w:tc>
              <w:tc>
                <w:tcPr>
                  <w:tcW w:w="1890" w:type="pct"/>
                  <w:vAlign w:val="center"/>
                </w:tcPr>
                <w:p w14:paraId="37B7F36E">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《大气污染物综合排放标准》（GB16297-1996）</w:t>
                  </w:r>
                </w:p>
              </w:tc>
            </w:tr>
            <w:tr w14:paraId="269E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527068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氨</w:t>
                  </w:r>
                </w:p>
              </w:tc>
              <w:tc>
                <w:tcPr>
                  <w:tcW w:w="1141" w:type="pct"/>
                  <w:vAlign w:val="center"/>
                </w:tcPr>
                <w:p w14:paraId="4B388D3B">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1.5</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continue"/>
                  <w:vAlign w:val="center"/>
                </w:tcPr>
                <w:p w14:paraId="3720C5E1">
                  <w:pPr>
                    <w:jc w:val="center"/>
                    <w:rPr>
                      <w:color w:val="000000" w:themeColor="text1"/>
                      <w:kern w:val="0"/>
                      <w14:textFill>
                        <w14:solidFill>
                          <w14:schemeClr w14:val="tx1"/>
                        </w14:solidFill>
                      </w14:textFill>
                    </w:rPr>
                  </w:pPr>
                </w:p>
              </w:tc>
              <w:tc>
                <w:tcPr>
                  <w:tcW w:w="1890" w:type="pct"/>
                  <w:vMerge w:val="restart"/>
                  <w:vAlign w:val="center"/>
                </w:tcPr>
                <w:p w14:paraId="41B7CB65">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《恶臭污染物排放标准》（GB14554-93）</w:t>
                  </w:r>
                </w:p>
              </w:tc>
            </w:tr>
            <w:tr w14:paraId="6D79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3852CF9C">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臭气浓度</w:t>
                  </w:r>
                </w:p>
              </w:tc>
              <w:tc>
                <w:tcPr>
                  <w:tcW w:w="1141" w:type="pct"/>
                  <w:vAlign w:val="center"/>
                </w:tcPr>
                <w:p w14:paraId="78B9A4D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20（无量纲）</w:t>
                  </w:r>
                </w:p>
              </w:tc>
              <w:tc>
                <w:tcPr>
                  <w:tcW w:w="1024" w:type="pct"/>
                  <w:vMerge w:val="continue"/>
                  <w:vAlign w:val="center"/>
                </w:tcPr>
                <w:p w14:paraId="210B3BDE">
                  <w:pPr>
                    <w:jc w:val="center"/>
                    <w:rPr>
                      <w:color w:val="000000" w:themeColor="text1"/>
                      <w:kern w:val="0"/>
                      <w14:textFill>
                        <w14:solidFill>
                          <w14:schemeClr w14:val="tx1"/>
                        </w14:solidFill>
                      </w14:textFill>
                    </w:rPr>
                  </w:pPr>
                </w:p>
              </w:tc>
              <w:tc>
                <w:tcPr>
                  <w:tcW w:w="1890" w:type="pct"/>
                  <w:vMerge w:val="continue"/>
                  <w:vAlign w:val="center"/>
                </w:tcPr>
                <w:p w14:paraId="25A3D290">
                  <w:pPr>
                    <w:rPr>
                      <w:color w:val="000000" w:themeColor="text1"/>
                      <w:kern w:val="0"/>
                      <w14:textFill>
                        <w14:solidFill>
                          <w14:schemeClr w14:val="tx1"/>
                        </w14:solidFill>
                      </w14:textFill>
                    </w:rPr>
                  </w:pPr>
                </w:p>
              </w:tc>
            </w:tr>
            <w:tr w14:paraId="41E9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944" w:type="pct"/>
                  <w:vAlign w:val="center"/>
                </w:tcPr>
                <w:p w14:paraId="02304013">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硫化氢</w:t>
                  </w:r>
                </w:p>
              </w:tc>
              <w:tc>
                <w:tcPr>
                  <w:tcW w:w="1141" w:type="pct"/>
                  <w:vAlign w:val="center"/>
                </w:tcPr>
                <w:p w14:paraId="1872519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0.06</w:t>
                  </w:r>
                  <w:r>
                    <w:rPr>
                      <w:color w:val="000000" w:themeColor="text1"/>
                      <w:kern w:val="0"/>
                      <w14:textFill>
                        <w14:solidFill>
                          <w14:schemeClr w14:val="tx1"/>
                        </w14:solidFill>
                      </w14:textFill>
                    </w:rPr>
                    <w:t>mg/m</w:t>
                  </w:r>
                  <w:r>
                    <w:rPr>
                      <w:color w:val="000000" w:themeColor="text1"/>
                      <w:kern w:val="0"/>
                      <w:vertAlign w:val="superscript"/>
                      <w14:textFill>
                        <w14:solidFill>
                          <w14:schemeClr w14:val="tx1"/>
                        </w14:solidFill>
                      </w14:textFill>
                    </w:rPr>
                    <w:t>3</w:t>
                  </w:r>
                </w:p>
              </w:tc>
              <w:tc>
                <w:tcPr>
                  <w:tcW w:w="1024" w:type="pct"/>
                  <w:vMerge w:val="continue"/>
                  <w:vAlign w:val="center"/>
                </w:tcPr>
                <w:p w14:paraId="624E9A8B">
                  <w:pPr>
                    <w:jc w:val="center"/>
                    <w:rPr>
                      <w:color w:val="000000" w:themeColor="text1"/>
                      <w:kern w:val="0"/>
                      <w14:textFill>
                        <w14:solidFill>
                          <w14:schemeClr w14:val="tx1"/>
                        </w14:solidFill>
                      </w14:textFill>
                    </w:rPr>
                  </w:pPr>
                </w:p>
              </w:tc>
              <w:tc>
                <w:tcPr>
                  <w:tcW w:w="1890" w:type="pct"/>
                  <w:vMerge w:val="continue"/>
                  <w:vAlign w:val="center"/>
                </w:tcPr>
                <w:p w14:paraId="1E5C57C5">
                  <w:pPr>
                    <w:rPr>
                      <w:color w:val="000000" w:themeColor="text1"/>
                      <w:kern w:val="0"/>
                      <w14:textFill>
                        <w14:solidFill>
                          <w14:schemeClr w14:val="tx1"/>
                        </w14:solidFill>
                      </w14:textFill>
                    </w:rPr>
                  </w:pPr>
                </w:p>
              </w:tc>
            </w:tr>
            <w:tr w14:paraId="62AE2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left w:val="single" w:color="auto" w:sz="4" w:space="0"/>
                    <w:right w:val="single" w:color="auto" w:sz="4" w:space="0"/>
                  </w:tcBorders>
                  <w:vAlign w:val="center"/>
                </w:tcPr>
                <w:p w14:paraId="0F9858C4">
                  <w:pPr>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饮食业油烟排放标准</w:t>
                  </w:r>
                </w:p>
              </w:tc>
            </w:tr>
            <w:tr w14:paraId="0F98F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293C5D60">
                  <w:pPr>
                    <w:autoSpaceDE w:val="0"/>
                    <w:autoSpaceDN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规模</w:t>
                  </w:r>
                </w:p>
              </w:tc>
              <w:tc>
                <w:tcPr>
                  <w:tcW w:w="1141" w:type="pct"/>
                  <w:vAlign w:val="center"/>
                </w:tcPr>
                <w:p w14:paraId="42397204">
                  <w:pPr>
                    <w:autoSpaceDE w:val="0"/>
                    <w:autoSpaceDN w:val="0"/>
                    <w:jc w:val="center"/>
                    <w:rPr>
                      <w:b/>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中</w:t>
                  </w:r>
                  <w:r>
                    <w:rPr>
                      <w:b/>
                      <w:bCs/>
                      <w:color w:val="000000" w:themeColor="text1"/>
                      <w:szCs w:val="21"/>
                      <w14:textFill>
                        <w14:solidFill>
                          <w14:schemeClr w14:val="tx1"/>
                        </w14:solidFill>
                      </w14:textFill>
                    </w:rPr>
                    <w:t>型</w:t>
                  </w:r>
                </w:p>
              </w:tc>
              <w:tc>
                <w:tcPr>
                  <w:tcW w:w="2914" w:type="pct"/>
                  <w:gridSpan w:val="2"/>
                  <w:tcBorders>
                    <w:right w:val="single" w:color="auto" w:sz="4" w:space="0"/>
                  </w:tcBorders>
                  <w:vAlign w:val="center"/>
                </w:tcPr>
                <w:p w14:paraId="2DD13B6B">
                  <w:pPr>
                    <w:autoSpaceDE w:val="0"/>
                    <w:autoSpaceDN w:val="0"/>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663F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32E6A23C">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基准灶头数</w:t>
                  </w:r>
                </w:p>
              </w:tc>
              <w:tc>
                <w:tcPr>
                  <w:tcW w:w="1141" w:type="pct"/>
                  <w:vAlign w:val="center"/>
                </w:tcPr>
                <w:p w14:paraId="3E1303B3">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，&lt;</w:t>
                  </w:r>
                  <w:r>
                    <w:rPr>
                      <w:rFonts w:hint="eastAsia"/>
                      <w:color w:val="000000" w:themeColor="text1"/>
                      <w:szCs w:val="21"/>
                      <w14:textFill>
                        <w14:solidFill>
                          <w14:schemeClr w14:val="tx1"/>
                        </w14:solidFill>
                      </w14:textFill>
                    </w:rPr>
                    <w:t>6</w:t>
                  </w:r>
                </w:p>
              </w:tc>
              <w:tc>
                <w:tcPr>
                  <w:tcW w:w="2914" w:type="pct"/>
                  <w:gridSpan w:val="2"/>
                  <w:vMerge w:val="restart"/>
                  <w:tcBorders>
                    <w:right w:val="single" w:color="auto" w:sz="4" w:space="0"/>
                  </w:tcBorders>
                  <w:vAlign w:val="center"/>
                </w:tcPr>
                <w:p w14:paraId="772D0CF9">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饮食业油烟排放标准（试行）</w:t>
                  </w:r>
                  <w:r>
                    <w:rPr>
                      <w:color w:val="000000" w:themeColor="text1"/>
                      <w:szCs w:val="21"/>
                      <w14:textFill>
                        <w14:solidFill>
                          <w14:schemeClr w14:val="tx1"/>
                        </w14:solidFill>
                      </w14:textFill>
                    </w:rPr>
                    <w:t>》（GB18483-2001）（试行）</w:t>
                  </w:r>
                  <w:r>
                    <w:rPr>
                      <w:rFonts w:hint="eastAsia"/>
                      <w:color w:val="000000" w:themeColor="text1"/>
                      <w:szCs w:val="21"/>
                      <w14:textFill>
                        <w14:solidFill>
                          <w14:schemeClr w14:val="tx1"/>
                        </w14:solidFill>
                      </w14:textFill>
                    </w:rPr>
                    <w:t>中</w:t>
                  </w:r>
                  <w:r>
                    <w:rPr>
                      <w:color w:val="000000" w:themeColor="text1"/>
                      <w:szCs w:val="21"/>
                      <w14:textFill>
                        <w14:solidFill>
                          <w14:schemeClr w14:val="tx1"/>
                        </w14:solidFill>
                      </w14:textFill>
                    </w:rPr>
                    <w:t>型类排放标准</w:t>
                  </w:r>
                </w:p>
              </w:tc>
            </w:tr>
            <w:tr w14:paraId="6E1C5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tcBorders>
                  <w:vAlign w:val="center"/>
                </w:tcPr>
                <w:p w14:paraId="6AD2B711">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油烟最高允许排放浓度(mg/m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141" w:type="pct"/>
                  <w:vAlign w:val="center"/>
                </w:tcPr>
                <w:p w14:paraId="085F3B30">
                  <w:pPr>
                    <w:autoSpaceDE w:val="0"/>
                    <w:autoSpaceDN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914" w:type="pct"/>
                  <w:gridSpan w:val="2"/>
                  <w:vMerge w:val="continue"/>
                  <w:tcBorders>
                    <w:right w:val="single" w:color="auto" w:sz="4" w:space="0"/>
                  </w:tcBorders>
                  <w:vAlign w:val="center"/>
                </w:tcPr>
                <w:p w14:paraId="6D07C5B8">
                  <w:pPr>
                    <w:autoSpaceDE w:val="0"/>
                    <w:autoSpaceDN w:val="0"/>
                    <w:jc w:val="center"/>
                    <w:rPr>
                      <w:b/>
                      <w:color w:val="000000" w:themeColor="text1"/>
                      <w:szCs w:val="21"/>
                      <w14:textFill>
                        <w14:solidFill>
                          <w14:schemeClr w14:val="tx1"/>
                        </w14:solidFill>
                      </w14:textFill>
                    </w:rPr>
                  </w:pPr>
                </w:p>
              </w:tc>
            </w:tr>
            <w:tr w14:paraId="547D6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left w:val="single" w:color="auto" w:sz="4" w:space="0"/>
                    <w:bottom w:val="single" w:color="auto" w:sz="4" w:space="0"/>
                  </w:tcBorders>
                  <w:vAlign w:val="center"/>
                </w:tcPr>
                <w:p w14:paraId="5DF8D90C">
                  <w:pPr>
                    <w:autoSpaceDE w:val="0"/>
                    <w:autoSpaceDN w:val="0"/>
                    <w:jc w:val="center"/>
                    <w:rPr>
                      <w:b/>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净化设施最低去除效率(%)</w:t>
                  </w:r>
                </w:p>
              </w:tc>
              <w:tc>
                <w:tcPr>
                  <w:tcW w:w="1141" w:type="pct"/>
                  <w:tcBorders>
                    <w:bottom w:val="single" w:color="auto" w:sz="4" w:space="0"/>
                  </w:tcBorders>
                  <w:vAlign w:val="center"/>
                </w:tcPr>
                <w:p w14:paraId="7C46A06C">
                  <w:pPr>
                    <w:autoSpaceDE w:val="0"/>
                    <w:autoSpaceDN w:val="0"/>
                    <w:jc w:val="center"/>
                    <w:rPr>
                      <w:b/>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c>
                <w:tcPr>
                  <w:tcW w:w="2914" w:type="pct"/>
                  <w:gridSpan w:val="2"/>
                  <w:vMerge w:val="continue"/>
                  <w:tcBorders>
                    <w:bottom w:val="single" w:color="auto" w:sz="4" w:space="0"/>
                    <w:right w:val="single" w:color="auto" w:sz="4" w:space="0"/>
                  </w:tcBorders>
                  <w:vAlign w:val="center"/>
                </w:tcPr>
                <w:p w14:paraId="4DB4A1D5">
                  <w:pPr>
                    <w:autoSpaceDE w:val="0"/>
                    <w:autoSpaceDN w:val="0"/>
                    <w:jc w:val="center"/>
                    <w:rPr>
                      <w:b/>
                      <w:color w:val="000000" w:themeColor="text1"/>
                      <w:szCs w:val="21"/>
                      <w14:textFill>
                        <w14:solidFill>
                          <w14:schemeClr w14:val="tx1"/>
                        </w14:solidFill>
                      </w14:textFill>
                    </w:rPr>
                  </w:pPr>
                </w:p>
              </w:tc>
            </w:tr>
          </w:tbl>
          <w:p w14:paraId="4F8D6FC4">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2、废水排放标准</w:t>
            </w:r>
          </w:p>
          <w:p w14:paraId="23E848A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（1）施工期</w:t>
            </w:r>
          </w:p>
          <w:p w14:paraId="6733961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公司果蔬加工项目已通过竣工验收，环保设施完善。</w:t>
            </w:r>
            <w:r>
              <w:rPr>
                <w:color w:val="000000" w:themeColor="text1"/>
                <w:sz w:val="24"/>
                <w14:textFill>
                  <w14:solidFill>
                    <w14:schemeClr w14:val="tx1"/>
                  </w14:solidFill>
                </w14:textFill>
              </w:rPr>
              <w:t>项目施工期</w:t>
            </w:r>
            <w:r>
              <w:rPr>
                <w:rFonts w:hint="eastAsia"/>
                <w:color w:val="000000" w:themeColor="text1"/>
                <w:sz w:val="24"/>
                <w14:textFill>
                  <w14:solidFill>
                    <w14:schemeClr w14:val="tx1"/>
                  </w14:solidFill>
                </w14:textFill>
              </w:rPr>
              <w:t>施工废水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回</w:t>
            </w:r>
            <w:r>
              <w:rPr>
                <w:color w:val="000000" w:themeColor="text1"/>
                <w:sz w:val="24"/>
                <w14:textFill>
                  <w14:solidFill>
                    <w14:schemeClr w14:val="tx1"/>
                  </w14:solidFill>
                </w14:textFill>
              </w:rPr>
              <w:t>用于施工场地洒水降尘，不外排，</w:t>
            </w:r>
            <w:r>
              <w:rPr>
                <w:rFonts w:hint="eastAsia"/>
                <w:color w:val="000000" w:themeColor="text1"/>
                <w:sz w:val="24"/>
                <w14:textFill>
                  <w14:solidFill>
                    <w14:schemeClr w14:val="tx1"/>
                  </w14:solidFill>
                </w14:textFill>
              </w:rPr>
              <w:t>施工人员生活废水进入厂区现有化粪池，不外排。</w:t>
            </w:r>
            <w:r>
              <w:rPr>
                <w:color w:val="000000" w:themeColor="text1"/>
                <w:sz w:val="24"/>
                <w14:textFill>
                  <w14:solidFill>
                    <w14:schemeClr w14:val="tx1"/>
                  </w14:solidFill>
                </w14:textFill>
              </w:rPr>
              <w:t>不设置废水排放标准。</w:t>
            </w:r>
          </w:p>
          <w:p w14:paraId="5DD1331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（2）运营期</w:t>
            </w:r>
          </w:p>
          <w:p w14:paraId="6EAAEFC8">
            <w:pPr>
              <w:snapToGrid w:val="0"/>
              <w:spacing w:before="48" w:beforeLines="2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项目食堂餐饮废水经</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隔油器处理后与其它生活污水经</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化粪池处理、</w:t>
            </w:r>
            <w:r>
              <w:rPr>
                <w:rFonts w:hint="eastAsia"/>
                <w:color w:val="000000" w:themeColor="text1"/>
                <w:sz w:val="24"/>
                <w14:textFill>
                  <w14:solidFill>
                    <w14:schemeClr w14:val="tx1"/>
                  </w14:solidFill>
                </w14:textFill>
              </w:rPr>
              <w:t>发酵废液经新建污水收集管道进入污水收集池暂存，后经过提升泵泵至现有污水处理站，</w:t>
            </w:r>
            <w:r>
              <w:rPr>
                <w:color w:val="000000" w:themeColor="text1"/>
                <w:sz w:val="24"/>
                <w14:textFill>
                  <w14:solidFill>
                    <w14:schemeClr w14:val="tx1"/>
                  </w14:solidFill>
                </w14:textFill>
              </w:rPr>
              <w:t>经处理后达《污水排入城镇下水道水质标准》（GB/T31962-2015）表1中A 级标准排入自建污水管网，最终进入寻甸县污水处理厂处理。</w:t>
            </w:r>
            <w:r>
              <w:rPr>
                <w:rFonts w:hint="eastAsia"/>
                <w:color w:val="000000" w:themeColor="text1"/>
                <w:sz w:val="24"/>
                <w14:textFill>
                  <w14:solidFill>
                    <w14:schemeClr w14:val="tx1"/>
                  </w14:solidFill>
                </w14:textFill>
              </w:rPr>
              <w:t>排放限值见表3-9。</w:t>
            </w:r>
          </w:p>
          <w:p w14:paraId="234A0467">
            <w:pPr>
              <w:ind w:firstLine="103" w:firstLine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9</w:t>
            </w:r>
            <w:r>
              <w:rPr>
                <w:b/>
                <w:color w:val="000000" w:themeColor="text1"/>
                <w:szCs w:val="21"/>
                <w14:textFill>
                  <w14:solidFill>
                    <w14:schemeClr w14:val="tx1"/>
                  </w14:solidFill>
                </w14:textFill>
              </w:rPr>
              <w:t xml:space="preserve"> 污水排入城镇下水道水质标准</w:t>
            </w:r>
            <w:r>
              <w:rPr>
                <w:rFonts w:hint="eastAsia"/>
                <w:b/>
                <w:color w:val="000000" w:themeColor="text1"/>
                <w:szCs w:val="21"/>
                <w14:textFill>
                  <w14:solidFill>
                    <w14:schemeClr w14:val="tx1"/>
                  </w14:solidFill>
                </w14:textFill>
              </w:rPr>
              <w:t>限值</w:t>
            </w:r>
            <w:r>
              <w:rPr>
                <w:b/>
                <w:color w:val="000000" w:themeColor="text1"/>
                <w:szCs w:val="21"/>
                <w14:textFill>
                  <w14:solidFill>
                    <w14:schemeClr w14:val="tx1"/>
                  </w14:solidFill>
                </w14:textFill>
              </w:rPr>
              <w:t xml:space="preserve">  单位：除PH外，均为mg/L</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459"/>
              <w:gridCol w:w="861"/>
              <w:gridCol w:w="1025"/>
              <w:gridCol w:w="1042"/>
              <w:gridCol w:w="802"/>
              <w:gridCol w:w="731"/>
              <w:gridCol w:w="1291"/>
            </w:tblGrid>
            <w:tr w14:paraId="62EB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30DF923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标准类别</w:t>
                  </w:r>
                </w:p>
              </w:tc>
              <w:tc>
                <w:tcPr>
                  <w:tcW w:w="1407" w:type="dxa"/>
                  <w:vAlign w:val="center"/>
                </w:tcPr>
                <w:p w14:paraId="3814BC9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PH</w:t>
                  </w:r>
                </w:p>
              </w:tc>
              <w:tc>
                <w:tcPr>
                  <w:tcW w:w="830" w:type="dxa"/>
                  <w:vAlign w:val="center"/>
                </w:tcPr>
                <w:p w14:paraId="4E7C3A8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988" w:type="dxa"/>
                  <w:vAlign w:val="center"/>
                </w:tcPr>
                <w:p w14:paraId="71220F7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r>
                    <w:rPr>
                      <w:b/>
                      <w:bCs/>
                      <w:color w:val="000000" w:themeColor="text1"/>
                      <w:szCs w:val="21"/>
                      <w:vertAlign w:val="subscript"/>
                      <w14:textFill>
                        <w14:solidFill>
                          <w14:schemeClr w14:val="tx1"/>
                        </w14:solidFill>
                      </w14:textFill>
                    </w:rPr>
                    <w:t>Cr</w:t>
                  </w:r>
                </w:p>
              </w:tc>
              <w:tc>
                <w:tcPr>
                  <w:tcW w:w="1005" w:type="dxa"/>
                  <w:vAlign w:val="center"/>
                </w:tcPr>
                <w:p w14:paraId="47D4FB64">
                  <w:pPr>
                    <w:ind w:firstLine="211" w:firstLineChars="1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w:t>
                  </w:r>
                  <w:r>
                    <w:rPr>
                      <w:rFonts w:hint="eastAsia"/>
                      <w:b/>
                      <w:bCs/>
                      <w:color w:val="000000" w:themeColor="text1"/>
                      <w:szCs w:val="21"/>
                      <w14:textFill>
                        <w14:solidFill>
                          <w14:schemeClr w14:val="tx1"/>
                        </w14:solidFill>
                      </w14:textFill>
                    </w:rPr>
                    <w:t>O</w:t>
                  </w:r>
                  <w:r>
                    <w:rPr>
                      <w:b/>
                      <w:bCs/>
                      <w:color w:val="000000" w:themeColor="text1"/>
                      <w:szCs w:val="21"/>
                      <w14:textFill>
                        <w14:solidFill>
                          <w14:schemeClr w14:val="tx1"/>
                        </w14:solidFill>
                      </w14:textFill>
                    </w:rPr>
                    <w:t>D</w:t>
                  </w:r>
                  <w:r>
                    <w:rPr>
                      <w:b/>
                      <w:bCs/>
                      <w:color w:val="000000" w:themeColor="text1"/>
                      <w:szCs w:val="21"/>
                      <w:vertAlign w:val="subscript"/>
                      <w14:textFill>
                        <w14:solidFill>
                          <w14:schemeClr w14:val="tx1"/>
                        </w14:solidFill>
                      </w14:textFill>
                    </w:rPr>
                    <w:t>5</w:t>
                  </w:r>
                </w:p>
              </w:tc>
              <w:tc>
                <w:tcPr>
                  <w:tcW w:w="773" w:type="dxa"/>
                  <w:vAlign w:val="center"/>
                </w:tcPr>
                <w:p w14:paraId="259554A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w:t>
                  </w:r>
                  <w:r>
                    <w:rPr>
                      <w:b/>
                      <w:bCs/>
                      <w:color w:val="000000" w:themeColor="text1"/>
                      <w:szCs w:val="21"/>
                      <w14:textFill>
                        <w14:solidFill>
                          <w14:schemeClr w14:val="tx1"/>
                        </w14:solidFill>
                      </w14:textFill>
                    </w:rPr>
                    <w:t>氮</w:t>
                  </w:r>
                </w:p>
              </w:tc>
              <w:tc>
                <w:tcPr>
                  <w:tcW w:w="705" w:type="dxa"/>
                  <w:vAlign w:val="center"/>
                </w:tcPr>
                <w:p w14:paraId="49D5CA6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c>
                <w:tcPr>
                  <w:tcW w:w="1245" w:type="dxa"/>
                  <w:vAlign w:val="center"/>
                </w:tcPr>
                <w:p w14:paraId="6A9B3012">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总氮</w:t>
                  </w:r>
                </w:p>
              </w:tc>
            </w:tr>
            <w:tr w14:paraId="6D88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1712C33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A级标准</w:t>
                  </w:r>
                </w:p>
              </w:tc>
              <w:tc>
                <w:tcPr>
                  <w:tcW w:w="1407" w:type="dxa"/>
                  <w:vAlign w:val="center"/>
                </w:tcPr>
                <w:p w14:paraId="293910C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6.5～9.5</w:t>
                  </w:r>
                </w:p>
              </w:tc>
              <w:tc>
                <w:tcPr>
                  <w:tcW w:w="830" w:type="dxa"/>
                  <w:vAlign w:val="center"/>
                </w:tcPr>
                <w:p w14:paraId="0DCDD9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988" w:type="dxa"/>
                  <w:vAlign w:val="center"/>
                </w:tcPr>
                <w:p w14:paraId="1A4F9883">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w:t>
                  </w:r>
                </w:p>
              </w:tc>
              <w:tc>
                <w:tcPr>
                  <w:tcW w:w="1005" w:type="dxa"/>
                  <w:vAlign w:val="center"/>
                </w:tcPr>
                <w:p w14:paraId="45F47373">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350</w:t>
                  </w:r>
                </w:p>
              </w:tc>
              <w:tc>
                <w:tcPr>
                  <w:tcW w:w="773" w:type="dxa"/>
                  <w:vAlign w:val="center"/>
                </w:tcPr>
                <w:p w14:paraId="35EADDE5">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45</w:t>
                  </w:r>
                </w:p>
              </w:tc>
              <w:tc>
                <w:tcPr>
                  <w:tcW w:w="705" w:type="dxa"/>
                  <w:vAlign w:val="center"/>
                </w:tcPr>
                <w:p w14:paraId="463453EB">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8</w:t>
                  </w:r>
                </w:p>
              </w:tc>
              <w:tc>
                <w:tcPr>
                  <w:tcW w:w="1245" w:type="dxa"/>
                  <w:vAlign w:val="center"/>
                </w:tcPr>
                <w:p w14:paraId="5BC5EE4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w:t>
                  </w:r>
                </w:p>
              </w:tc>
            </w:tr>
          </w:tbl>
          <w:p w14:paraId="5E4A0E91">
            <w:pPr>
              <w:tabs>
                <w:tab w:val="left" w:pos="3094"/>
              </w:tabs>
              <w:spacing w:line="360" w:lineRule="auto"/>
              <w:ind w:firstLine="482" w:firstLineChars="200"/>
              <w:rPr>
                <w:b/>
                <w:color w:val="000000" w:themeColor="text1"/>
                <w:kern w:val="0"/>
                <w:sz w:val="24"/>
                <w:szCs w:val="28"/>
                <w14:textFill>
                  <w14:solidFill>
                    <w14:schemeClr w14:val="tx1"/>
                  </w14:solidFill>
                </w14:textFill>
              </w:rPr>
            </w:pPr>
            <w:r>
              <w:rPr>
                <w:rFonts w:hint="eastAsia"/>
                <w:b/>
                <w:color w:val="000000" w:themeColor="text1"/>
                <w:kern w:val="0"/>
                <w:sz w:val="24"/>
                <w:szCs w:val="28"/>
                <w14:textFill>
                  <w14:solidFill>
                    <w14:schemeClr w14:val="tx1"/>
                  </w14:solidFill>
                </w14:textFill>
              </w:rPr>
              <w:t>3、噪声排放标准</w:t>
            </w:r>
          </w:p>
          <w:p w14:paraId="21112C57">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施工期噪声执行《</w:t>
            </w:r>
            <w:r>
              <w:rPr>
                <w:rFonts w:hint="eastAsia"/>
                <w:bCs/>
                <w:color w:val="000000" w:themeColor="text1"/>
                <w:kern w:val="0"/>
                <w:sz w:val="24"/>
                <w14:textFill>
                  <w14:solidFill>
                    <w14:schemeClr w14:val="tx1"/>
                  </w14:solidFill>
                </w14:textFill>
              </w:rPr>
              <w:t>建筑施工噪声排放标准</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GB 12523-2025</w:t>
            </w:r>
            <w:r>
              <w:rPr>
                <w:bCs/>
                <w:color w:val="000000" w:themeColor="text1"/>
                <w:kern w:val="0"/>
                <w:sz w:val="24"/>
                <w14:textFill>
                  <w14:solidFill>
                    <w14:schemeClr w14:val="tx1"/>
                  </w14:solidFill>
                </w14:textFill>
              </w:rPr>
              <w:t>）。标准值见表</w:t>
            </w:r>
            <w:r>
              <w:rPr>
                <w:rFonts w:hint="eastAsia"/>
                <w:bCs/>
                <w:color w:val="000000" w:themeColor="text1"/>
                <w:kern w:val="0"/>
                <w:sz w:val="24"/>
                <w14:textFill>
                  <w14:solidFill>
                    <w14:schemeClr w14:val="tx1"/>
                  </w14:solidFill>
                </w14:textFill>
              </w:rPr>
              <w:t>3-10</w:t>
            </w:r>
            <w:r>
              <w:rPr>
                <w:bCs/>
                <w:color w:val="000000" w:themeColor="text1"/>
                <w:kern w:val="0"/>
                <w:sz w:val="24"/>
                <w14:textFill>
                  <w14:solidFill>
                    <w14:schemeClr w14:val="tx1"/>
                  </w14:solidFill>
                </w14:textFill>
              </w:rPr>
              <w:t>。</w:t>
            </w:r>
          </w:p>
          <w:p w14:paraId="2EA83FA5">
            <w:pPr>
              <w:ind w:firstLine="103" w:firstLineChars="49"/>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表3-10  建筑施工场界环境噪声排放标准  单位：dB(A)</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83"/>
              <w:gridCol w:w="3828"/>
            </w:tblGrid>
            <w:tr w14:paraId="4E5C5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483" w:type="dxa"/>
                  <w:tcBorders>
                    <w:top w:val="single" w:color="000000" w:sz="4" w:space="0"/>
                    <w:left w:val="single" w:color="000000" w:sz="4" w:space="0"/>
                    <w:bottom w:val="single" w:color="000000" w:sz="4" w:space="0"/>
                    <w:right w:val="single" w:color="000000" w:sz="4" w:space="0"/>
                  </w:tcBorders>
                  <w:vAlign w:val="center"/>
                </w:tcPr>
                <w:p w14:paraId="512BF2AA">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昼间</w:t>
                  </w:r>
                </w:p>
              </w:tc>
              <w:tc>
                <w:tcPr>
                  <w:tcW w:w="3828" w:type="dxa"/>
                  <w:tcBorders>
                    <w:top w:val="single" w:color="000000" w:sz="4" w:space="0"/>
                    <w:left w:val="single" w:color="000000" w:sz="4" w:space="0"/>
                    <w:bottom w:val="single" w:color="000000" w:sz="4" w:space="0"/>
                    <w:right w:val="single" w:color="000000" w:sz="4" w:space="0"/>
                  </w:tcBorders>
                  <w:vAlign w:val="center"/>
                </w:tcPr>
                <w:p w14:paraId="25B46C88">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夜间</w:t>
                  </w:r>
                </w:p>
              </w:tc>
            </w:tr>
            <w:tr w14:paraId="0228F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jc w:val="center"/>
              </w:trPr>
              <w:tc>
                <w:tcPr>
                  <w:tcW w:w="4483" w:type="dxa"/>
                  <w:tcBorders>
                    <w:top w:val="single" w:color="000000" w:sz="4" w:space="0"/>
                    <w:left w:val="single" w:color="000000" w:sz="4" w:space="0"/>
                    <w:bottom w:val="single" w:color="000000" w:sz="4" w:space="0"/>
                    <w:right w:val="single" w:color="000000" w:sz="4" w:space="0"/>
                  </w:tcBorders>
                  <w:vAlign w:val="center"/>
                </w:tcPr>
                <w:p w14:paraId="5AEC6C60">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70</w:t>
                  </w:r>
                </w:p>
              </w:tc>
              <w:tc>
                <w:tcPr>
                  <w:tcW w:w="3828" w:type="dxa"/>
                  <w:tcBorders>
                    <w:top w:val="single" w:color="000000" w:sz="4" w:space="0"/>
                    <w:left w:val="single" w:color="000000" w:sz="4" w:space="0"/>
                    <w:bottom w:val="single" w:color="000000" w:sz="4" w:space="0"/>
                    <w:right w:val="single" w:color="000000" w:sz="4" w:space="0"/>
                  </w:tcBorders>
                  <w:vAlign w:val="center"/>
                </w:tcPr>
                <w:p w14:paraId="11989CE9">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55</w:t>
                  </w:r>
                </w:p>
              </w:tc>
            </w:tr>
          </w:tbl>
          <w:p w14:paraId="51B0A0CD">
            <w:pPr>
              <w:tabs>
                <w:tab w:val="left" w:pos="3094"/>
              </w:tabs>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（2）运营期</w:t>
            </w:r>
          </w:p>
          <w:p w14:paraId="4764D63E">
            <w:pPr>
              <w:spacing w:line="360" w:lineRule="auto"/>
              <w:ind w:firstLine="480" w:firstLineChars="200"/>
              <w:rPr>
                <w:b/>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项目区声环境功能区划为2类，故项目运营期厂界噪声排放执行《工业企业厂界环境噪声排放标准》（GB12348-2008）中的2类区标准。</w:t>
            </w:r>
            <w:r>
              <w:rPr>
                <w:color w:val="000000" w:themeColor="text1"/>
                <w:kern w:val="0"/>
                <w:sz w:val="24"/>
                <w14:textFill>
                  <w14:solidFill>
                    <w14:schemeClr w14:val="tx1"/>
                  </w14:solidFill>
                </w14:textFill>
              </w:rPr>
              <w:t>标准值见表3-</w:t>
            </w:r>
            <w:r>
              <w:rPr>
                <w:rFonts w:hint="eastAsia"/>
                <w:color w:val="000000" w:themeColor="text1"/>
                <w:kern w:val="0"/>
                <w:sz w:val="24"/>
                <w14:textFill>
                  <w14:solidFill>
                    <w14:schemeClr w14:val="tx1"/>
                  </w14:solidFill>
                </w14:textFill>
              </w:rPr>
              <w:t>11</w:t>
            </w:r>
            <w:r>
              <w:rPr>
                <w:color w:val="000000" w:themeColor="text1"/>
                <w:kern w:val="0"/>
                <w:sz w:val="24"/>
                <w14:textFill>
                  <w14:solidFill>
                    <w14:schemeClr w14:val="tx1"/>
                  </w14:solidFill>
                </w14:textFill>
              </w:rPr>
              <w:t>。</w:t>
            </w:r>
          </w:p>
          <w:p w14:paraId="6C9F549A">
            <w:pPr>
              <w:ind w:firstLine="103" w:firstLineChars="49"/>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表3-11  工业企业厂界噪声排放标准  单位：dB(A)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2560"/>
              <w:gridCol w:w="2561"/>
            </w:tblGrid>
            <w:tr w14:paraId="6182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189" w:type="dxa"/>
                  <w:tcBorders>
                    <w:top w:val="single" w:color="auto" w:sz="4" w:space="0"/>
                    <w:left w:val="single" w:color="auto" w:sz="4" w:space="0"/>
                    <w:bottom w:val="single" w:color="auto" w:sz="4" w:space="0"/>
                    <w:right w:val="single" w:color="auto" w:sz="4" w:space="0"/>
                  </w:tcBorders>
                  <w:vAlign w:val="center"/>
                </w:tcPr>
                <w:p w14:paraId="4F75CD7D">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声环境功能区划类别</w:t>
                  </w:r>
                </w:p>
              </w:tc>
              <w:tc>
                <w:tcPr>
                  <w:tcW w:w="2560" w:type="dxa"/>
                  <w:tcBorders>
                    <w:top w:val="single" w:color="auto" w:sz="4" w:space="0"/>
                    <w:left w:val="single" w:color="auto" w:sz="4" w:space="0"/>
                    <w:bottom w:val="single" w:color="auto" w:sz="4" w:space="0"/>
                    <w:right w:val="single" w:color="auto" w:sz="4" w:space="0"/>
                  </w:tcBorders>
                  <w:vAlign w:val="center"/>
                </w:tcPr>
                <w:p w14:paraId="1BBF84F7">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昼间</w:t>
                  </w:r>
                </w:p>
              </w:tc>
              <w:tc>
                <w:tcPr>
                  <w:tcW w:w="2561" w:type="dxa"/>
                  <w:tcBorders>
                    <w:top w:val="single" w:color="auto" w:sz="4" w:space="0"/>
                    <w:left w:val="single" w:color="auto" w:sz="4" w:space="0"/>
                    <w:bottom w:val="single" w:color="auto" w:sz="4" w:space="0"/>
                    <w:right w:val="single" w:color="auto" w:sz="4" w:space="0"/>
                  </w:tcBorders>
                  <w:vAlign w:val="center"/>
                </w:tcPr>
                <w:p w14:paraId="63EA1AAA">
                  <w:pPr>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夜间</w:t>
                  </w:r>
                </w:p>
              </w:tc>
            </w:tr>
            <w:tr w14:paraId="4A9E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9" w:type="dxa"/>
                  <w:tcBorders>
                    <w:top w:val="single" w:color="auto" w:sz="4" w:space="0"/>
                    <w:left w:val="single" w:color="auto" w:sz="4" w:space="0"/>
                    <w:bottom w:val="single" w:color="auto" w:sz="4" w:space="0"/>
                    <w:right w:val="single" w:color="auto" w:sz="4" w:space="0"/>
                  </w:tcBorders>
                  <w:vAlign w:val="center"/>
                </w:tcPr>
                <w:p w14:paraId="7DB10A5C">
                  <w:pPr>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2</w:t>
                  </w:r>
                  <w:r>
                    <w:rPr>
                      <w:bCs/>
                      <w:color w:val="000000" w:themeColor="text1"/>
                      <w:kern w:val="0"/>
                      <w14:textFill>
                        <w14:solidFill>
                          <w14:schemeClr w14:val="tx1"/>
                        </w14:solidFill>
                      </w14:textFill>
                    </w:rPr>
                    <w:t>类</w:t>
                  </w:r>
                </w:p>
              </w:tc>
              <w:tc>
                <w:tcPr>
                  <w:tcW w:w="2560" w:type="dxa"/>
                  <w:tcBorders>
                    <w:top w:val="single" w:color="auto" w:sz="4" w:space="0"/>
                    <w:left w:val="single" w:color="auto" w:sz="4" w:space="0"/>
                    <w:bottom w:val="single" w:color="auto" w:sz="4" w:space="0"/>
                    <w:right w:val="single" w:color="auto" w:sz="4" w:space="0"/>
                  </w:tcBorders>
                  <w:vAlign w:val="center"/>
                </w:tcPr>
                <w:p w14:paraId="531E5A89">
                  <w:pPr>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60</w:t>
                  </w:r>
                </w:p>
              </w:tc>
              <w:tc>
                <w:tcPr>
                  <w:tcW w:w="2561" w:type="dxa"/>
                  <w:tcBorders>
                    <w:top w:val="single" w:color="auto" w:sz="4" w:space="0"/>
                    <w:left w:val="single" w:color="auto" w:sz="4" w:space="0"/>
                    <w:bottom w:val="single" w:color="auto" w:sz="4" w:space="0"/>
                    <w:right w:val="single" w:color="auto" w:sz="4" w:space="0"/>
                  </w:tcBorders>
                  <w:vAlign w:val="center"/>
                </w:tcPr>
                <w:p w14:paraId="3D0E6A42">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50</w:t>
                  </w:r>
                </w:p>
              </w:tc>
            </w:tr>
          </w:tbl>
          <w:p w14:paraId="7A97929B">
            <w:pPr>
              <w:tabs>
                <w:tab w:val="left" w:pos="3094"/>
              </w:tabs>
              <w:spacing w:line="360" w:lineRule="auto"/>
              <w:ind w:firstLine="482" w:firstLineChars="200"/>
              <w:rPr>
                <w:b/>
                <w:color w:val="000000" w:themeColor="text1"/>
                <w:kern w:val="0"/>
                <w:sz w:val="24"/>
                <w:szCs w:val="28"/>
                <w14:textFill>
                  <w14:solidFill>
                    <w14:schemeClr w14:val="tx1"/>
                  </w14:solidFill>
                </w14:textFill>
              </w:rPr>
            </w:pPr>
            <w:r>
              <w:rPr>
                <w:rFonts w:hint="eastAsia"/>
                <w:b/>
                <w:color w:val="000000" w:themeColor="text1"/>
                <w:kern w:val="0"/>
                <w:sz w:val="24"/>
                <w:szCs w:val="28"/>
                <w14:textFill>
                  <w14:solidFill>
                    <w14:schemeClr w14:val="tx1"/>
                  </w14:solidFill>
                </w14:textFill>
              </w:rPr>
              <w:t>4、固体废弃物</w:t>
            </w:r>
          </w:p>
          <w:p w14:paraId="266E4C35">
            <w:pPr>
              <w:spacing w:line="360" w:lineRule="auto"/>
              <w:ind w:firstLine="470" w:firstLineChars="196"/>
              <w:rPr>
                <w:color w:val="000000" w:themeColor="text1"/>
                <w:kern w:val="0"/>
                <w:sz w:val="24"/>
                <w14:textFill>
                  <w14:solidFill>
                    <w14:schemeClr w14:val="tx1"/>
                  </w14:solidFill>
                </w14:textFill>
              </w:rPr>
            </w:pPr>
            <w:r>
              <w:rPr>
                <w:rFonts w:hint="eastAsia"/>
                <w:color w:val="000000" w:themeColor="text1"/>
                <w:kern w:val="0"/>
                <w:sz w:val="24"/>
                <w:szCs w:val="20"/>
                <w14:textFill>
                  <w14:solidFill>
                    <w14:schemeClr w14:val="tx1"/>
                  </w14:solidFill>
                </w14:textFill>
              </w:rPr>
              <w:t>本项目产生的一般工业固废执行《一般工业固体废物贮存和填埋污染控制标准》（GB18599-2020）要求；危险废物执行《危险废物贮存污染控制标准》（GB18597-2023）要求。</w:t>
            </w:r>
          </w:p>
        </w:tc>
      </w:tr>
      <w:tr w14:paraId="1C704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vAlign w:val="center"/>
          </w:tcPr>
          <w:p w14:paraId="0FBA967D">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43CCBE8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0C048E53">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8537" w:type="dxa"/>
          </w:tcPr>
          <w:p w14:paraId="4BF9EAD5">
            <w:pPr>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一、现有项目总量控制指标：</w:t>
            </w:r>
          </w:p>
          <w:p w14:paraId="076CF58C">
            <w:pPr>
              <w:pStyle w:val="105"/>
              <w:spacing w:line="360" w:lineRule="auto"/>
              <w:ind w:firstLine="480" w:firstLineChars="20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根据</w:t>
            </w:r>
            <w:r>
              <w:rPr>
                <w:rFonts w:ascii="Times New Roman"/>
                <w:color w:val="000000" w:themeColor="text1"/>
                <w14:textFill>
                  <w14:solidFill>
                    <w14:schemeClr w14:val="tx1"/>
                  </w14:solidFill>
                </w14:textFill>
              </w:rPr>
              <w:t>昆生环寻复〔2024〕22号，</w:t>
            </w:r>
            <w:r>
              <w:rPr>
                <w:rFonts w:hint="eastAsia" w:ascii="Times New Roman"/>
                <w:color w:val="000000" w:themeColor="text1"/>
                <w14:textFill>
                  <w14:solidFill>
                    <w14:schemeClr w14:val="tx1"/>
                  </w14:solidFill>
                </w14:textFill>
              </w:rPr>
              <w:t>现有</w:t>
            </w:r>
            <w:r>
              <w:rPr>
                <w:rFonts w:ascii="Times New Roman"/>
                <w:color w:val="000000" w:themeColor="text1"/>
                <w14:textFill>
                  <w14:solidFill>
                    <w14:schemeClr w14:val="tx1"/>
                  </w14:solidFill>
                </w14:textFill>
              </w:rPr>
              <w:t>有组织污染物总量控制指标为：氮氧化物8.531t/a，化学需氧量43.5154t/a，氨氮3.3697t/a。</w:t>
            </w:r>
            <w:r>
              <w:rPr>
                <w:rFonts w:hint="eastAsia" w:ascii="Times New Roman" w:cs="Times New Roman"/>
                <w:bCs/>
                <w:color w:val="000000" w:themeColor="text1"/>
                <w14:textFill>
                  <w14:solidFill>
                    <w14:schemeClr w14:val="tx1"/>
                  </w14:solidFill>
                </w14:textFill>
              </w:rPr>
              <w:t>根据验收监测数据和工况折算（验收监测期间工况为95%）</w:t>
            </w:r>
            <w:r>
              <w:rPr>
                <w:rFonts w:ascii="Times New Roman"/>
                <w:color w:val="000000" w:themeColor="text1"/>
                <w14:textFill>
                  <w14:solidFill>
                    <w14:schemeClr w14:val="tx1"/>
                  </w14:solidFill>
                </w14:textFill>
              </w:rPr>
              <w:t>，项目实际污染物排放总量情况见下表。</w:t>
            </w:r>
          </w:p>
          <w:p w14:paraId="0BE34656">
            <w:pPr>
              <w:pStyle w:val="105"/>
              <w:spacing w:before="48" w:beforeLines="20"/>
              <w:jc w:val="center"/>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表</w:t>
            </w:r>
            <w:r>
              <w:rPr>
                <w:rFonts w:hint="eastAsia" w:ascii="Times New Roman"/>
                <w:b/>
                <w:bCs/>
                <w:color w:val="000000" w:themeColor="text1"/>
                <w:sz w:val="21"/>
                <w:szCs w:val="21"/>
                <w14:textFill>
                  <w14:solidFill>
                    <w14:schemeClr w14:val="tx1"/>
                  </w14:solidFill>
                </w14:textFill>
              </w:rPr>
              <w:t>3</w:t>
            </w:r>
            <w:r>
              <w:rPr>
                <w:rFonts w:ascii="Times New Roman"/>
                <w:b/>
                <w:bCs/>
                <w:color w:val="000000" w:themeColor="text1"/>
                <w:sz w:val="21"/>
                <w:szCs w:val="21"/>
                <w14:textFill>
                  <w14:solidFill>
                    <w14:schemeClr w14:val="tx1"/>
                  </w14:solidFill>
                </w14:textFill>
              </w:rPr>
              <w:t>-</w:t>
            </w:r>
            <w:r>
              <w:rPr>
                <w:rFonts w:hint="eastAsia" w:ascii="Times New Roman"/>
                <w:b/>
                <w:bCs/>
                <w:color w:val="000000" w:themeColor="text1"/>
                <w:sz w:val="21"/>
                <w:szCs w:val="21"/>
                <w14:textFill>
                  <w14:solidFill>
                    <w14:schemeClr w14:val="tx1"/>
                  </w14:solidFill>
                </w14:textFill>
              </w:rPr>
              <w:t>12</w:t>
            </w:r>
            <w:r>
              <w:rPr>
                <w:rFonts w:ascii="Times New Roman"/>
                <w:b/>
                <w:bCs/>
                <w:color w:val="000000" w:themeColor="text1"/>
                <w:sz w:val="21"/>
                <w:szCs w:val="21"/>
                <w14:textFill>
                  <w14:solidFill>
                    <w14:schemeClr w14:val="tx1"/>
                  </w14:solidFill>
                </w14:textFill>
              </w:rPr>
              <w:t>污染物排放总量情况表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346"/>
              <w:gridCol w:w="1586"/>
              <w:gridCol w:w="1523"/>
              <w:gridCol w:w="1346"/>
              <w:gridCol w:w="1307"/>
              <w:gridCol w:w="961"/>
            </w:tblGrid>
            <w:tr w14:paraId="737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Align w:val="center"/>
                </w:tcPr>
                <w:p w14:paraId="08B36343">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791" w:type="pct"/>
                  <w:vAlign w:val="center"/>
                </w:tcPr>
                <w:p w14:paraId="3EF5D729">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p w14:paraId="69FFC8DD">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932" w:type="pct"/>
                  <w:vAlign w:val="center"/>
                </w:tcPr>
                <w:p w14:paraId="060E6167">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排放浓度(mg/m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895" w:type="pct"/>
                  <w:vAlign w:val="center"/>
                </w:tcPr>
                <w:p w14:paraId="4F961028">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排放速率（kg/h）</w:t>
                  </w:r>
                </w:p>
              </w:tc>
              <w:tc>
                <w:tcPr>
                  <w:tcW w:w="791" w:type="pct"/>
                  <w:vAlign w:val="center"/>
                </w:tcPr>
                <w:p w14:paraId="262D3206">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r>
                    <w:rPr>
                      <w:rFonts w:hint="eastAsia"/>
                      <w:b/>
                      <w:bCs/>
                      <w:color w:val="000000" w:themeColor="text1"/>
                      <w:szCs w:val="21"/>
                      <w:lang w:val="en-US" w:eastAsia="zh-CN"/>
                      <w14:textFill>
                        <w14:solidFill>
                          <w14:schemeClr w14:val="tx1"/>
                        </w14:solidFill>
                      </w14:textFill>
                    </w:rPr>
                    <w:t>实际</w:t>
                  </w:r>
                  <w:r>
                    <w:rPr>
                      <w:b/>
                      <w:bCs/>
                      <w:color w:val="000000" w:themeColor="text1"/>
                      <w:szCs w:val="21"/>
                      <w14:textFill>
                        <w14:solidFill>
                          <w14:schemeClr w14:val="tx1"/>
                        </w14:solidFill>
                      </w14:textFill>
                    </w:rPr>
                    <w:t>总量（t/a）</w:t>
                  </w:r>
                </w:p>
              </w:tc>
              <w:tc>
                <w:tcPr>
                  <w:tcW w:w="768" w:type="pct"/>
                  <w:vAlign w:val="center"/>
                </w:tcPr>
                <w:p w14:paraId="5A91A89E">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总量控制要求（t/a）</w:t>
                  </w:r>
                </w:p>
              </w:tc>
              <w:tc>
                <w:tcPr>
                  <w:tcW w:w="563" w:type="pct"/>
                  <w:vAlign w:val="center"/>
                </w:tcPr>
                <w:p w14:paraId="065F3092">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p w14:paraId="41AA0C93">
                  <w:pPr>
                    <w:snapToGrid w:val="0"/>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r>
            <w:tr w14:paraId="413E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03390431">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91" w:type="pct"/>
                  <w:vAlign w:val="center"/>
                </w:tcPr>
                <w:p w14:paraId="3988CA8E">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932" w:type="pct"/>
                  <w:vAlign w:val="center"/>
                </w:tcPr>
                <w:p w14:paraId="20EE309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DA001:27</w:t>
                  </w:r>
                </w:p>
                <w:p w14:paraId="0779D6F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DA002:54</w:t>
                  </w:r>
                </w:p>
              </w:tc>
              <w:tc>
                <w:tcPr>
                  <w:tcW w:w="895" w:type="pct"/>
                  <w:vAlign w:val="center"/>
                </w:tcPr>
                <w:p w14:paraId="4CAFCAB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DA001:0.31</w:t>
                  </w:r>
                </w:p>
                <w:p w14:paraId="44A5C825">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DA002:0.94</w:t>
                  </w:r>
                </w:p>
              </w:tc>
              <w:tc>
                <w:tcPr>
                  <w:tcW w:w="791" w:type="pct"/>
                  <w:vAlign w:val="center"/>
                </w:tcPr>
                <w:p w14:paraId="032B30DD">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8.272</w:t>
                  </w:r>
                </w:p>
              </w:tc>
              <w:tc>
                <w:tcPr>
                  <w:tcW w:w="768" w:type="pct"/>
                  <w:vAlign w:val="center"/>
                </w:tcPr>
                <w:p w14:paraId="503118D7">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8.531</w:t>
                  </w:r>
                </w:p>
              </w:tc>
              <w:tc>
                <w:tcPr>
                  <w:tcW w:w="563" w:type="pct"/>
                  <w:vAlign w:val="center"/>
                </w:tcPr>
                <w:p w14:paraId="2A94894B">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B1F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323090FD">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791" w:type="pct"/>
                  <w:vAlign w:val="center"/>
                </w:tcPr>
                <w:p w14:paraId="48D06586">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w:t>
                  </w:r>
                </w:p>
              </w:tc>
              <w:tc>
                <w:tcPr>
                  <w:tcW w:w="932" w:type="pct"/>
                  <w:vAlign w:val="center"/>
                </w:tcPr>
                <w:p w14:paraId="30B60D8F">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177.89</w:t>
                  </w:r>
                </w:p>
              </w:tc>
              <w:tc>
                <w:tcPr>
                  <w:tcW w:w="895" w:type="pct"/>
                  <w:vAlign w:val="center"/>
                </w:tcPr>
                <w:p w14:paraId="7BD77756">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1" w:type="pct"/>
                  <w:vAlign w:val="center"/>
                </w:tcPr>
                <w:p w14:paraId="09906390">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42.25</w:t>
                  </w:r>
                </w:p>
              </w:tc>
              <w:tc>
                <w:tcPr>
                  <w:tcW w:w="768" w:type="pct"/>
                  <w:vAlign w:val="center"/>
                </w:tcPr>
                <w:p w14:paraId="4592FD02">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43.5154</w:t>
                  </w:r>
                </w:p>
              </w:tc>
              <w:tc>
                <w:tcPr>
                  <w:tcW w:w="563" w:type="pct"/>
                  <w:vAlign w:val="center"/>
                </w:tcPr>
                <w:p w14:paraId="1F73D966">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918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8" w:type="pct"/>
                  <w:vAlign w:val="center"/>
                </w:tcPr>
                <w:p w14:paraId="3DCB43A7">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791" w:type="pct"/>
                  <w:vAlign w:val="center"/>
                </w:tcPr>
                <w:p w14:paraId="27D4E782">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932" w:type="pct"/>
                  <w:vAlign w:val="center"/>
                </w:tcPr>
                <w:p w14:paraId="6458DFEE">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12.95</w:t>
                  </w:r>
                </w:p>
              </w:tc>
              <w:tc>
                <w:tcPr>
                  <w:tcW w:w="895" w:type="pct"/>
                  <w:vAlign w:val="center"/>
                </w:tcPr>
                <w:p w14:paraId="66849160">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1" w:type="pct"/>
                  <w:vAlign w:val="center"/>
                </w:tcPr>
                <w:p w14:paraId="291A2392">
                  <w:pPr>
                    <w:snapToGrid w:val="0"/>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3.08</w:t>
                  </w:r>
                </w:p>
              </w:tc>
              <w:tc>
                <w:tcPr>
                  <w:tcW w:w="768" w:type="pct"/>
                  <w:vAlign w:val="center"/>
                </w:tcPr>
                <w:p w14:paraId="2A4002E3">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3.3697</w:t>
                  </w:r>
                </w:p>
              </w:tc>
              <w:tc>
                <w:tcPr>
                  <w:tcW w:w="563" w:type="pct"/>
                  <w:vAlign w:val="center"/>
                </w:tcPr>
                <w:p w14:paraId="4D9E76B3">
                  <w:pPr>
                    <w:snapToGrid w:val="0"/>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F81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vAlign w:val="center"/>
                </w:tcPr>
                <w:p w14:paraId="58DFE899">
                  <w:pPr>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运行时间：333d*20h</w:t>
                  </w:r>
                </w:p>
              </w:tc>
            </w:tr>
          </w:tbl>
          <w:p w14:paraId="5EDA4572">
            <w:pPr>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w:t>
            </w:r>
            <w:r>
              <w:rPr>
                <w:rFonts w:hint="eastAsia"/>
                <w:b/>
                <w:bCs/>
                <w:color w:val="000000" w:themeColor="text1"/>
                <w:kern w:val="0"/>
                <w:sz w:val="24"/>
                <w:lang w:val="en-US" w:eastAsia="zh-CN"/>
                <w14:textFill>
                  <w14:solidFill>
                    <w14:schemeClr w14:val="tx1"/>
                  </w14:solidFill>
                </w14:textFill>
              </w:rPr>
              <w:t>扩建后</w:t>
            </w:r>
            <w:r>
              <w:rPr>
                <w:rFonts w:hint="eastAsia"/>
                <w:b/>
                <w:bCs/>
                <w:color w:val="000000" w:themeColor="text1"/>
                <w:kern w:val="0"/>
                <w:sz w:val="24"/>
                <w14:textFill>
                  <w14:solidFill>
                    <w14:schemeClr w14:val="tx1"/>
                  </w14:solidFill>
                </w14:textFill>
              </w:rPr>
              <w:t>项目总量控制指标：</w:t>
            </w:r>
          </w:p>
          <w:p w14:paraId="571E4353">
            <w:pPr>
              <w:spacing w:line="348" w:lineRule="auto"/>
              <w:ind w:firstLine="476" w:firstLineChars="200"/>
              <w:rPr>
                <w:b/>
                <w:color w:val="000000" w:themeColor="text1"/>
                <w:sz w:val="24"/>
                <w14:textFill>
                  <w14:solidFill>
                    <w14:schemeClr w14:val="tx1"/>
                  </w14:solidFill>
                </w14:textFill>
              </w:rPr>
            </w:pPr>
            <w:r>
              <w:rPr>
                <w:color w:val="000000" w:themeColor="text1"/>
                <w:spacing w:val="-1"/>
                <w:sz w:val="24"/>
                <w14:textFill>
                  <w14:solidFill>
                    <w14:schemeClr w14:val="tx1"/>
                  </w14:solidFill>
                </w14:textFill>
              </w:rPr>
              <w:t>国家环保部确定污染物总量控制的计划共有四项指标，其中：大气污染物总量控制指标为VOC</w:t>
            </w:r>
            <w:r>
              <w:rPr>
                <w:color w:val="000000" w:themeColor="text1"/>
                <w:spacing w:val="-1"/>
                <w:sz w:val="24"/>
                <w:vertAlign w:val="subscript"/>
                <w14:textFill>
                  <w14:solidFill>
                    <w14:schemeClr w14:val="tx1"/>
                  </w14:solidFill>
                </w14:textFill>
              </w:rPr>
              <w:t>S</w:t>
            </w:r>
            <w:r>
              <w:rPr>
                <w:color w:val="000000" w:themeColor="text1"/>
                <w:spacing w:val="-1"/>
                <w:sz w:val="24"/>
                <w14:textFill>
                  <w14:solidFill>
                    <w14:schemeClr w14:val="tx1"/>
                  </w14:solidFill>
                </w14:textFill>
              </w:rPr>
              <w:t>、NOx；水污染物总量控制指标为COD和</w:t>
            </w:r>
            <w:r>
              <w:rPr>
                <w:rFonts w:hint="eastAsia"/>
                <w:color w:val="000000" w:themeColor="text1"/>
                <w:spacing w:val="-1"/>
                <w:sz w:val="24"/>
                <w14:textFill>
                  <w14:solidFill>
                    <w14:schemeClr w14:val="tx1"/>
                  </w14:solidFill>
                </w14:textFill>
              </w:rPr>
              <w:t>氨</w:t>
            </w:r>
            <w:r>
              <w:rPr>
                <w:color w:val="000000" w:themeColor="text1"/>
                <w:spacing w:val="-1"/>
                <w:sz w:val="24"/>
                <w14:textFill>
                  <w14:solidFill>
                    <w14:schemeClr w14:val="tx1"/>
                  </w14:solidFill>
                </w14:textFill>
              </w:rPr>
              <w:t>氮。根据本工程的具体情况，结合国家污染物排放总量控制原则，总量指标如下：</w:t>
            </w:r>
          </w:p>
          <w:p w14:paraId="28388795">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1、废气</w:t>
            </w:r>
          </w:p>
          <w:p w14:paraId="1137EFBF">
            <w:pPr>
              <w:tabs>
                <w:tab w:val="left" w:pos="1399"/>
              </w:tabs>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经过改扩建后</w:t>
            </w:r>
            <w:r>
              <w:rPr>
                <w:rFonts w:hint="eastAsia"/>
                <w:color w:val="000000" w:themeColor="text1"/>
                <w:kern w:val="0"/>
                <w:sz w:val="24"/>
                <w:lang w:val="en-US" w:eastAsia="zh-CN"/>
                <w14:textFill>
                  <w14:solidFill>
                    <w14:schemeClr w14:val="tx1"/>
                  </w14:solidFill>
                </w14:textFill>
              </w:rPr>
              <w:t>氮氧化物</w:t>
            </w:r>
            <w:r>
              <w:rPr>
                <w:rFonts w:hint="eastAsia"/>
                <w:color w:val="000000" w:themeColor="text1"/>
                <w:kern w:val="0"/>
                <w:sz w:val="24"/>
                <w14:textFill>
                  <w14:solidFill>
                    <w14:schemeClr w14:val="tx1"/>
                  </w14:solidFill>
                </w14:textFill>
              </w:rPr>
              <w:t>核算，氮氧化物排放量为0.8272</w:t>
            </w:r>
            <w:r>
              <w:rPr>
                <w:color w:val="000000" w:themeColor="text1"/>
                <w14:textFill>
                  <w14:solidFill>
                    <w14:schemeClr w14:val="tx1"/>
                  </w14:solidFill>
                </w14:textFill>
              </w:rPr>
              <w:t>t/a</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环评建议</w:t>
            </w:r>
            <w:r>
              <w:rPr>
                <w:rFonts w:hint="eastAsia"/>
                <w:color w:val="000000" w:themeColor="text1"/>
                <w:kern w:val="0"/>
                <w:sz w:val="24"/>
                <w:lang w:eastAsia="zh-CN"/>
                <w14:textFill>
                  <w14:solidFill>
                    <w14:schemeClr w14:val="tx1"/>
                  </w14:solidFill>
                </w14:textFill>
              </w:rPr>
              <w:t>氮氧化物总量延续</w:t>
            </w:r>
            <w:r>
              <w:rPr>
                <w:rFonts w:hint="eastAsia"/>
                <w:color w:val="000000" w:themeColor="text1"/>
                <w:kern w:val="0"/>
                <w:sz w:val="24"/>
                <w:lang w:val="en-US" w:eastAsia="zh-CN"/>
                <w14:textFill>
                  <w14:solidFill>
                    <w14:schemeClr w14:val="tx1"/>
                  </w14:solidFill>
                </w14:textFill>
              </w:rPr>
              <w:t>扩建前</w:t>
            </w:r>
            <w:r>
              <w:rPr>
                <w:rFonts w:hint="eastAsia"/>
                <w:color w:val="000000" w:themeColor="text1"/>
                <w:kern w:val="0"/>
                <w:sz w:val="24"/>
                <w:lang w:eastAsia="zh-CN"/>
                <w14:textFill>
                  <w14:solidFill>
                    <w14:schemeClr w14:val="tx1"/>
                  </w14:solidFill>
                </w14:textFill>
              </w:rPr>
              <w:t>的量</w:t>
            </w:r>
            <w:r>
              <w:rPr>
                <w:rFonts w:hint="eastAsia"/>
                <w:color w:val="000000" w:themeColor="text1"/>
                <w:kern w:val="0"/>
                <w:sz w:val="24"/>
                <w:lang w:val="en-US" w:eastAsia="zh-CN"/>
                <w14:textFill>
                  <w14:solidFill>
                    <w14:schemeClr w14:val="tx1"/>
                  </w14:solidFill>
                </w14:textFill>
              </w:rPr>
              <w:t>3.3697t/a</w:t>
            </w:r>
            <w:r>
              <w:rPr>
                <w:rFonts w:hint="eastAsia"/>
                <w:color w:val="000000" w:themeColor="text1"/>
                <w:kern w:val="0"/>
                <w:sz w:val="24"/>
                <w14:textFill>
                  <w14:solidFill>
                    <w14:schemeClr w14:val="tx1"/>
                  </w14:solidFill>
                </w14:textFill>
              </w:rPr>
              <w:t>。</w:t>
            </w:r>
          </w:p>
          <w:p w14:paraId="694703CF">
            <w:pPr>
              <w:tabs>
                <w:tab w:val="left" w:pos="1399"/>
              </w:tabs>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2、废水</w:t>
            </w:r>
          </w:p>
          <w:p w14:paraId="245029C4">
            <w:pPr>
              <w:pStyle w:val="14"/>
              <w:spacing w:line="360" w:lineRule="auto"/>
              <w:ind w:firstLine="480" w:firstLineChars="200"/>
              <w:jc w:val="both"/>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经过改扩建后核算，</w:t>
            </w:r>
            <w:r>
              <w:rPr>
                <w:color w:val="000000" w:themeColor="text1"/>
                <w14:textFill>
                  <w14:solidFill>
                    <w14:schemeClr w14:val="tx1"/>
                  </w14:solidFill>
                </w14:textFill>
              </w:rPr>
              <w:t>项目污水量为</w:t>
            </w:r>
            <w:r>
              <w:rPr>
                <w:rFonts w:hint="eastAsia"/>
                <w:color w:val="000000" w:themeColor="text1"/>
                <w:lang w:val="en-US" w:eastAsia="zh-CN"/>
                <w14:textFill>
                  <w14:solidFill>
                    <w14:schemeClr w14:val="tx1"/>
                  </w14:solidFill>
                </w14:textFill>
              </w:rPr>
              <w:t>711.28</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236855.56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/a，污染物排放量为：COD </w:t>
            </w:r>
            <w:r>
              <w:rPr>
                <w:rFonts w:hint="eastAsia"/>
                <w:color w:val="000000" w:themeColor="text1"/>
                <w:lang w:val="en-US" w:eastAsia="zh-CN"/>
                <w14:textFill>
                  <w14:solidFill>
                    <w14:schemeClr w14:val="tx1"/>
                  </w14:solidFill>
                </w14:textFill>
              </w:rPr>
              <w:t>40.2</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氨</w:t>
            </w:r>
            <w:r>
              <w:rPr>
                <w:color w:val="000000" w:themeColor="text1"/>
                <w14:textFill>
                  <w14:solidFill>
                    <w14:schemeClr w14:val="tx1"/>
                  </w14:solidFill>
                </w14:textFill>
              </w:rPr>
              <w:t>氮</w:t>
            </w:r>
            <w:r>
              <w:rPr>
                <w:rFonts w:hint="eastAsia"/>
                <w:color w:val="000000" w:themeColor="text1"/>
                <w:lang w:val="en-US" w:eastAsia="zh-CN"/>
                <w14:textFill>
                  <w14:solidFill>
                    <w14:schemeClr w14:val="tx1"/>
                  </w14:solidFill>
                </w14:textFill>
              </w:rPr>
              <w:t>2.94</w:t>
            </w:r>
            <w:r>
              <w:rPr>
                <w:color w:val="000000" w:themeColor="text1"/>
                <w14:textFill>
                  <w14:solidFill>
                    <w14:schemeClr w14:val="tx1"/>
                  </w14:solidFill>
                </w14:textFill>
              </w:rPr>
              <w:t>t/a，总量</w:t>
            </w:r>
            <w:r>
              <w:rPr>
                <w:rFonts w:hint="eastAsia"/>
                <w:color w:val="000000" w:themeColor="text1"/>
                <w14:textFill>
                  <w14:solidFill>
                    <w14:schemeClr w14:val="tx1"/>
                  </w14:solidFill>
                </w14:textFill>
              </w:rPr>
              <w:t>指标</w:t>
            </w:r>
            <w:r>
              <w:rPr>
                <w:color w:val="000000" w:themeColor="text1"/>
                <w14:textFill>
                  <w14:solidFill>
                    <w14:schemeClr w14:val="tx1"/>
                  </w14:solidFill>
                </w14:textFill>
              </w:rPr>
              <w:t>纳入寻甸县污水处理厂考核</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不设置总量控制指标。</w:t>
            </w:r>
          </w:p>
          <w:p w14:paraId="3632F8A4">
            <w:pPr>
              <w:tabs>
                <w:tab w:val="left" w:pos="1399"/>
              </w:tabs>
              <w:adjustRightInd w:val="0"/>
              <w:snapToGrid w:val="0"/>
              <w:spacing w:line="360" w:lineRule="auto"/>
              <w:ind w:firstLine="480" w:firstLineChars="200"/>
              <w:jc w:val="left"/>
              <w:rPr>
                <w:rFonts w:hint="eastAsia"/>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、固体废弃物</w:t>
            </w:r>
          </w:p>
          <w:p w14:paraId="5A070C81">
            <w:pPr>
              <w:adjustRightInd w:val="0"/>
              <w:snapToGrid w:val="0"/>
              <w:spacing w:line="360" w:lineRule="auto"/>
              <w:ind w:firstLine="480" w:firstLineChars="200"/>
              <w:jc w:val="left"/>
              <w:rPr>
                <w:rFonts w:hint="eastAsia" w:hAnsi="宋体"/>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固体废弃物处置率100%。</w:t>
            </w:r>
          </w:p>
        </w:tc>
      </w:tr>
    </w:tbl>
    <w:p w14:paraId="252F0E74">
      <w:pPr>
        <w:rPr>
          <w:rFonts w:hint="eastAsia" w:ascii="黑体" w:hAnsi="黑体" w:eastAsia="黑体"/>
          <w:color w:val="000000" w:themeColor="text1"/>
          <w:kern w:val="0"/>
          <w:sz w:val="30"/>
          <w:szCs w:val="30"/>
          <w14:textFill>
            <w14:solidFill>
              <w14:schemeClr w14:val="tx1"/>
            </w14:solidFill>
          </w14:textFill>
        </w:rPr>
      </w:pPr>
      <w:bookmarkStart w:id="51" w:name="_Toc26931"/>
      <w:bookmarkStart w:id="52" w:name="_Toc20333"/>
      <w:r>
        <w:rPr>
          <w:rFonts w:hint="eastAsia" w:ascii="黑体" w:hAnsi="黑体" w:eastAsia="黑体"/>
          <w:color w:val="000000" w:themeColor="text1"/>
          <w:kern w:val="0"/>
          <w:sz w:val="30"/>
          <w:szCs w:val="30"/>
          <w14:textFill>
            <w14:solidFill>
              <w14:schemeClr w14:val="tx1"/>
            </w14:solidFill>
          </w14:textFill>
        </w:rPr>
        <w:br w:type="page"/>
      </w:r>
    </w:p>
    <w:p w14:paraId="29F7800B">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53" w:name="_Toc4528"/>
      <w:bookmarkStart w:id="54" w:name="_Toc18286"/>
      <w:r>
        <w:rPr>
          <w:rFonts w:hint="eastAsia" w:ascii="黑体" w:hAnsi="黑体" w:eastAsia="黑体"/>
          <w:color w:val="000000" w:themeColor="text1"/>
          <w:kern w:val="0"/>
          <w:sz w:val="30"/>
          <w:szCs w:val="30"/>
          <w14:textFill>
            <w14:solidFill>
              <w14:schemeClr w14:val="tx1"/>
            </w14:solidFill>
          </w14:textFill>
        </w:rPr>
        <w:t>四、主要环境影响和保护措施</w:t>
      </w:r>
      <w:bookmarkEnd w:id="51"/>
      <w:bookmarkEnd w:id="52"/>
      <w:bookmarkEnd w:id="53"/>
      <w:bookmarkEnd w:id="54"/>
    </w:p>
    <w:tbl>
      <w:tblPr>
        <w:tblStyle w:val="23"/>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1"/>
        <w:gridCol w:w="8957"/>
      </w:tblGrid>
      <w:tr w14:paraId="1E684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tcMar>
              <w:left w:w="28" w:type="dxa"/>
              <w:right w:w="28" w:type="dxa"/>
            </w:tcMar>
            <w:vAlign w:val="center"/>
          </w:tcPr>
          <w:p w14:paraId="02DA008D">
            <w:pPr>
              <w:jc w:val="center"/>
              <w:rPr>
                <w:color w:val="000000" w:themeColor="text1"/>
                <w:kern w:val="0"/>
                <w14:textFill>
                  <w14:solidFill>
                    <w14:schemeClr w14:val="tx1"/>
                  </w14:solidFill>
                </w14:textFill>
              </w:rPr>
            </w:pPr>
            <w:r>
              <w:rPr>
                <w:color w:val="000000" w:themeColor="text1"/>
                <w:kern w:val="0"/>
                <w:sz w:val="24"/>
                <w:szCs w:val="32"/>
                <w14:textFill>
                  <w14:solidFill>
                    <w14:schemeClr w14:val="tx1"/>
                  </w14:solidFill>
                </w14:textFill>
              </w:rPr>
              <w:t>施工期环境保护措施</w:t>
            </w:r>
          </w:p>
        </w:tc>
        <w:tc>
          <w:tcPr>
            <w:tcW w:w="8778" w:type="dxa"/>
          </w:tcPr>
          <w:p w14:paraId="4D4C5B42">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项目施工工艺主要包括</w:t>
            </w:r>
            <w:r>
              <w:rPr>
                <w:rFonts w:hint="eastAsia"/>
                <w:color w:val="000000" w:themeColor="text1"/>
                <w:sz w:val="24"/>
                <w14:textFill>
                  <w14:solidFill>
                    <w14:schemeClr w14:val="tx1"/>
                  </w14:solidFill>
                </w14:textFill>
              </w:rPr>
              <w:t>主体</w:t>
            </w:r>
            <w:r>
              <w:rPr>
                <w:color w:val="000000" w:themeColor="text1"/>
                <w:sz w:val="24"/>
                <w14:textFill>
                  <w14:solidFill>
                    <w14:schemeClr w14:val="tx1"/>
                  </w14:solidFill>
                </w14:textFill>
              </w:rPr>
              <w:t>建筑结构施工</w:t>
            </w:r>
            <w:r>
              <w:rPr>
                <w:rFonts w:hint="eastAsia"/>
                <w:color w:val="000000" w:themeColor="text1"/>
                <w14:textFill>
                  <w14:solidFill>
                    <w14:schemeClr w14:val="tx1"/>
                  </w14:solidFill>
                </w14:textFill>
              </w:rPr>
              <w:t>、</w:t>
            </w:r>
            <w:r>
              <w:rPr>
                <w:rFonts w:hint="eastAsia"/>
                <w:color w:val="000000" w:themeColor="text1"/>
                <w:sz w:val="24"/>
                <w14:textFill>
                  <w14:solidFill>
                    <w14:schemeClr w14:val="tx1"/>
                  </w14:solidFill>
                </w14:textFill>
              </w:rPr>
              <w:t>设备安装、竣工验收，本</w:t>
            </w:r>
            <w:r>
              <w:rPr>
                <w:color w:val="000000" w:themeColor="text1"/>
                <w:sz w:val="24"/>
                <w14:textFill>
                  <w14:solidFill>
                    <w14:schemeClr w14:val="tx1"/>
                  </w14:solidFill>
                </w14:textFill>
              </w:rPr>
              <w:t>工序将产生施工噪声、扬尘、固体废弃物、污（废）水和废气等污染物，</w:t>
            </w:r>
            <w:r>
              <w:rPr>
                <w:rFonts w:hint="eastAsia"/>
                <w:color w:val="000000" w:themeColor="text1"/>
                <w:sz w:val="24"/>
                <w14:textFill>
                  <w14:solidFill>
                    <w14:schemeClr w14:val="tx1"/>
                  </w14:solidFill>
                </w14:textFill>
              </w:rPr>
              <w:t>具体防范</w:t>
            </w:r>
            <w:r>
              <w:rPr>
                <w:color w:val="000000" w:themeColor="text1"/>
                <w:sz w:val="24"/>
                <w14:textFill>
                  <w14:solidFill>
                    <w14:schemeClr w14:val="tx1"/>
                  </w14:solidFill>
                </w14:textFill>
              </w:rPr>
              <w:t>措施如下：</w:t>
            </w:r>
          </w:p>
          <w:p w14:paraId="73785DB0">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1、施工期废气污染防治措施</w:t>
            </w:r>
          </w:p>
          <w:p w14:paraId="1E7DE3D9">
            <w:pPr>
              <w:widowControl/>
              <w:spacing w:line="360" w:lineRule="auto"/>
              <w:ind w:firstLine="508" w:firstLineChars="200"/>
              <w:jc w:val="left"/>
              <w:rPr>
                <w:color w:val="000000" w:themeColor="text1"/>
                <w:spacing w:val="7"/>
                <w:sz w:val="24"/>
                <w14:textFill>
                  <w14:solidFill>
                    <w14:schemeClr w14:val="tx1"/>
                  </w14:solidFill>
                </w14:textFill>
              </w:rPr>
            </w:pPr>
            <w:r>
              <w:rPr>
                <w:rFonts w:hint="eastAsia"/>
                <w:color w:val="000000" w:themeColor="text1"/>
                <w:spacing w:val="7"/>
                <w:sz w:val="24"/>
                <w14:textFill>
                  <w14:solidFill>
                    <w14:schemeClr w14:val="tx1"/>
                  </w14:solidFill>
                </w14:textFill>
              </w:rPr>
              <w:t>本项目施工期间产生的废气主要包括物料堆场扬尘等，拟采取如下废气污染防治措施：（1）对易起尘物料采取防尘网遮盖、定期洒水降尘的抑尘措施；（2）建筑垃圾应及时处理、清运、以减少占地，防止粉尘污染，改善施工场地的环境。</w:t>
            </w:r>
          </w:p>
          <w:p w14:paraId="5CE5F430">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2、施工期水污染防治措施</w:t>
            </w:r>
          </w:p>
          <w:p w14:paraId="6A93CE2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施工期产生的废水主要为施工废水以及生活污水，本项目施工时间较短，施工期工程量较少，施工废水主要为机械清洗废水，主要污染物为</w:t>
            </w:r>
            <w:r>
              <w:rPr>
                <w:color w:val="000000" w:themeColor="text1"/>
                <w:sz w:val="24"/>
                <w14:textFill>
                  <w14:solidFill>
                    <w14:schemeClr w14:val="tx1"/>
                  </w14:solidFill>
                </w14:textFill>
              </w:rPr>
              <w:t>SS</w:t>
            </w:r>
            <w:r>
              <w:rPr>
                <w:rFonts w:hint="eastAsia"/>
                <w:color w:val="000000" w:themeColor="text1"/>
                <w:sz w:val="24"/>
                <w14:textFill>
                  <w14:solidFill>
                    <w14:schemeClr w14:val="tx1"/>
                  </w14:solidFill>
                </w14:textFill>
              </w:rPr>
              <w:t>和少量石油类，经临时沉淀池（2m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）收集沉淀处理后回用于施工场地洒水降尘，不外排。施工人员生活污水主要依托现有化粪池处理后进入污水管网。</w:t>
            </w:r>
          </w:p>
          <w:p w14:paraId="0AABADF5">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施工</w:t>
            </w:r>
            <w:r>
              <w:rPr>
                <w:rFonts w:hint="eastAsia"/>
                <w:b/>
                <w:color w:val="000000" w:themeColor="text1"/>
                <w:sz w:val="24"/>
                <w14:textFill>
                  <w14:solidFill>
                    <w14:schemeClr w14:val="tx1"/>
                  </w14:solidFill>
                </w14:textFill>
              </w:rPr>
              <w:t>期</w:t>
            </w:r>
            <w:r>
              <w:rPr>
                <w:b/>
                <w:color w:val="000000" w:themeColor="text1"/>
                <w:sz w:val="24"/>
                <w14:textFill>
                  <w14:solidFill>
                    <w14:schemeClr w14:val="tx1"/>
                  </w14:solidFill>
                </w14:textFill>
              </w:rPr>
              <w:t>噪声</w:t>
            </w:r>
            <w:r>
              <w:rPr>
                <w:rFonts w:hint="eastAsia"/>
                <w:b/>
                <w:color w:val="000000" w:themeColor="text1"/>
                <w:sz w:val="24"/>
                <w14:textFill>
                  <w14:solidFill>
                    <w14:schemeClr w14:val="tx1"/>
                  </w14:solidFill>
                </w14:textFill>
              </w:rPr>
              <w:t>污染防治措施</w:t>
            </w:r>
          </w:p>
          <w:p w14:paraId="573C11E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施工期噪声主要来源于施工机械和运输车辆，噪声源强在</w:t>
            </w:r>
            <w:r>
              <w:rPr>
                <w:color w:val="000000" w:themeColor="text1"/>
                <w:sz w:val="24"/>
                <w14:textFill>
                  <w14:solidFill>
                    <w14:schemeClr w14:val="tx1"/>
                  </w14:solidFill>
                </w14:textFill>
              </w:rPr>
              <w:t>75~100dB(A)</w:t>
            </w:r>
            <w:r>
              <w:rPr>
                <w:rFonts w:hint="eastAsia"/>
                <w:color w:val="000000" w:themeColor="text1"/>
                <w:sz w:val="24"/>
                <w14:textFill>
                  <w14:solidFill>
                    <w14:schemeClr w14:val="tx1"/>
                  </w14:solidFill>
                </w14:textFill>
              </w:rPr>
              <w:t>之间。为了降低施工噪声对周围环境的影响，本环评提出以下防治措施：</w:t>
            </w:r>
          </w:p>
          <w:p w14:paraId="1395A90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① 禁止夜间施工，如特殊情况下必须连续作业时，项目建设方应在周边 地区张贴告示，且有县级以上人民政府或有关主管部门的证明后，方可开始施工，避免扰民事件的发生； </w:t>
            </w:r>
          </w:p>
          <w:p w14:paraId="5FF2548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② 建设方应严格按照施工规范加以控制，选用低噪声机械，合理安排产噪较大的设备的使用时间； </w:t>
            </w:r>
          </w:p>
          <w:p w14:paraId="0603E9E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③ 科学合理地安排施工步骤，优化施工方式，尽量减少噪声持续排放的时间；项目在进行物料运输时，应合理安排运输时间，选择最佳的进场道路，减小交通噪声对居民的影响； </w:t>
            </w:r>
          </w:p>
          <w:p w14:paraId="72BC8BE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④ 合理布置施工作业面和安排施工时间（中午12：00 -14：00，夜间22：00 - 6：00不施工）； </w:t>
            </w:r>
          </w:p>
          <w:p w14:paraId="6210A18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⑤ 项目还应该加强对施工人员的管理，做到文明施工，避免人为噪声的 </w:t>
            </w:r>
          </w:p>
          <w:p w14:paraId="54CFECC6">
            <w:pPr>
              <w:adjustRightInd w:val="0"/>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产生；</w:t>
            </w:r>
          </w:p>
          <w:p w14:paraId="03AE3E7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 项目施工过程中采用移动式声屏障，减轻项目施工过程中对周围声环境的影响。</w:t>
            </w:r>
          </w:p>
          <w:p w14:paraId="37B9B13B">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固体废物防治措施</w:t>
            </w:r>
          </w:p>
          <w:p w14:paraId="2B9DED3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①施工开挖产生的土石方用于项目区内回填平整，不产生弃土；新建构筑物建筑垃圾分类收集，可以回收利用的尽量回收利用，不能回收利用的委托有资质单位清运至合法弃渣场进行处置，禁止随意丢弃。 </w:t>
            </w:r>
          </w:p>
          <w:p w14:paraId="5F38500E">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② 施工人员生活垃圾集中收集，定期清运至较近的垃圾收集点，由环卫部门清运处置。 </w:t>
            </w:r>
          </w:p>
        </w:tc>
      </w:tr>
      <w:tr w14:paraId="1792A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2" w:hRule="atLeast"/>
          <w:jc w:val="center"/>
        </w:trPr>
        <w:tc>
          <w:tcPr>
            <w:tcW w:w="430" w:type="dxa"/>
            <w:tcMar>
              <w:left w:w="28" w:type="dxa"/>
              <w:right w:w="28" w:type="dxa"/>
            </w:tcMar>
            <w:vAlign w:val="center"/>
          </w:tcPr>
          <w:p w14:paraId="6BA205CB">
            <w:pPr>
              <w:jc w:val="center"/>
              <w:rPr>
                <w:bCs/>
                <w:color w:val="000000" w:themeColor="text1"/>
                <w:kern w:val="0"/>
                <w:szCs w:val="21"/>
                <w14:textFill>
                  <w14:solidFill>
                    <w14:schemeClr w14:val="tx1"/>
                  </w14:solidFill>
                </w14:textFill>
              </w:rPr>
            </w:pPr>
            <w:r>
              <w:rPr>
                <w:bCs/>
                <w:color w:val="000000" w:themeColor="text1"/>
                <w:kern w:val="0"/>
                <w:sz w:val="24"/>
                <w14:textFill>
                  <w14:solidFill>
                    <w14:schemeClr w14:val="tx1"/>
                  </w14:solidFill>
                </w14:textFill>
              </w:rPr>
              <w:t>运营期环境影响和保护措施</w:t>
            </w:r>
          </w:p>
        </w:tc>
        <w:tc>
          <w:tcPr>
            <w:tcW w:w="8778" w:type="dxa"/>
          </w:tcPr>
          <w:p w14:paraId="4949267B">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一、运营期</w:t>
            </w:r>
            <w:r>
              <w:rPr>
                <w:b/>
                <w:color w:val="000000" w:themeColor="text1"/>
                <w:kern w:val="0"/>
                <w:sz w:val="24"/>
                <w14:textFill>
                  <w14:solidFill>
                    <w14:schemeClr w14:val="tx1"/>
                  </w14:solidFill>
                </w14:textFill>
              </w:rPr>
              <w:t>废气</w:t>
            </w:r>
            <w:r>
              <w:rPr>
                <w:rFonts w:hint="eastAsia"/>
                <w:b/>
                <w:color w:val="000000" w:themeColor="text1"/>
                <w:kern w:val="0"/>
                <w:sz w:val="24"/>
                <w14:textFill>
                  <w14:solidFill>
                    <w14:schemeClr w14:val="tx1"/>
                  </w14:solidFill>
                </w14:textFill>
              </w:rPr>
              <w:t>环境影响及保护措施</w:t>
            </w:r>
          </w:p>
          <w:p w14:paraId="0D23D69B">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1、产排污环节及污染物种类</w:t>
            </w:r>
          </w:p>
          <w:p w14:paraId="42186701">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项目产排污环节及污染物种类见表4-1。</w:t>
            </w:r>
          </w:p>
          <w:p w14:paraId="0727411D">
            <w:pPr>
              <w:pStyle w:val="65"/>
              <w:ind w:firstLine="514"/>
              <w:jc w:val="center"/>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spacing w:val="8"/>
                <w:lang w:eastAsia="zh-CN"/>
                <w14:textFill>
                  <w14:solidFill>
                    <w14:schemeClr w14:val="tx1"/>
                  </w14:solidFill>
                </w14:textFill>
              </w:rPr>
              <w:t>表</w:t>
            </w:r>
            <w:r>
              <w:rPr>
                <w:rFonts w:ascii="Times New Roman" w:hAnsi="Times New Roman" w:eastAsia="Times New Roman" w:cs="Times New Roman"/>
                <w:b/>
                <w:bCs/>
                <w:color w:val="000000" w:themeColor="text1"/>
                <w:spacing w:val="8"/>
                <w:lang w:eastAsia="zh-CN"/>
                <w14:textFill>
                  <w14:solidFill>
                    <w14:schemeClr w14:val="tx1"/>
                  </w14:solidFill>
                </w14:textFill>
              </w:rPr>
              <w:t xml:space="preserve">4-1 </w:t>
            </w:r>
            <w:r>
              <w:rPr>
                <w:rFonts w:ascii="Times New Roman" w:hAnsi="Times New Roman" w:cs="Times New Roman"/>
                <w:b/>
                <w:bCs/>
                <w:color w:val="000000" w:themeColor="text1"/>
                <w:spacing w:val="8"/>
                <w:lang w:eastAsia="zh-CN"/>
                <w14:textFill>
                  <w14:solidFill>
                    <w14:schemeClr w14:val="tx1"/>
                  </w14:solidFill>
                </w14:textFill>
              </w:rPr>
              <w:t xml:space="preserve"> 废气产污环节名称、污染物项目和排放形式一览表</w:t>
            </w:r>
          </w:p>
          <w:tbl>
            <w:tblPr>
              <w:tblStyle w:val="116"/>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0"/>
              <w:gridCol w:w="993"/>
              <w:gridCol w:w="815"/>
              <w:gridCol w:w="1409"/>
              <w:gridCol w:w="3632"/>
              <w:gridCol w:w="873"/>
            </w:tblGrid>
            <w:tr w14:paraId="79B4E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73" w:type="pct"/>
                  <w:tcBorders>
                    <w:bottom w:val="single" w:color="auto" w:sz="4" w:space="0"/>
                  </w:tcBorders>
                  <w:vAlign w:val="center"/>
                </w:tcPr>
                <w:p w14:paraId="4BF59C0F">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生产单元</w:t>
                  </w:r>
                </w:p>
              </w:tc>
              <w:tc>
                <w:tcPr>
                  <w:tcW w:w="569" w:type="pct"/>
                  <w:vAlign w:val="center"/>
                </w:tcPr>
                <w:p w14:paraId="57810218">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废气产</w:t>
                  </w:r>
                </w:p>
                <w:p w14:paraId="6941581C">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污环节</w:t>
                  </w:r>
                </w:p>
              </w:tc>
              <w:tc>
                <w:tcPr>
                  <w:tcW w:w="467" w:type="pct"/>
                  <w:vAlign w:val="center"/>
                </w:tcPr>
                <w:p w14:paraId="38326DC8">
                  <w:pPr>
                    <w:adjustRightInd w:val="0"/>
                    <w:snapToGri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807" w:type="pct"/>
                  <w:vAlign w:val="center"/>
                </w:tcPr>
                <w:p w14:paraId="009D54CB">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主要污染物</w:t>
                  </w:r>
                </w:p>
              </w:tc>
              <w:tc>
                <w:tcPr>
                  <w:tcW w:w="2081" w:type="pct"/>
                  <w:vAlign w:val="center"/>
                </w:tcPr>
                <w:p w14:paraId="6F8A6913">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污染治理措施</w:t>
                  </w:r>
                </w:p>
              </w:tc>
              <w:tc>
                <w:tcPr>
                  <w:tcW w:w="500" w:type="pct"/>
                  <w:vAlign w:val="center"/>
                </w:tcPr>
                <w:p w14:paraId="241ABDF2">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主要排</w:t>
                  </w:r>
                </w:p>
                <w:p w14:paraId="4F9DA920">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放形式</w:t>
                  </w:r>
                </w:p>
              </w:tc>
            </w:tr>
            <w:tr w14:paraId="57A7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3" w:type="pct"/>
                  <w:vMerge w:val="restart"/>
                  <w:tcBorders>
                    <w:top w:val="single" w:color="auto" w:sz="4" w:space="0"/>
                    <w:left w:val="single" w:color="auto" w:sz="4" w:space="0"/>
                    <w:right w:val="single" w:color="auto" w:sz="4" w:space="0"/>
                  </w:tcBorders>
                  <w:vAlign w:val="center"/>
                </w:tcPr>
                <w:p w14:paraId="17F52B93">
                  <w:pPr>
                    <w:widowControl/>
                    <w:jc w:val="center"/>
                    <w:textAlignment w:val="center"/>
                    <w:rPr>
                      <w:color w:val="000000" w:themeColor="text1"/>
                      <w14:textFill>
                        <w14:solidFill>
                          <w14:schemeClr w14:val="tx1"/>
                        </w14:solidFill>
                      </w14:textFill>
                    </w:rPr>
                  </w:pPr>
                  <w:r>
                    <w:rPr>
                      <w:color w:val="000000" w:themeColor="text1"/>
                      <w:sz w:val="22"/>
                      <w:szCs w:val="22"/>
                      <w14:textFill>
                        <w14:solidFill>
                          <w14:schemeClr w14:val="tx1"/>
                        </w14:solidFill>
                      </w14:textFill>
                    </w:rPr>
                    <w:t>液态水溶性肥料生产线</w:t>
                  </w:r>
                </w:p>
              </w:tc>
              <w:tc>
                <w:tcPr>
                  <w:tcW w:w="569" w:type="pct"/>
                  <w:tcBorders>
                    <w:left w:val="single" w:color="auto" w:sz="4" w:space="0"/>
                  </w:tcBorders>
                  <w:vAlign w:val="center"/>
                </w:tcPr>
                <w:p w14:paraId="0EA5C9A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发酵</w:t>
                  </w:r>
                </w:p>
              </w:tc>
              <w:tc>
                <w:tcPr>
                  <w:tcW w:w="467" w:type="pct"/>
                  <w:vAlign w:val="center"/>
                </w:tcPr>
                <w:p w14:paraId="5786586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G1-1</w:t>
                  </w:r>
                </w:p>
              </w:tc>
              <w:tc>
                <w:tcPr>
                  <w:tcW w:w="807" w:type="pct"/>
                  <w:vAlign w:val="center"/>
                </w:tcPr>
                <w:p w14:paraId="6E62066A">
                  <w:pPr>
                    <w:adjustRightInd w:val="0"/>
                    <w:snapToGrid w:val="0"/>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1" w:type="pct"/>
                  <w:vAlign w:val="center"/>
                </w:tcPr>
                <w:p w14:paraId="6365A0A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厂区通风。</w:t>
                  </w:r>
                </w:p>
              </w:tc>
              <w:tc>
                <w:tcPr>
                  <w:tcW w:w="500" w:type="pct"/>
                  <w:vAlign w:val="center"/>
                </w:tcPr>
                <w:p w14:paraId="7EDC233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7C7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3" w:type="pct"/>
                  <w:vMerge w:val="continue"/>
                  <w:tcBorders>
                    <w:left w:val="single" w:color="auto" w:sz="4" w:space="0"/>
                    <w:right w:val="single" w:color="auto" w:sz="4" w:space="0"/>
                  </w:tcBorders>
                  <w:vAlign w:val="center"/>
                </w:tcPr>
                <w:p w14:paraId="7D94092F">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44439A4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储存</w:t>
                  </w:r>
                  <w:r>
                    <w:rPr>
                      <w:rFonts w:hint="eastAsia"/>
                      <w:color w:val="000000" w:themeColor="text1"/>
                      <w14:textFill>
                        <w14:solidFill>
                          <w14:schemeClr w14:val="tx1"/>
                        </w14:solidFill>
                      </w14:textFill>
                    </w:rPr>
                    <w:t>陈化</w:t>
                  </w:r>
                </w:p>
              </w:tc>
              <w:tc>
                <w:tcPr>
                  <w:tcW w:w="467" w:type="pct"/>
                  <w:vAlign w:val="center"/>
                </w:tcPr>
                <w:p w14:paraId="68DE7D3A">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G1-2</w:t>
                  </w:r>
                </w:p>
              </w:tc>
              <w:tc>
                <w:tcPr>
                  <w:tcW w:w="807" w:type="pct"/>
                  <w:vAlign w:val="center"/>
                </w:tcPr>
                <w:p w14:paraId="45A6E9E1">
                  <w:pPr>
                    <w:adjustRightInd w:val="0"/>
                    <w:snapToGrid w:val="0"/>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p>
              </w:tc>
              <w:tc>
                <w:tcPr>
                  <w:tcW w:w="2081" w:type="pct"/>
                  <w:vAlign w:val="center"/>
                </w:tcPr>
                <w:p w14:paraId="4D354D78">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厂区通风。</w:t>
                  </w:r>
                </w:p>
              </w:tc>
              <w:tc>
                <w:tcPr>
                  <w:tcW w:w="500" w:type="pct"/>
                  <w:vAlign w:val="center"/>
                </w:tcPr>
                <w:p w14:paraId="129E11B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51E37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3" w:type="pct"/>
                  <w:vMerge w:val="restart"/>
                  <w:tcBorders>
                    <w:top w:val="single" w:color="auto" w:sz="4" w:space="0"/>
                    <w:left w:val="single" w:color="auto" w:sz="4" w:space="0"/>
                    <w:right w:val="single" w:color="auto" w:sz="4" w:space="0"/>
                  </w:tcBorders>
                  <w:vAlign w:val="center"/>
                </w:tcPr>
                <w:p w14:paraId="56541F7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粉状水溶性肥料生产线</w:t>
                  </w:r>
                </w:p>
              </w:tc>
              <w:tc>
                <w:tcPr>
                  <w:tcW w:w="569" w:type="pct"/>
                  <w:tcBorders>
                    <w:left w:val="single" w:color="auto" w:sz="4" w:space="0"/>
                  </w:tcBorders>
                  <w:vAlign w:val="center"/>
                </w:tcPr>
                <w:p w14:paraId="2AF5D76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投料</w:t>
                  </w:r>
                </w:p>
              </w:tc>
              <w:tc>
                <w:tcPr>
                  <w:tcW w:w="467" w:type="pct"/>
                  <w:vAlign w:val="center"/>
                </w:tcPr>
                <w:p w14:paraId="35AE58E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G2-1</w:t>
                  </w:r>
                </w:p>
              </w:tc>
              <w:tc>
                <w:tcPr>
                  <w:tcW w:w="807" w:type="pct"/>
                  <w:vAlign w:val="center"/>
                </w:tcPr>
                <w:p w14:paraId="1C3E51A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1" w:type="pct"/>
                  <w:vAlign w:val="center"/>
                </w:tcPr>
                <w:p w14:paraId="5D4FCBE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厂房阻隔，自然沉降。</w:t>
                  </w:r>
                </w:p>
              </w:tc>
              <w:tc>
                <w:tcPr>
                  <w:tcW w:w="500" w:type="pct"/>
                  <w:vAlign w:val="center"/>
                </w:tcPr>
                <w:p w14:paraId="2E1C2A88">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04A9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73" w:type="pct"/>
                  <w:vMerge w:val="continue"/>
                  <w:tcBorders>
                    <w:left w:val="single" w:color="auto" w:sz="4" w:space="0"/>
                    <w:right w:val="single" w:color="auto" w:sz="4" w:space="0"/>
                  </w:tcBorders>
                  <w:vAlign w:val="center"/>
                </w:tcPr>
                <w:p w14:paraId="0B75F53C">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257D857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扑粉</w:t>
                  </w:r>
                </w:p>
              </w:tc>
              <w:tc>
                <w:tcPr>
                  <w:tcW w:w="467" w:type="pct"/>
                  <w:vAlign w:val="center"/>
                </w:tcPr>
                <w:p w14:paraId="35E9182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G2-2</w:t>
                  </w:r>
                </w:p>
              </w:tc>
              <w:tc>
                <w:tcPr>
                  <w:tcW w:w="807" w:type="pct"/>
                  <w:vAlign w:val="center"/>
                </w:tcPr>
                <w:p w14:paraId="7AF6063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1" w:type="pct"/>
                  <w:vAlign w:val="center"/>
                </w:tcPr>
                <w:p w14:paraId="79008837">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湿式作业+厂房阻隔沉降</w:t>
                  </w:r>
                </w:p>
              </w:tc>
              <w:tc>
                <w:tcPr>
                  <w:tcW w:w="500" w:type="pct"/>
                  <w:vAlign w:val="center"/>
                </w:tcPr>
                <w:p w14:paraId="6AD5707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1D4D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73" w:type="pct"/>
                  <w:vMerge w:val="continue"/>
                  <w:tcBorders>
                    <w:left w:val="single" w:color="auto" w:sz="4" w:space="0"/>
                    <w:right w:val="single" w:color="auto" w:sz="4" w:space="0"/>
                  </w:tcBorders>
                  <w:vAlign w:val="center"/>
                </w:tcPr>
                <w:p w14:paraId="02C3DC85">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886CD2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发酵</w:t>
                  </w:r>
                </w:p>
              </w:tc>
              <w:tc>
                <w:tcPr>
                  <w:tcW w:w="467" w:type="pct"/>
                  <w:vAlign w:val="center"/>
                </w:tcPr>
                <w:p w14:paraId="52836550">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G2-3</w:t>
                  </w:r>
                </w:p>
              </w:tc>
              <w:tc>
                <w:tcPr>
                  <w:tcW w:w="807" w:type="pct"/>
                  <w:vAlign w:val="center"/>
                </w:tcPr>
                <w:p w14:paraId="34A4B021">
                  <w:pPr>
                    <w:adjustRightInd w:val="0"/>
                    <w:snapToGrid w:val="0"/>
                    <w:jc w:val="center"/>
                    <w:rPr>
                      <w:color w:val="000000" w:themeColor="text1"/>
                      <w14:textFill>
                        <w14:solidFill>
                          <w14:schemeClr w14:val="tx1"/>
                        </w14:solidFill>
                      </w14:textFill>
                    </w:rPr>
                  </w:pPr>
                  <w:r>
                    <w:rPr>
                      <w:rFonts w:hint="eastAsia"/>
                      <w:bCs/>
                      <w:color w:val="000000" w:themeColor="text1"/>
                      <w:kern w:val="0"/>
                      <w:szCs w:val="21"/>
                      <w14:textFill>
                        <w14:solidFill>
                          <w14:schemeClr w14:val="tx1"/>
                        </w14:solidFill>
                      </w14:textFill>
                    </w:rPr>
                    <w:t>氨、臭气浓度、硫化氢</w:t>
                  </w:r>
                  <w:r>
                    <w:rPr>
                      <w:rFonts w:hint="eastAsia"/>
                      <w:color w:val="000000" w:themeColor="text1"/>
                      <w14:textFill>
                        <w14:solidFill>
                          <w14:schemeClr w14:val="tx1"/>
                        </w14:solidFill>
                      </w14:textFill>
                    </w:rPr>
                    <w:t>、</w:t>
                  </w:r>
                </w:p>
              </w:tc>
              <w:tc>
                <w:tcPr>
                  <w:tcW w:w="2081" w:type="pct"/>
                  <w:vAlign w:val="center"/>
                </w:tcPr>
                <w:p w14:paraId="486F2543">
                  <w:pPr>
                    <w:adjustRightInd w:val="0"/>
                    <w:snapToGrid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生物除臭喷淋设施+定期通风换气</w:t>
                  </w:r>
                </w:p>
              </w:tc>
              <w:tc>
                <w:tcPr>
                  <w:tcW w:w="500" w:type="pct"/>
                  <w:vAlign w:val="center"/>
                </w:tcPr>
                <w:p w14:paraId="42D3609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5CE15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573" w:type="pct"/>
                  <w:vMerge w:val="continue"/>
                  <w:tcBorders>
                    <w:left w:val="single" w:color="auto" w:sz="4" w:space="0"/>
                    <w:right w:val="single" w:color="auto" w:sz="4" w:space="0"/>
                  </w:tcBorders>
                  <w:vAlign w:val="center"/>
                </w:tcPr>
                <w:p w14:paraId="58DA8222">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81BEA05">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粉碎</w:t>
                  </w:r>
                </w:p>
              </w:tc>
              <w:tc>
                <w:tcPr>
                  <w:tcW w:w="467" w:type="pct"/>
                  <w:vAlign w:val="center"/>
                </w:tcPr>
                <w:p w14:paraId="14DAD8C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G2-4</w:t>
                  </w:r>
                </w:p>
              </w:tc>
              <w:tc>
                <w:tcPr>
                  <w:tcW w:w="807" w:type="pct"/>
                  <w:vAlign w:val="center"/>
                </w:tcPr>
                <w:p w14:paraId="6B88C15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1" w:type="pct"/>
                  <w:vAlign w:val="center"/>
                </w:tcPr>
                <w:p w14:paraId="49AFAA16">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湿式作业+厂房阻隔沉降</w:t>
                  </w:r>
                </w:p>
              </w:tc>
              <w:tc>
                <w:tcPr>
                  <w:tcW w:w="500" w:type="pct"/>
                  <w:vAlign w:val="center"/>
                </w:tcPr>
                <w:p w14:paraId="43570A4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187F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3" w:type="pct"/>
                  <w:vMerge w:val="continue"/>
                  <w:tcBorders>
                    <w:left w:val="single" w:color="auto" w:sz="4" w:space="0"/>
                    <w:right w:val="single" w:color="auto" w:sz="4" w:space="0"/>
                  </w:tcBorders>
                  <w:vAlign w:val="center"/>
                </w:tcPr>
                <w:p w14:paraId="38FA4BDB">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2EE6F09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筛分</w:t>
                  </w:r>
                </w:p>
              </w:tc>
              <w:tc>
                <w:tcPr>
                  <w:tcW w:w="467" w:type="pct"/>
                  <w:vAlign w:val="center"/>
                </w:tcPr>
                <w:p w14:paraId="1BE6296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G2-5</w:t>
                  </w:r>
                </w:p>
              </w:tc>
              <w:tc>
                <w:tcPr>
                  <w:tcW w:w="807" w:type="pct"/>
                  <w:vAlign w:val="center"/>
                </w:tcPr>
                <w:p w14:paraId="6EF20FE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1" w:type="pct"/>
                  <w:vAlign w:val="center"/>
                </w:tcPr>
                <w:p w14:paraId="68E1CEA3">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湿式作业+厂房阻隔沉降</w:t>
                  </w:r>
                </w:p>
              </w:tc>
              <w:tc>
                <w:tcPr>
                  <w:tcW w:w="500" w:type="pct"/>
                  <w:vAlign w:val="center"/>
                </w:tcPr>
                <w:p w14:paraId="585B761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r w14:paraId="43305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73" w:type="pct"/>
                  <w:vMerge w:val="continue"/>
                  <w:tcBorders>
                    <w:left w:val="single" w:color="auto" w:sz="4" w:space="0"/>
                    <w:right w:val="single" w:color="auto" w:sz="4" w:space="0"/>
                  </w:tcBorders>
                  <w:vAlign w:val="center"/>
                </w:tcPr>
                <w:p w14:paraId="4123A48B">
                  <w:pPr>
                    <w:adjustRightInd w:val="0"/>
                    <w:snapToGrid w:val="0"/>
                    <w:jc w:val="center"/>
                    <w:rPr>
                      <w:color w:val="000000" w:themeColor="text1"/>
                      <w14:textFill>
                        <w14:solidFill>
                          <w14:schemeClr w14:val="tx1"/>
                        </w14:solidFill>
                      </w14:textFill>
                    </w:rPr>
                  </w:pPr>
                </w:p>
              </w:tc>
              <w:tc>
                <w:tcPr>
                  <w:tcW w:w="569" w:type="pct"/>
                  <w:tcBorders>
                    <w:left w:val="single" w:color="auto" w:sz="4" w:space="0"/>
                  </w:tcBorders>
                  <w:vAlign w:val="center"/>
                </w:tcPr>
                <w:p w14:paraId="3BFA2704">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搅拌</w:t>
                  </w:r>
                </w:p>
              </w:tc>
              <w:tc>
                <w:tcPr>
                  <w:tcW w:w="467" w:type="pct"/>
                  <w:vAlign w:val="center"/>
                </w:tcPr>
                <w:p w14:paraId="1CEFA10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G2-6</w:t>
                  </w:r>
                </w:p>
              </w:tc>
              <w:tc>
                <w:tcPr>
                  <w:tcW w:w="807" w:type="pct"/>
                  <w:vAlign w:val="center"/>
                </w:tcPr>
                <w:p w14:paraId="470A44B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081" w:type="pct"/>
                  <w:vAlign w:val="center"/>
                </w:tcPr>
                <w:p w14:paraId="08B28EA8">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湿式作业+厂房阻隔沉降</w:t>
                  </w:r>
                </w:p>
              </w:tc>
              <w:tc>
                <w:tcPr>
                  <w:tcW w:w="500" w:type="pct"/>
                  <w:vAlign w:val="center"/>
                </w:tcPr>
                <w:p w14:paraId="00AA74E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r>
          </w:tbl>
          <w:p w14:paraId="4F285F1D">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2、大气污染物源强核算</w:t>
            </w:r>
          </w:p>
          <w:p w14:paraId="6D39775E">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1）水溶性液态有机肥生产线</w:t>
            </w:r>
          </w:p>
          <w:p w14:paraId="3319B3E1">
            <w:pPr>
              <w:spacing w:line="360" w:lineRule="auto"/>
              <w:ind w:firstLine="480" w:firstLineChars="200"/>
              <w:rPr>
                <w:rFonts w:hint="eastAsia" w:eastAsia="宋体"/>
                <w:b/>
                <w:bCs/>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①</w:t>
            </w:r>
            <w:r>
              <w:rPr>
                <w:rFonts w:hint="eastAsia"/>
                <w:b/>
                <w:bCs/>
                <w:color w:val="000000" w:themeColor="text1"/>
                <w:kern w:val="0"/>
                <w:sz w:val="24"/>
                <w14:textFill>
                  <w14:solidFill>
                    <w14:schemeClr w14:val="tx1"/>
                  </w14:solidFill>
                </w14:textFill>
              </w:rPr>
              <w:t>发酵、陈化工段废气</w:t>
            </w:r>
            <w:r>
              <w:rPr>
                <w:rStyle w:val="28"/>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14:textFill>
                  <w14:solidFill>
                    <w14:schemeClr w14:val="tx1"/>
                  </w14:solidFill>
                </w14:textFill>
              </w:rPr>
              <w:t>G1-1</w:t>
            </w:r>
            <w:r>
              <w:rPr>
                <w:rFonts w:hint="eastAsia"/>
                <w:b/>
                <w:bCs/>
                <w:color w:val="000000" w:themeColor="text1"/>
                <w:sz w:val="24"/>
                <w:szCs w:val="24"/>
                <w:lang w:eastAsia="zh-CN"/>
                <w14:textFill>
                  <w14:solidFill>
                    <w14:schemeClr w14:val="tx1"/>
                  </w14:solidFill>
                </w14:textFill>
              </w:rPr>
              <w:t>、</w:t>
            </w:r>
            <w:r>
              <w:rPr>
                <w:rFonts w:hint="eastAsia"/>
                <w:b/>
                <w:bCs/>
                <w:color w:val="000000" w:themeColor="text1"/>
                <w:sz w:val="24"/>
                <w:szCs w:val="24"/>
                <w14:textFill>
                  <w14:solidFill>
                    <w14:schemeClr w14:val="tx1"/>
                  </w14:solidFill>
                </w14:textFill>
              </w:rPr>
              <w:t>G1-2</w:t>
            </w:r>
            <w:r>
              <w:rPr>
                <w:rStyle w:val="28"/>
                <w:rFonts w:hint="eastAsia"/>
                <w:b/>
                <w:bCs/>
                <w:color w:val="000000" w:themeColor="text1"/>
                <w:sz w:val="24"/>
                <w:szCs w:val="24"/>
                <w:lang w:eastAsia="zh-CN"/>
                <w14:textFill>
                  <w14:solidFill>
                    <w14:schemeClr w14:val="tx1"/>
                  </w14:solidFill>
                </w14:textFill>
              </w:rPr>
              <w:t>）</w:t>
            </w:r>
          </w:p>
          <w:p w14:paraId="21043AB6">
            <w:pPr>
              <w:spacing w:line="360" w:lineRule="auto"/>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在液态有机肥的发酵和陈化过程中，会释放硫化氢、氨气等具有强烈臭味的气体，这些气味刺激人的嗅觉器官，引发厌恶或不愉快感。本项目采用密闭发酵罐进行发酵，搅拌罐进行搅拌，储存罐储存成品，从而显著减少了废气排放量。</w:t>
            </w:r>
          </w:p>
          <w:p w14:paraId="4F6BEF3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为进一步减少无组织废气对周边环境的影响，项目针对发酵、陈化过程中可能逸散的少量无组织废气，采取了喷洒生物除臭剂的方式进行处理，通过定期在发酵区域及周边喷洒高效生物除臭剂，利用微生物分解作用降低废气中硫化氢、氨气及臭气浓度的含量；同时加强厂区通风换气，确保车间内空气流通，减少废气积聚。</w:t>
            </w:r>
          </w:p>
          <w:p w14:paraId="7EB7B663">
            <w:pPr>
              <w:numPr>
                <w:ilvl w:val="0"/>
                <w:numId w:val="18"/>
              </w:num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粉剂生物有机肥生产线</w:t>
            </w:r>
          </w:p>
          <w:p w14:paraId="07085D3F">
            <w:pPr>
              <w:spacing w:line="360" w:lineRule="auto"/>
              <w:ind w:firstLine="482" w:firstLineChars="200"/>
              <w:jc w:val="both"/>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①混配工段颗粒物（投料G2-1、扑粉G2-</w:t>
            </w:r>
            <w:r>
              <w:rPr>
                <w:rFonts w:hint="eastAsia"/>
                <w:b/>
                <w:bCs/>
                <w:color w:val="000000" w:themeColor="text1"/>
                <w:kern w:val="0"/>
                <w:sz w:val="24"/>
                <w:lang w:val="en-US" w:eastAsia="zh-CN"/>
                <w14:textFill>
                  <w14:solidFill>
                    <w14:schemeClr w14:val="tx1"/>
                  </w14:solidFill>
                </w14:textFill>
              </w:rPr>
              <w:t>2、</w:t>
            </w:r>
            <w:r>
              <w:rPr>
                <w:rFonts w:hint="eastAsia"/>
                <w:b/>
                <w:bCs/>
                <w:color w:val="000000" w:themeColor="text1"/>
                <w:kern w:val="0"/>
                <w:sz w:val="24"/>
                <w14:textFill>
                  <w14:solidFill>
                    <w14:schemeClr w14:val="tx1"/>
                  </w14:solidFill>
                </w14:textFill>
              </w:rPr>
              <w:t>粉碎G2-4、筛分G2-5、</w:t>
            </w:r>
            <w:r>
              <w:rPr>
                <w:rFonts w:hint="eastAsia"/>
                <w:b/>
                <w:bCs/>
                <w:color w:val="000000" w:themeColor="text1"/>
                <w:kern w:val="0"/>
                <w:sz w:val="24"/>
                <w:lang w:val="en-US" w:eastAsia="zh-CN"/>
                <w14:textFill>
                  <w14:solidFill>
                    <w14:schemeClr w14:val="tx1"/>
                  </w14:solidFill>
                </w14:textFill>
              </w:rPr>
              <w:t>下料G2-6搅拌</w:t>
            </w:r>
            <w:r>
              <w:rPr>
                <w:rFonts w:hint="eastAsia"/>
                <w:b/>
                <w:bCs/>
                <w:color w:val="000000" w:themeColor="text1"/>
                <w:kern w:val="0"/>
                <w:sz w:val="24"/>
                <w14:textFill>
                  <w14:solidFill>
                    <w14:schemeClr w14:val="tx1"/>
                  </w14:solidFill>
                </w14:textFill>
              </w:rPr>
              <w:t>G2-</w:t>
            </w:r>
            <w:r>
              <w:rPr>
                <w:rFonts w:hint="eastAsia"/>
                <w:b/>
                <w:bCs/>
                <w:color w:val="000000" w:themeColor="text1"/>
                <w:kern w:val="0"/>
                <w:sz w:val="24"/>
                <w:lang w:val="en-US" w:eastAsia="zh-CN"/>
                <w14:textFill>
                  <w14:solidFill>
                    <w14:schemeClr w14:val="tx1"/>
                  </w14:solidFill>
                </w14:textFill>
              </w:rPr>
              <w:t>7</w:t>
            </w:r>
            <w:r>
              <w:rPr>
                <w:rFonts w:hint="eastAsia"/>
                <w:b/>
                <w:bCs/>
                <w:color w:val="000000" w:themeColor="text1"/>
                <w:kern w:val="0"/>
                <w:sz w:val="24"/>
                <w14:textFill>
                  <w14:solidFill>
                    <w14:schemeClr w14:val="tx1"/>
                  </w14:solidFill>
                </w14:textFill>
              </w:rPr>
              <w:t>工序）</w:t>
            </w:r>
          </w:p>
          <w:p w14:paraId="0FCE7E3F">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依据《排放源统计调查产排污核算方法和系数手册》中“2625有机肥料及微生物肥料制造行业手册”-“2625有机肥及微生物肥制造行业系数表”，有机肥/生物有机肥前后处理过程中颗粒物的产污系数为0.370kg/t-产品。本项目粉剂生物有机肥的生产规模为</w:t>
            </w:r>
            <w:r>
              <w:rPr>
                <w:rFonts w:hint="eastAsia"/>
                <w:color w:val="000000" w:themeColor="text1"/>
                <w:kern w:val="0"/>
                <w:sz w:val="24"/>
                <w:lang w:val="en-US" w:eastAsia="zh-CN"/>
                <w14:textFill>
                  <w14:solidFill>
                    <w14:schemeClr w14:val="tx1"/>
                  </w14:solidFill>
                </w14:textFill>
              </w:rPr>
              <w:t>80000</w:t>
            </w:r>
            <w:r>
              <w:rPr>
                <w:rFonts w:hint="eastAsia"/>
                <w:color w:val="000000" w:themeColor="text1"/>
                <w:kern w:val="0"/>
                <w:sz w:val="24"/>
                <w14:textFill>
                  <w14:solidFill>
                    <w14:schemeClr w14:val="tx1"/>
                  </w14:solidFill>
                </w14:textFill>
              </w:rPr>
              <w:t>t/a，工作时间为8h/d，年工作时间为2664h/a，据此计算，粉剂生物有机肥生产线</w:t>
            </w:r>
            <w:r>
              <w:rPr>
                <w:rFonts w:hint="eastAsia"/>
                <w:color w:val="000000" w:themeColor="text1"/>
                <w:kern w:val="0"/>
                <w:sz w:val="24"/>
                <w:lang w:val="en-US" w:eastAsia="zh-CN"/>
                <w14:textFill>
                  <w14:solidFill>
                    <w14:schemeClr w14:val="tx1"/>
                  </w14:solidFill>
                </w14:textFill>
              </w:rPr>
              <w:t>混配工段</w:t>
            </w:r>
            <w:r>
              <w:rPr>
                <w:rFonts w:hint="eastAsia"/>
                <w:color w:val="000000" w:themeColor="text1"/>
                <w:kern w:val="0"/>
                <w:sz w:val="24"/>
                <w14:textFill>
                  <w14:solidFill>
                    <w14:schemeClr w14:val="tx1"/>
                  </w14:solidFill>
                </w14:textFill>
              </w:rPr>
              <w:t>工序颗粒物的产生量达</w:t>
            </w:r>
            <w:r>
              <w:rPr>
                <w:rFonts w:hint="eastAsia"/>
                <w:color w:val="000000" w:themeColor="text1"/>
                <w:kern w:val="0"/>
                <w:sz w:val="24"/>
                <w:lang w:val="en-US" w:eastAsia="zh-CN"/>
                <w14:textFill>
                  <w14:solidFill>
                    <w14:schemeClr w14:val="tx1"/>
                  </w14:solidFill>
                </w14:textFill>
              </w:rPr>
              <w:t>29.6</w:t>
            </w:r>
            <w:r>
              <w:rPr>
                <w:rFonts w:hint="eastAsia"/>
                <w:color w:val="000000" w:themeColor="text1"/>
                <w:kern w:val="0"/>
                <w:sz w:val="24"/>
                <w14:textFill>
                  <w14:solidFill>
                    <w14:schemeClr w14:val="tx1"/>
                  </w14:solidFill>
                </w14:textFill>
              </w:rPr>
              <w:t>t/a。</w:t>
            </w:r>
          </w:p>
          <w:p w14:paraId="7BE12CF9">
            <w:pPr>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本项目原料含水率为（75%—40%），全过程为湿式作业，可有效抑制粉尘飞扬，减少无组织颗粒物的逸散。根据《HJT285-2006 环境保护产品技术要求工业粉尘湿式除尘装置》标准，本项目湿式作业对粒径≥10μm的粉尘去除效率可达90%以上，对粒径＜10μm的粉尘去除效率达80%以上。经湿式作业处理后，颗粒物排放量可控制在2.96t/a以下（本项目粒径≥10μm，按90%综合去除效率计）。厂房阻隔效率参照《扬尘源颗粒物排放清单编制技术指南（试行）》封闭厂房颗粒物阻隔率为78%，则无组织排放量为0.65t/a。</w:t>
            </w:r>
            <w:r>
              <w:rPr>
                <w:rFonts w:hint="eastAsia"/>
                <w:color w:val="000000" w:themeColor="text1"/>
                <w:kern w:val="0"/>
                <w:sz w:val="24"/>
                <w:lang w:val="en-US" w:eastAsia="zh-CN"/>
                <w14:textFill>
                  <w14:solidFill>
                    <w14:schemeClr w14:val="tx1"/>
                  </w14:solidFill>
                </w14:textFill>
              </w:rPr>
              <w:t xml:space="preserve">满足《大气污染物综合排放标准》（GB16297-1996）表2中二级标准限值要求，对周边大气环境影响可控。  </w:t>
            </w:r>
          </w:p>
          <w:p w14:paraId="39BA19D5">
            <w:pPr>
              <w:spacing w:line="360" w:lineRule="auto"/>
              <w:ind w:firstLine="482" w:firstLineChars="200"/>
              <w:rPr>
                <w:rFonts w:hint="eastAsia" w:eastAsia="宋体"/>
                <w:b/>
                <w:bCs/>
                <w:color w:val="000000" w:themeColor="text1"/>
                <w:kern w:val="0"/>
                <w:sz w:val="24"/>
                <w:lang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②</w:t>
            </w:r>
            <w:r>
              <w:rPr>
                <w:rFonts w:hint="eastAsia"/>
                <w:b/>
                <w:bCs/>
                <w:color w:val="000000" w:themeColor="text1"/>
                <w:kern w:val="0"/>
                <w:sz w:val="24"/>
                <w14:textFill>
                  <w14:solidFill>
                    <w14:schemeClr w14:val="tx1"/>
                  </w14:solidFill>
                </w14:textFill>
              </w:rPr>
              <w:t>发酵工段硫化氢、氨气、臭气浓度</w:t>
            </w:r>
            <w:r>
              <w:rPr>
                <w:rStyle w:val="28"/>
                <w:rFonts w:hint="eastAsia"/>
                <w:color w:val="000000" w:themeColor="text1"/>
                <w:lang w:eastAsia="zh-CN"/>
                <w14:textFill>
                  <w14:solidFill>
                    <w14:schemeClr w14:val="tx1"/>
                  </w14:solidFill>
                </w14:textFill>
              </w:rPr>
              <w:t>（</w:t>
            </w:r>
            <w:r>
              <w:rPr>
                <w:rFonts w:hint="eastAsia"/>
                <w:b/>
                <w:bCs/>
                <w:color w:val="000000" w:themeColor="text1"/>
                <w:kern w:val="0"/>
                <w:sz w:val="24"/>
                <w14:textFill>
                  <w14:solidFill>
                    <w14:schemeClr w14:val="tx1"/>
                  </w14:solidFill>
                </w14:textFill>
              </w:rPr>
              <w:t>G2-</w:t>
            </w:r>
            <w:r>
              <w:rPr>
                <w:rFonts w:hint="eastAsia"/>
                <w:b/>
                <w:bCs/>
                <w:color w:val="000000" w:themeColor="text1"/>
                <w:kern w:val="0"/>
                <w:sz w:val="24"/>
                <w:lang w:val="en-US" w:eastAsia="zh-CN"/>
                <w14:textFill>
                  <w14:solidFill>
                    <w14:schemeClr w14:val="tx1"/>
                  </w14:solidFill>
                </w14:textFill>
              </w:rPr>
              <w:t>3</w:t>
            </w:r>
            <w:r>
              <w:rPr>
                <w:rStyle w:val="28"/>
                <w:rFonts w:hint="eastAsia"/>
                <w:color w:val="000000" w:themeColor="text1"/>
                <w:lang w:eastAsia="zh-CN"/>
                <w14:textFill>
                  <w14:solidFill>
                    <w14:schemeClr w14:val="tx1"/>
                  </w14:solidFill>
                </w14:textFill>
              </w:rPr>
              <w:t>）</w:t>
            </w:r>
          </w:p>
          <w:p w14:paraId="736B68F8">
            <w:pPr>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固态粉剂有机肥发酵将产生硫化氢、氨气、臭气浓度。由于有机肥及微生物肥制造行业系数手册内未规定氨、硫化氢的产污系数，因此氨、硫化氢的产污系数参照《除臭菌株对NH</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和H</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S释放及物质转化的影响》（农业环境科学学报，2011年第3期第30卷，P585~589），氨产污系数为0.073kg/t-产品，硫化氢产污系数为0.047kg/t-产品。</w:t>
            </w:r>
          </w:p>
          <w:p w14:paraId="58FFE71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项目粉剂生物有机肥产品量为</w:t>
            </w:r>
            <w:r>
              <w:rPr>
                <w:rFonts w:hint="eastAsia"/>
                <w:color w:val="000000" w:themeColor="text1"/>
                <w:kern w:val="0"/>
                <w:sz w:val="24"/>
                <w:lang w:val="en-US" w:eastAsia="zh-CN"/>
                <w14:textFill>
                  <w14:solidFill>
                    <w14:schemeClr w14:val="tx1"/>
                  </w14:solidFill>
                </w14:textFill>
              </w:rPr>
              <w:t>80000</w:t>
            </w:r>
            <w:r>
              <w:rPr>
                <w:rFonts w:hint="eastAsia"/>
                <w:color w:val="000000" w:themeColor="text1"/>
                <w:kern w:val="0"/>
                <w:sz w:val="24"/>
                <w14:textFill>
                  <w14:solidFill>
                    <w14:schemeClr w14:val="tx1"/>
                  </w14:solidFill>
                </w14:textFill>
              </w:rPr>
              <w:t>吨，则氨的产生量</w:t>
            </w:r>
            <w:r>
              <w:rPr>
                <w:rFonts w:hint="eastAsia"/>
                <w:color w:val="000000" w:themeColor="text1"/>
                <w:kern w:val="0"/>
                <w:sz w:val="24"/>
                <w:lang w:val="en-US" w:eastAsia="zh-CN"/>
                <w14:textFill>
                  <w14:solidFill>
                    <w14:schemeClr w14:val="tx1"/>
                  </w14:solidFill>
                </w14:textFill>
              </w:rPr>
              <w:t>5.84</w:t>
            </w:r>
            <w:r>
              <w:rPr>
                <w:rFonts w:hint="eastAsia"/>
                <w:color w:val="000000" w:themeColor="text1"/>
                <w:kern w:val="0"/>
                <w:sz w:val="24"/>
                <w14:textFill>
                  <w14:solidFill>
                    <w14:schemeClr w14:val="tx1"/>
                  </w14:solidFill>
                </w14:textFill>
              </w:rPr>
              <w:t>t/a，硫化氢产生量为</w:t>
            </w:r>
            <w:r>
              <w:rPr>
                <w:rFonts w:hint="eastAsia"/>
                <w:color w:val="000000" w:themeColor="text1"/>
                <w:kern w:val="0"/>
                <w:sz w:val="24"/>
                <w:lang w:val="en-US" w:eastAsia="zh-CN"/>
                <w14:textFill>
                  <w14:solidFill>
                    <w14:schemeClr w14:val="tx1"/>
                  </w14:solidFill>
                </w14:textFill>
              </w:rPr>
              <w:t>3.76</w:t>
            </w:r>
            <w:r>
              <w:rPr>
                <w:rFonts w:hint="eastAsia"/>
                <w:color w:val="000000" w:themeColor="text1"/>
                <w:kern w:val="0"/>
                <w:sz w:val="24"/>
                <w14:textFill>
                  <w14:solidFill>
                    <w14:schemeClr w14:val="tx1"/>
                  </w14:solidFill>
                </w14:textFill>
              </w:rPr>
              <w:t>t/a。本项目发酵过程气体采用</w:t>
            </w:r>
            <w:r>
              <w:rPr>
                <w:rFonts w:hint="eastAsia"/>
                <w:color w:val="000000" w:themeColor="text1"/>
                <w:kern w:val="0"/>
                <w:sz w:val="24"/>
                <w:lang w:val="en-US" w:eastAsia="zh-CN"/>
                <w14:textFill>
                  <w14:solidFill>
                    <w14:schemeClr w14:val="tx1"/>
                  </w14:solidFill>
                </w14:textFill>
              </w:rPr>
              <w:t>在发酵区两侧安装生物除臭喷淋装置</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根据建设单位提供参数，</w:t>
            </w:r>
            <w:r>
              <w:rPr>
                <w:rFonts w:hint="eastAsia"/>
                <w:color w:val="000000" w:themeColor="text1"/>
                <w:kern w:val="0"/>
                <w:sz w:val="24"/>
                <w:lang w:eastAsia="zh-CN"/>
                <w14:textFill>
                  <w14:solidFill>
                    <w14:schemeClr w14:val="tx1"/>
                  </w14:solidFill>
                </w14:textFill>
              </w:rPr>
              <w:t>生物除臭喷淋设施</w:t>
            </w:r>
            <w:r>
              <w:rPr>
                <w:rFonts w:hint="eastAsia"/>
                <w:color w:val="000000" w:themeColor="text1"/>
                <w:kern w:val="0"/>
                <w:sz w:val="24"/>
                <w14:textFill>
                  <w14:solidFill>
                    <w14:schemeClr w14:val="tx1"/>
                  </w14:solidFill>
                </w14:textFill>
              </w:rPr>
              <w:t>设计处理效率</w:t>
            </w:r>
            <w:r>
              <w:rPr>
                <w:rFonts w:hint="eastAsia"/>
                <w:color w:val="000000" w:themeColor="text1"/>
                <w:kern w:val="0"/>
                <w:sz w:val="24"/>
                <w:lang w:val="en-US" w:eastAsia="zh-CN"/>
                <w14:textFill>
                  <w14:solidFill>
                    <w14:schemeClr w14:val="tx1"/>
                  </w14:solidFill>
                </w14:textFill>
              </w:rPr>
              <w:t>为80%—9</w:t>
            </w:r>
            <w:r>
              <w:rPr>
                <w:rFonts w:hint="eastAsia"/>
                <w:color w:val="000000" w:themeColor="text1"/>
                <w:kern w:val="0"/>
                <w:sz w:val="24"/>
                <w14:textFill>
                  <w14:solidFill>
                    <w14:schemeClr w14:val="tx1"/>
                  </w14:solidFill>
                </w14:textFill>
              </w:rPr>
              <w:t>0%，</w:t>
            </w:r>
            <w:r>
              <w:rPr>
                <w:rFonts w:hint="eastAsia"/>
                <w:color w:val="000000" w:themeColor="text1"/>
                <w:kern w:val="0"/>
                <w:sz w:val="24"/>
                <w:lang w:val="en-US" w:eastAsia="zh-CN"/>
                <w14:textFill>
                  <w14:solidFill>
                    <w14:schemeClr w14:val="tx1"/>
                  </w14:solidFill>
                </w14:textFill>
              </w:rPr>
              <w:t>本项目按照85%计。</w:t>
            </w:r>
            <w:r>
              <w:rPr>
                <w:rFonts w:hint="eastAsia"/>
                <w:color w:val="000000" w:themeColor="text1"/>
                <w:kern w:val="0"/>
                <w:sz w:val="24"/>
                <w14:textFill>
                  <w14:solidFill>
                    <w14:schemeClr w14:val="tx1"/>
                  </w14:solidFill>
                </w14:textFill>
              </w:rPr>
              <w:t>年运行时间2664h。经核算，无组织氨排放量</w:t>
            </w:r>
            <w:r>
              <w:rPr>
                <w:rFonts w:hint="eastAsia"/>
                <w:color w:val="000000" w:themeColor="text1"/>
                <w:kern w:val="0"/>
                <w:sz w:val="24"/>
                <w:lang w:val="en-US" w:eastAsia="zh-CN"/>
                <w14:textFill>
                  <w14:solidFill>
                    <w14:schemeClr w14:val="tx1"/>
                  </w14:solidFill>
                </w14:textFill>
              </w:rPr>
              <w:t>0.876</w:t>
            </w:r>
            <w:r>
              <w:rPr>
                <w:rFonts w:hint="eastAsia"/>
                <w:color w:val="000000" w:themeColor="text1"/>
                <w:kern w:val="0"/>
                <w:sz w:val="24"/>
                <w14:textFill>
                  <w14:solidFill>
                    <w14:schemeClr w14:val="tx1"/>
                  </w14:solidFill>
                </w14:textFill>
              </w:rPr>
              <w:t>t/a、无组织硫化氢</w:t>
            </w:r>
            <w:r>
              <w:rPr>
                <w:rFonts w:hint="eastAsia"/>
                <w:color w:val="000000" w:themeColor="text1"/>
                <w:kern w:val="0"/>
                <w:sz w:val="24"/>
                <w:lang w:val="en-US" w:eastAsia="zh-CN"/>
                <w14:textFill>
                  <w14:solidFill>
                    <w14:schemeClr w14:val="tx1"/>
                  </w14:solidFill>
                </w14:textFill>
              </w:rPr>
              <w:t>0.564</w:t>
            </w:r>
            <w:r>
              <w:rPr>
                <w:rFonts w:hint="eastAsia"/>
                <w:color w:val="000000" w:themeColor="text1"/>
                <w:kern w:val="0"/>
                <w:sz w:val="24"/>
                <w14:textFill>
                  <w14:solidFill>
                    <w14:schemeClr w14:val="tx1"/>
                  </w14:solidFill>
                </w14:textFill>
              </w:rPr>
              <w:t>t/a，</w:t>
            </w:r>
            <w:r>
              <w:rPr>
                <w:rFonts w:hint="eastAsia"/>
                <w:color w:val="000000" w:themeColor="text1"/>
                <w:kern w:val="0"/>
                <w:sz w:val="24"/>
                <w:lang w:val="en-US" w:eastAsia="zh-CN"/>
                <w14:textFill>
                  <w14:solidFill>
                    <w14:schemeClr w14:val="tx1"/>
                  </w14:solidFill>
                </w14:textFill>
              </w:rPr>
              <w:t>同时</w:t>
            </w:r>
            <w:r>
              <w:rPr>
                <w:rFonts w:hint="eastAsia"/>
                <w:color w:val="000000" w:themeColor="text1"/>
                <w:kern w:val="0"/>
                <w:sz w:val="24"/>
                <w14:textFill>
                  <w14:solidFill>
                    <w14:schemeClr w14:val="tx1"/>
                  </w14:solidFill>
                </w14:textFill>
              </w:rPr>
              <w:t>，通过车间每小时换气</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生产车间发酵区域面积1200m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，高度按6m计算，每小时换风1次换风量约7200m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、厂界臭气</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浓度符合《恶臭污染物排放标准》（GB14554-93）二级标准。</w:t>
            </w:r>
          </w:p>
          <w:p w14:paraId="5C74F957">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项目无组织废气</w:t>
            </w:r>
            <w:r>
              <w:rPr>
                <w:rFonts w:hint="eastAsia"/>
                <w:bCs/>
                <w:color w:val="000000" w:themeColor="text1"/>
                <w:kern w:val="0"/>
                <w:sz w:val="24"/>
                <w14:textFill>
                  <w14:solidFill>
                    <w14:schemeClr w14:val="tx1"/>
                  </w14:solidFill>
                </w14:textFill>
              </w:rPr>
              <w:t>产排情况见表4-</w:t>
            </w:r>
            <w:r>
              <w:rPr>
                <w:rFonts w:hint="eastAsia"/>
                <w:bCs/>
                <w:color w:val="000000" w:themeColor="text1"/>
                <w:kern w:val="0"/>
                <w:sz w:val="24"/>
                <w:lang w:val="en-US" w:eastAsia="zh-CN"/>
                <w14:textFill>
                  <w14:solidFill>
                    <w14:schemeClr w14:val="tx1"/>
                  </w14:solidFill>
                </w14:textFill>
              </w:rPr>
              <w:t>2</w:t>
            </w:r>
            <w:r>
              <w:rPr>
                <w:rFonts w:hint="eastAsia"/>
                <w:bCs/>
                <w:color w:val="000000" w:themeColor="text1"/>
                <w:kern w:val="0"/>
                <w:sz w:val="24"/>
                <w14:textFill>
                  <w14:solidFill>
                    <w14:schemeClr w14:val="tx1"/>
                  </w14:solidFill>
                </w14:textFill>
              </w:rPr>
              <w:t>。</w:t>
            </w:r>
          </w:p>
          <w:p w14:paraId="752D4F2C">
            <w:pPr>
              <w:jc w:val="center"/>
              <w:rPr>
                <w:b/>
                <w:bCs/>
                <w:color w:val="000000" w:themeColor="text1"/>
                <w:spacing w:val="8"/>
                <w:sz w:val="20"/>
                <w:szCs w:val="20"/>
                <w14:textFill>
                  <w14:solidFill>
                    <w14:schemeClr w14:val="tx1"/>
                  </w14:solidFill>
                </w14:textFill>
              </w:rPr>
            </w:pPr>
            <w:r>
              <w:rPr>
                <w:b/>
                <w:bCs/>
                <w:color w:val="000000" w:themeColor="text1"/>
                <w:spacing w:val="8"/>
                <w:sz w:val="20"/>
                <w:szCs w:val="20"/>
                <w14:textFill>
                  <w14:solidFill>
                    <w14:schemeClr w14:val="tx1"/>
                  </w14:solidFill>
                </w14:textFill>
              </w:rPr>
              <w:t>表</w:t>
            </w:r>
            <w:r>
              <w:rPr>
                <w:rFonts w:hint="eastAsia"/>
                <w:b/>
                <w:bCs/>
                <w:color w:val="000000" w:themeColor="text1"/>
                <w:spacing w:val="8"/>
                <w:sz w:val="20"/>
                <w:szCs w:val="20"/>
                <w14:textFill>
                  <w14:solidFill>
                    <w14:schemeClr w14:val="tx1"/>
                  </w14:solidFill>
                </w14:textFill>
              </w:rPr>
              <w:t>4-</w:t>
            </w:r>
            <w:r>
              <w:rPr>
                <w:rFonts w:hint="eastAsia"/>
                <w:b/>
                <w:bCs/>
                <w:color w:val="000000" w:themeColor="text1"/>
                <w:spacing w:val="8"/>
                <w:sz w:val="20"/>
                <w:szCs w:val="20"/>
                <w:lang w:val="en-US" w:eastAsia="zh-CN"/>
                <w14:textFill>
                  <w14:solidFill>
                    <w14:schemeClr w14:val="tx1"/>
                  </w14:solidFill>
                </w14:textFill>
              </w:rPr>
              <w:t>2</w:t>
            </w:r>
            <w:r>
              <w:rPr>
                <w:rFonts w:hint="eastAsia"/>
                <w:b/>
                <w:bCs/>
                <w:color w:val="000000" w:themeColor="text1"/>
                <w:spacing w:val="8"/>
                <w:sz w:val="20"/>
                <w:szCs w:val="20"/>
                <w14:textFill>
                  <w14:solidFill>
                    <w14:schemeClr w14:val="tx1"/>
                  </w14:solidFill>
                </w14:textFill>
              </w:rPr>
              <w:t xml:space="preserve"> </w:t>
            </w:r>
            <w:r>
              <w:rPr>
                <w:b/>
                <w:bCs/>
                <w:color w:val="000000" w:themeColor="text1"/>
                <w:spacing w:val="8"/>
                <w:sz w:val="20"/>
                <w:szCs w:val="20"/>
                <w14:textFill>
                  <w14:solidFill>
                    <w14:schemeClr w14:val="tx1"/>
                  </w14:solidFill>
                </w14:textFill>
              </w:rPr>
              <w:t xml:space="preserve"> </w:t>
            </w:r>
            <w:r>
              <w:rPr>
                <w:rFonts w:hint="eastAsia"/>
                <w:b/>
                <w:bCs/>
                <w:color w:val="000000" w:themeColor="text1"/>
                <w:spacing w:val="8"/>
                <w:sz w:val="20"/>
                <w:szCs w:val="20"/>
                <w14:textFill>
                  <w14:solidFill>
                    <w14:schemeClr w14:val="tx1"/>
                  </w14:solidFill>
                </w14:textFill>
              </w:rPr>
              <w:t>无组织大气污染物产生情况一览表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798"/>
              <w:gridCol w:w="676"/>
              <w:gridCol w:w="801"/>
              <w:gridCol w:w="1231"/>
              <w:gridCol w:w="798"/>
              <w:gridCol w:w="694"/>
              <w:gridCol w:w="802"/>
              <w:gridCol w:w="802"/>
              <w:gridCol w:w="692"/>
              <w:gridCol w:w="692"/>
            </w:tblGrid>
            <w:tr w14:paraId="4A18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38" w:type="pct"/>
                  <w:vMerge w:val="restart"/>
                  <w:tcBorders>
                    <w:tl2br w:val="nil"/>
                    <w:tr2bl w:val="nil"/>
                  </w:tcBorders>
                  <w:vAlign w:val="center"/>
                </w:tcPr>
                <w:p w14:paraId="001F4BA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471" w:type="pct"/>
                  <w:vMerge w:val="restart"/>
                  <w:tcBorders>
                    <w:tl2br w:val="nil"/>
                    <w:tr2bl w:val="nil"/>
                  </w:tcBorders>
                  <w:vAlign w:val="center"/>
                </w:tcPr>
                <w:p w14:paraId="07294B6B">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w:t>
                  </w:r>
                  <w:r>
                    <w:rPr>
                      <w:rFonts w:hint="eastAsia"/>
                      <w:b/>
                      <w:bCs/>
                      <w:color w:val="000000" w:themeColor="text1"/>
                      <w:kern w:val="0"/>
                      <w:szCs w:val="21"/>
                      <w14:textFill>
                        <w14:solidFill>
                          <w14:schemeClr w14:val="tx1"/>
                        </w14:solidFill>
                      </w14:textFill>
                    </w:rPr>
                    <w:t>t/a</w:t>
                  </w:r>
                </w:p>
              </w:tc>
              <w:tc>
                <w:tcPr>
                  <w:tcW w:w="401" w:type="pct"/>
                  <w:vMerge w:val="restart"/>
                  <w:tcBorders>
                    <w:tl2br w:val="nil"/>
                    <w:tr2bl w:val="nil"/>
                  </w:tcBorders>
                  <w:vAlign w:val="center"/>
                </w:tcPr>
                <w:p w14:paraId="65953403">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产生速率</w:t>
                  </w:r>
                  <w:r>
                    <w:rPr>
                      <w:rFonts w:hint="eastAsia"/>
                      <w:b/>
                      <w:bCs/>
                      <w:color w:val="000000" w:themeColor="text1"/>
                      <w:kern w:val="0"/>
                      <w:szCs w:val="21"/>
                      <w14:textFill>
                        <w14:solidFill>
                          <w14:schemeClr w14:val="tx1"/>
                        </w14:solidFill>
                      </w14:textFill>
                    </w:rPr>
                    <w:t>kg/h</w:t>
                  </w:r>
                </w:p>
              </w:tc>
              <w:tc>
                <w:tcPr>
                  <w:tcW w:w="473" w:type="pct"/>
                  <w:vMerge w:val="restart"/>
                  <w:tcBorders>
                    <w:tl2br w:val="nil"/>
                    <w:tr2bl w:val="nil"/>
                  </w:tcBorders>
                  <w:vAlign w:val="center"/>
                </w:tcPr>
                <w:p w14:paraId="4C02CBE3">
                  <w:pPr>
                    <w:jc w:val="center"/>
                    <w:rPr>
                      <w:b/>
                      <w:bCs/>
                      <w:color w:val="000000" w:themeColor="text1"/>
                      <w:kern w:val="0"/>
                      <w:szCs w:val="21"/>
                      <w:vertAlign w:val="superscript"/>
                      <w14:textFill>
                        <w14:solidFill>
                          <w14:schemeClr w14:val="tx1"/>
                        </w14:solidFill>
                      </w14:textFill>
                    </w:rPr>
                  </w:pPr>
                  <w:r>
                    <w:rPr>
                      <w:b/>
                      <w:bCs/>
                      <w:color w:val="000000" w:themeColor="text1"/>
                      <w:kern w:val="0"/>
                      <w:szCs w:val="21"/>
                      <w14:textFill>
                        <w14:solidFill>
                          <w14:schemeClr w14:val="tx1"/>
                        </w14:solidFill>
                      </w14:textFill>
                    </w:rPr>
                    <w:t>产生浓度</w:t>
                  </w:r>
                  <w:r>
                    <w:rPr>
                      <w:rFonts w:hint="eastAsia"/>
                      <w:b/>
                      <w:bCs/>
                      <w:color w:val="000000" w:themeColor="text1"/>
                      <w:kern w:val="0"/>
                      <w:szCs w:val="21"/>
                      <w14:textFill>
                        <w14:solidFill>
                          <w14:schemeClr w14:val="tx1"/>
                        </w14:solidFill>
                      </w14:textFill>
                    </w:rPr>
                    <w:t>mg/m</w:t>
                  </w:r>
                  <w:r>
                    <w:rPr>
                      <w:rFonts w:hint="eastAsia"/>
                      <w:b/>
                      <w:bCs/>
                      <w:color w:val="000000" w:themeColor="text1"/>
                      <w:kern w:val="0"/>
                      <w:szCs w:val="21"/>
                      <w:vertAlign w:val="superscript"/>
                      <w14:textFill>
                        <w14:solidFill>
                          <w14:schemeClr w14:val="tx1"/>
                        </w14:solidFill>
                      </w14:textFill>
                    </w:rPr>
                    <w:t>3</w:t>
                  </w:r>
                </w:p>
              </w:tc>
              <w:tc>
                <w:tcPr>
                  <w:tcW w:w="564" w:type="pct"/>
                  <w:vMerge w:val="restart"/>
                  <w:tcBorders>
                    <w:tl2br w:val="nil"/>
                    <w:tr2bl w:val="nil"/>
                  </w:tcBorders>
                  <w:vAlign w:val="center"/>
                </w:tcPr>
                <w:p w14:paraId="2A4167F1">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治理设施</w:t>
                  </w:r>
                </w:p>
              </w:tc>
              <w:tc>
                <w:tcPr>
                  <w:tcW w:w="471" w:type="pct"/>
                  <w:vMerge w:val="restart"/>
                  <w:tcBorders>
                    <w:tl2br w:val="nil"/>
                    <w:tr2bl w:val="nil"/>
                  </w:tcBorders>
                  <w:vAlign w:val="center"/>
                </w:tcPr>
                <w:p w14:paraId="52C016F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r>
                    <w:rPr>
                      <w:rFonts w:hint="eastAsia"/>
                      <w:b/>
                      <w:bCs/>
                      <w:color w:val="000000" w:themeColor="text1"/>
                      <w:kern w:val="0"/>
                      <w:szCs w:val="21"/>
                      <w14:textFill>
                        <w14:solidFill>
                          <w14:schemeClr w14:val="tx1"/>
                        </w14:solidFill>
                      </w14:textFill>
                    </w:rPr>
                    <w:t>t/a</w:t>
                  </w:r>
                </w:p>
              </w:tc>
              <w:tc>
                <w:tcPr>
                  <w:tcW w:w="411" w:type="pct"/>
                  <w:vMerge w:val="restart"/>
                  <w:tcBorders>
                    <w:tl2br w:val="nil"/>
                    <w:tr2bl w:val="nil"/>
                  </w:tcBorders>
                  <w:vAlign w:val="center"/>
                </w:tcPr>
                <w:p w14:paraId="3B135FA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w:t>
                  </w:r>
                  <w:r>
                    <w:rPr>
                      <w:rFonts w:hint="eastAsia"/>
                      <w:b/>
                      <w:bCs/>
                      <w:color w:val="000000" w:themeColor="text1"/>
                      <w:kern w:val="0"/>
                      <w:szCs w:val="21"/>
                      <w14:textFill>
                        <w14:solidFill>
                          <w14:schemeClr w14:val="tx1"/>
                        </w14:solidFill>
                      </w14:textFill>
                    </w:rPr>
                    <w:t>kg/h</w:t>
                  </w:r>
                </w:p>
              </w:tc>
              <w:tc>
                <w:tcPr>
                  <w:tcW w:w="473" w:type="pct"/>
                  <w:vMerge w:val="restart"/>
                  <w:tcBorders>
                    <w:tl2br w:val="nil"/>
                    <w:tr2bl w:val="nil"/>
                  </w:tcBorders>
                  <w:vAlign w:val="center"/>
                </w:tcPr>
                <w:p w14:paraId="6071773D">
                  <w:pPr>
                    <w:jc w:val="center"/>
                    <w:rPr>
                      <w:b/>
                      <w:bCs/>
                      <w:color w:val="000000" w:themeColor="text1"/>
                      <w:kern w:val="0"/>
                      <w:szCs w:val="21"/>
                      <w:vertAlign w:val="superscript"/>
                      <w14:textFill>
                        <w14:solidFill>
                          <w14:schemeClr w14:val="tx1"/>
                        </w14:solidFill>
                      </w14:textFill>
                    </w:rPr>
                  </w:pPr>
                  <w:r>
                    <w:rPr>
                      <w:b/>
                      <w:bCs/>
                      <w:color w:val="000000" w:themeColor="text1"/>
                      <w:kern w:val="0"/>
                      <w:szCs w:val="21"/>
                      <w14:textFill>
                        <w14:solidFill>
                          <w14:schemeClr w14:val="tx1"/>
                        </w14:solidFill>
                      </w14:textFill>
                    </w:rPr>
                    <w:t>排放浓度</w:t>
                  </w:r>
                  <w:r>
                    <w:rPr>
                      <w:rFonts w:hint="eastAsia"/>
                      <w:b/>
                      <w:bCs/>
                      <w:color w:val="000000" w:themeColor="text1"/>
                      <w:kern w:val="0"/>
                      <w:szCs w:val="21"/>
                      <w14:textFill>
                        <w14:solidFill>
                          <w14:schemeClr w14:val="tx1"/>
                        </w14:solidFill>
                      </w14:textFill>
                    </w:rPr>
                    <w:t>mg/m</w:t>
                  </w:r>
                  <w:r>
                    <w:rPr>
                      <w:rFonts w:hint="eastAsia"/>
                      <w:b/>
                      <w:bCs/>
                      <w:color w:val="000000" w:themeColor="text1"/>
                      <w:kern w:val="0"/>
                      <w:szCs w:val="21"/>
                      <w:vertAlign w:val="superscript"/>
                      <w14:textFill>
                        <w14:solidFill>
                          <w14:schemeClr w14:val="tx1"/>
                        </w14:solidFill>
                      </w14:textFill>
                    </w:rPr>
                    <w:t>3</w:t>
                  </w:r>
                </w:p>
              </w:tc>
              <w:tc>
                <w:tcPr>
                  <w:tcW w:w="883" w:type="pct"/>
                  <w:gridSpan w:val="2"/>
                  <w:tcBorders>
                    <w:tl2br w:val="nil"/>
                    <w:tr2bl w:val="nil"/>
                  </w:tcBorders>
                  <w:vAlign w:val="center"/>
                </w:tcPr>
                <w:p w14:paraId="70144E5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标准限值</w:t>
                  </w:r>
                </w:p>
              </w:tc>
              <w:tc>
                <w:tcPr>
                  <w:tcW w:w="410" w:type="pct"/>
                  <w:vMerge w:val="restart"/>
                  <w:tcBorders>
                    <w:tl2br w:val="nil"/>
                    <w:tr2bl w:val="nil"/>
                  </w:tcBorders>
                  <w:vAlign w:val="center"/>
                </w:tcPr>
                <w:p w14:paraId="5D511856">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达标</w:t>
                  </w:r>
                </w:p>
                <w:p w14:paraId="6D82788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情况</w:t>
                  </w:r>
                </w:p>
              </w:tc>
            </w:tr>
            <w:tr w14:paraId="6A6A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38" w:type="pct"/>
                  <w:vMerge w:val="continue"/>
                  <w:tcBorders>
                    <w:tl2br w:val="nil"/>
                    <w:tr2bl w:val="nil"/>
                  </w:tcBorders>
                  <w:vAlign w:val="center"/>
                </w:tcPr>
                <w:p w14:paraId="7926C433">
                  <w:pPr>
                    <w:jc w:val="center"/>
                    <w:rPr>
                      <w:color w:val="000000" w:themeColor="text1"/>
                      <w14:textFill>
                        <w14:solidFill>
                          <w14:schemeClr w14:val="tx1"/>
                        </w14:solidFill>
                      </w14:textFill>
                    </w:rPr>
                  </w:pPr>
                </w:p>
              </w:tc>
              <w:tc>
                <w:tcPr>
                  <w:tcW w:w="471" w:type="pct"/>
                  <w:vMerge w:val="continue"/>
                  <w:tcBorders>
                    <w:tl2br w:val="nil"/>
                    <w:tr2bl w:val="nil"/>
                  </w:tcBorders>
                  <w:vAlign w:val="center"/>
                </w:tcPr>
                <w:p w14:paraId="456E2FA3">
                  <w:pPr>
                    <w:jc w:val="center"/>
                    <w:rPr>
                      <w:color w:val="000000" w:themeColor="text1"/>
                      <w14:textFill>
                        <w14:solidFill>
                          <w14:schemeClr w14:val="tx1"/>
                        </w14:solidFill>
                      </w14:textFill>
                    </w:rPr>
                  </w:pPr>
                </w:p>
              </w:tc>
              <w:tc>
                <w:tcPr>
                  <w:tcW w:w="401" w:type="pct"/>
                  <w:vMerge w:val="continue"/>
                  <w:tcBorders>
                    <w:tl2br w:val="nil"/>
                    <w:tr2bl w:val="nil"/>
                  </w:tcBorders>
                  <w:vAlign w:val="center"/>
                </w:tcPr>
                <w:p w14:paraId="6DA1BD96">
                  <w:pPr>
                    <w:jc w:val="center"/>
                    <w:rPr>
                      <w:color w:val="000000" w:themeColor="text1"/>
                      <w14:textFill>
                        <w14:solidFill>
                          <w14:schemeClr w14:val="tx1"/>
                        </w14:solidFill>
                      </w14:textFill>
                    </w:rPr>
                  </w:pPr>
                </w:p>
              </w:tc>
              <w:tc>
                <w:tcPr>
                  <w:tcW w:w="473" w:type="pct"/>
                  <w:vMerge w:val="continue"/>
                  <w:tcBorders>
                    <w:tl2br w:val="nil"/>
                    <w:tr2bl w:val="nil"/>
                  </w:tcBorders>
                  <w:vAlign w:val="center"/>
                </w:tcPr>
                <w:p w14:paraId="059FA41C">
                  <w:pPr>
                    <w:jc w:val="center"/>
                    <w:rPr>
                      <w:color w:val="000000" w:themeColor="text1"/>
                      <w14:textFill>
                        <w14:solidFill>
                          <w14:schemeClr w14:val="tx1"/>
                        </w14:solidFill>
                      </w14:textFill>
                    </w:rPr>
                  </w:pPr>
                </w:p>
              </w:tc>
              <w:tc>
                <w:tcPr>
                  <w:tcW w:w="564" w:type="pct"/>
                  <w:vMerge w:val="continue"/>
                  <w:tcBorders>
                    <w:tl2br w:val="nil"/>
                    <w:tr2bl w:val="nil"/>
                  </w:tcBorders>
                  <w:vAlign w:val="center"/>
                </w:tcPr>
                <w:p w14:paraId="2298C67D">
                  <w:pPr>
                    <w:jc w:val="center"/>
                    <w:rPr>
                      <w:color w:val="000000" w:themeColor="text1"/>
                      <w14:textFill>
                        <w14:solidFill>
                          <w14:schemeClr w14:val="tx1"/>
                        </w14:solidFill>
                      </w14:textFill>
                    </w:rPr>
                  </w:pPr>
                </w:p>
              </w:tc>
              <w:tc>
                <w:tcPr>
                  <w:tcW w:w="471" w:type="pct"/>
                  <w:vMerge w:val="continue"/>
                  <w:tcBorders>
                    <w:tl2br w:val="nil"/>
                    <w:tr2bl w:val="nil"/>
                  </w:tcBorders>
                  <w:vAlign w:val="center"/>
                </w:tcPr>
                <w:p w14:paraId="73C26A40">
                  <w:pPr>
                    <w:jc w:val="center"/>
                    <w:rPr>
                      <w:color w:val="000000" w:themeColor="text1"/>
                      <w14:textFill>
                        <w14:solidFill>
                          <w14:schemeClr w14:val="tx1"/>
                        </w14:solidFill>
                      </w14:textFill>
                    </w:rPr>
                  </w:pPr>
                </w:p>
              </w:tc>
              <w:tc>
                <w:tcPr>
                  <w:tcW w:w="411" w:type="pct"/>
                  <w:vMerge w:val="continue"/>
                  <w:tcBorders>
                    <w:tl2br w:val="nil"/>
                    <w:tr2bl w:val="nil"/>
                  </w:tcBorders>
                  <w:vAlign w:val="center"/>
                </w:tcPr>
                <w:p w14:paraId="7FB2596F">
                  <w:pPr>
                    <w:jc w:val="center"/>
                    <w:rPr>
                      <w:color w:val="000000" w:themeColor="text1"/>
                      <w14:textFill>
                        <w14:solidFill>
                          <w14:schemeClr w14:val="tx1"/>
                        </w14:solidFill>
                      </w14:textFill>
                    </w:rPr>
                  </w:pPr>
                </w:p>
              </w:tc>
              <w:tc>
                <w:tcPr>
                  <w:tcW w:w="473" w:type="pct"/>
                  <w:vMerge w:val="continue"/>
                  <w:tcBorders>
                    <w:tl2br w:val="nil"/>
                    <w:tr2bl w:val="nil"/>
                  </w:tcBorders>
                  <w:vAlign w:val="center"/>
                </w:tcPr>
                <w:p w14:paraId="439FC1BC">
                  <w:pPr>
                    <w:jc w:val="center"/>
                    <w:rPr>
                      <w:color w:val="000000" w:themeColor="text1"/>
                      <w14:textFill>
                        <w14:solidFill>
                          <w14:schemeClr w14:val="tx1"/>
                        </w14:solidFill>
                      </w14:textFill>
                    </w:rPr>
                  </w:pPr>
                </w:p>
              </w:tc>
              <w:tc>
                <w:tcPr>
                  <w:tcW w:w="473" w:type="pct"/>
                  <w:tcBorders>
                    <w:tl2br w:val="nil"/>
                    <w:tr2bl w:val="nil"/>
                  </w:tcBorders>
                  <w:vAlign w:val="center"/>
                </w:tcPr>
                <w:p w14:paraId="65A0BC5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410" w:type="pct"/>
                  <w:tcBorders>
                    <w:tl2br w:val="nil"/>
                    <w:tr2bl w:val="nil"/>
                  </w:tcBorders>
                  <w:vAlign w:val="center"/>
                </w:tcPr>
                <w:p w14:paraId="521EACB0">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速率</w:t>
                  </w:r>
                </w:p>
                <w:p w14:paraId="576151D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410" w:type="pct"/>
                  <w:vMerge w:val="continue"/>
                  <w:tcBorders>
                    <w:tl2br w:val="nil"/>
                    <w:tr2bl w:val="nil"/>
                  </w:tcBorders>
                  <w:vAlign w:val="center"/>
                </w:tcPr>
                <w:p w14:paraId="08FBF1E5">
                  <w:pPr>
                    <w:jc w:val="center"/>
                    <w:rPr>
                      <w:color w:val="000000" w:themeColor="text1"/>
                      <w:kern w:val="0"/>
                      <w:szCs w:val="21"/>
                      <w14:textFill>
                        <w14:solidFill>
                          <w14:schemeClr w14:val="tx1"/>
                        </w14:solidFill>
                      </w14:textFill>
                    </w:rPr>
                  </w:pPr>
                </w:p>
              </w:tc>
            </w:tr>
            <w:tr w14:paraId="13D9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14:paraId="49EA3AD1">
                  <w:pPr>
                    <w:jc w:val="center"/>
                    <w:rPr>
                      <w:color w:val="000000" w:themeColor="text1"/>
                      <w:kern w:val="0"/>
                      <w:szCs w:val="21"/>
                      <w:vertAlign w:val="subscript"/>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22" w:type="dxa"/>
                  <w:tcBorders>
                    <w:tl2br w:val="nil"/>
                    <w:tr2bl w:val="nil"/>
                  </w:tcBorders>
                  <w:vAlign w:val="center"/>
                </w:tcPr>
                <w:p w14:paraId="000D9F00">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29.6</w:t>
                  </w:r>
                </w:p>
              </w:tc>
              <w:tc>
                <w:tcPr>
                  <w:tcW w:w="401" w:type="pct"/>
                  <w:tcBorders>
                    <w:tl2br w:val="nil"/>
                    <w:tr2bl w:val="nil"/>
                  </w:tcBorders>
                  <w:vAlign w:val="center"/>
                </w:tcPr>
                <w:p w14:paraId="4076972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435E77A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64" w:type="pct"/>
                  <w:tcBorders>
                    <w:tl2br w:val="nil"/>
                    <w:tr2bl w:val="nil"/>
                  </w:tcBorders>
                  <w:vAlign w:val="center"/>
                </w:tcPr>
                <w:p w14:paraId="3085F5FB">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湿式作业90%、</w:t>
                  </w:r>
                  <w:r>
                    <w:rPr>
                      <w:rFonts w:hint="eastAsia"/>
                      <w:color w:val="000000" w:themeColor="text1"/>
                      <w:kern w:val="0"/>
                      <w:szCs w:val="21"/>
                      <w14:textFill>
                        <w14:solidFill>
                          <w14:schemeClr w14:val="tx1"/>
                        </w14:solidFill>
                      </w14:textFill>
                    </w:rPr>
                    <w:t>生产厂房控制逸散78%</w:t>
                  </w:r>
                </w:p>
              </w:tc>
              <w:tc>
                <w:tcPr>
                  <w:tcW w:w="822" w:type="dxa"/>
                  <w:tcBorders>
                    <w:tl2br w:val="nil"/>
                    <w:tr2bl w:val="nil"/>
                  </w:tcBorders>
                  <w:vAlign w:val="center"/>
                </w:tcPr>
                <w:p w14:paraId="1412851F">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0.65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411" w:type="pct"/>
                  <w:tcBorders>
                    <w:tl2br w:val="nil"/>
                    <w:tr2bl w:val="nil"/>
                  </w:tcBorders>
                  <w:vAlign w:val="center"/>
                </w:tcPr>
                <w:p w14:paraId="4C706E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1F8CA29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26" w:type="dxa"/>
                  <w:tcBorders>
                    <w:tl2br w:val="nil"/>
                    <w:tr2bl w:val="nil"/>
                  </w:tcBorders>
                  <w:vAlign w:val="center"/>
                </w:tcPr>
                <w:p w14:paraId="200F9633">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410" w:type="pct"/>
                  <w:tcBorders>
                    <w:tl2br w:val="nil"/>
                    <w:tr2bl w:val="nil"/>
                  </w:tcBorders>
                  <w:vAlign w:val="center"/>
                </w:tcPr>
                <w:p w14:paraId="0050200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10" w:type="pct"/>
                  <w:tcBorders>
                    <w:tl2br w:val="nil"/>
                    <w:tr2bl w:val="nil"/>
                  </w:tcBorders>
                  <w:vAlign w:val="center"/>
                </w:tcPr>
                <w:p w14:paraId="5DEB0E7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64DD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14:paraId="4645A41A">
                  <w:pPr>
                    <w:jc w:val="center"/>
                    <w:rPr>
                      <w:color w:val="000000" w:themeColor="text1"/>
                      <w:kern w:val="0"/>
                      <w:szCs w:val="21"/>
                      <w:vertAlign w:val="subscript"/>
                      <w14:textFill>
                        <w14:solidFill>
                          <w14:schemeClr w14:val="tx1"/>
                        </w14:solidFill>
                      </w14:textFill>
                    </w:rPr>
                  </w:pPr>
                  <w:r>
                    <w:rPr>
                      <w:rFonts w:hint="eastAsia"/>
                      <w:color w:val="000000" w:themeColor="text1"/>
                      <w:kern w:val="0"/>
                      <w:szCs w:val="21"/>
                      <w14:textFill>
                        <w14:solidFill>
                          <w14:schemeClr w14:val="tx1"/>
                        </w14:solidFill>
                      </w14:textFill>
                    </w:rPr>
                    <w:t>氨</w:t>
                  </w:r>
                </w:p>
              </w:tc>
              <w:tc>
                <w:tcPr>
                  <w:tcW w:w="822" w:type="dxa"/>
                  <w:tcBorders>
                    <w:tl2br w:val="nil"/>
                    <w:tr2bl w:val="nil"/>
                  </w:tcBorders>
                  <w:vAlign w:val="center"/>
                </w:tcPr>
                <w:p w14:paraId="71F6E403">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.168</w:t>
                  </w:r>
                </w:p>
              </w:tc>
              <w:tc>
                <w:tcPr>
                  <w:tcW w:w="401" w:type="pct"/>
                  <w:tcBorders>
                    <w:tl2br w:val="nil"/>
                    <w:tr2bl w:val="nil"/>
                  </w:tcBorders>
                  <w:vAlign w:val="center"/>
                </w:tcPr>
                <w:p w14:paraId="654DF6C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00F94C0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64" w:type="pct"/>
                  <w:vMerge w:val="restart"/>
                  <w:tcBorders>
                    <w:tl2br w:val="nil"/>
                    <w:tr2bl w:val="nil"/>
                  </w:tcBorders>
                  <w:vAlign w:val="center"/>
                </w:tcPr>
                <w:p w14:paraId="732475F1">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生物除臭喷淋设施（85%），</w:t>
                  </w:r>
                  <w:r>
                    <w:rPr>
                      <w:rFonts w:hint="eastAsia"/>
                      <w:color w:val="000000" w:themeColor="text1"/>
                      <w:kern w:val="0"/>
                      <w:szCs w:val="21"/>
                      <w14:textFill>
                        <w14:solidFill>
                          <w14:schemeClr w14:val="tx1"/>
                        </w14:solidFill>
                      </w14:textFill>
                    </w:rPr>
                    <w:t>车间定期换气</w:t>
                  </w:r>
                </w:p>
              </w:tc>
              <w:tc>
                <w:tcPr>
                  <w:tcW w:w="822" w:type="dxa"/>
                  <w:tcBorders>
                    <w:tl2br w:val="nil"/>
                    <w:tr2bl w:val="nil"/>
                  </w:tcBorders>
                  <w:vAlign w:val="center"/>
                </w:tcPr>
                <w:p w14:paraId="18605544">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0.467</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411" w:type="pct"/>
                  <w:tcBorders>
                    <w:tl2br w:val="nil"/>
                    <w:tr2bl w:val="nil"/>
                  </w:tcBorders>
                  <w:vAlign w:val="center"/>
                </w:tcPr>
                <w:p w14:paraId="0A57EB1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0FDE3D0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26" w:type="dxa"/>
                  <w:tcBorders>
                    <w:tl2br w:val="nil"/>
                    <w:tr2bl w:val="nil"/>
                  </w:tcBorders>
                  <w:vAlign w:val="center"/>
                </w:tcPr>
                <w:p w14:paraId="426FA527">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410" w:type="pct"/>
                  <w:tcBorders>
                    <w:tl2br w:val="nil"/>
                    <w:tr2bl w:val="nil"/>
                  </w:tcBorders>
                  <w:vAlign w:val="center"/>
                </w:tcPr>
                <w:p w14:paraId="2821C47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10" w:type="pct"/>
                  <w:tcBorders>
                    <w:tl2br w:val="nil"/>
                    <w:tr2bl w:val="nil"/>
                  </w:tcBorders>
                  <w:vAlign w:val="center"/>
                </w:tcPr>
                <w:p w14:paraId="1CB6DE7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0A5B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14:paraId="51C37B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硫化氢</w:t>
                  </w:r>
                </w:p>
              </w:tc>
              <w:tc>
                <w:tcPr>
                  <w:tcW w:w="822" w:type="dxa"/>
                  <w:tcBorders>
                    <w:tl2br w:val="nil"/>
                    <w:tr2bl w:val="nil"/>
                  </w:tcBorders>
                  <w:vAlign w:val="center"/>
                </w:tcPr>
                <w:p w14:paraId="6B7CF3BA">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0.752</w:t>
                  </w:r>
                </w:p>
              </w:tc>
              <w:tc>
                <w:tcPr>
                  <w:tcW w:w="401" w:type="pct"/>
                  <w:tcBorders>
                    <w:tl2br w:val="nil"/>
                    <w:tr2bl w:val="nil"/>
                  </w:tcBorders>
                  <w:vAlign w:val="center"/>
                </w:tcPr>
                <w:p w14:paraId="1E6299E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61F740D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64" w:type="pct"/>
                  <w:vMerge w:val="continue"/>
                  <w:tcBorders>
                    <w:tl2br w:val="nil"/>
                    <w:tr2bl w:val="nil"/>
                  </w:tcBorders>
                  <w:vAlign w:val="center"/>
                </w:tcPr>
                <w:p w14:paraId="0B7E2281">
                  <w:pPr>
                    <w:jc w:val="center"/>
                    <w:rPr>
                      <w:color w:val="000000" w:themeColor="text1"/>
                      <w:kern w:val="0"/>
                      <w:szCs w:val="21"/>
                      <w14:textFill>
                        <w14:solidFill>
                          <w14:schemeClr w14:val="tx1"/>
                        </w14:solidFill>
                      </w14:textFill>
                    </w:rPr>
                  </w:pPr>
                </w:p>
              </w:tc>
              <w:tc>
                <w:tcPr>
                  <w:tcW w:w="822" w:type="dxa"/>
                  <w:tcBorders>
                    <w:tl2br w:val="nil"/>
                    <w:tr2bl w:val="nil"/>
                  </w:tcBorders>
                  <w:vAlign w:val="center"/>
                </w:tcPr>
                <w:p w14:paraId="5404B1A4">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411" w:type="pct"/>
                  <w:tcBorders>
                    <w:tl2br w:val="nil"/>
                    <w:tr2bl w:val="nil"/>
                  </w:tcBorders>
                  <w:vAlign w:val="center"/>
                </w:tcPr>
                <w:p w14:paraId="4AD9BA8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1EFB790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826" w:type="dxa"/>
                  <w:tcBorders>
                    <w:tl2br w:val="nil"/>
                    <w:tr2bl w:val="nil"/>
                  </w:tcBorders>
                  <w:vAlign w:val="center"/>
                </w:tcPr>
                <w:p w14:paraId="107AE593">
                  <w:pPr>
                    <w:keepNext w:val="0"/>
                    <w:keepLines w:val="0"/>
                    <w:widowControl/>
                    <w:suppressLineNumbers w:val="0"/>
                    <w:jc w:val="center"/>
                    <w:textAlignment w:val="center"/>
                    <w:rPr>
                      <w:rFonts w:hint="default"/>
                      <w:color w:val="000000" w:themeColor="text1"/>
                      <w:kern w:val="0"/>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06</w:t>
                  </w:r>
                </w:p>
              </w:tc>
              <w:tc>
                <w:tcPr>
                  <w:tcW w:w="410" w:type="pct"/>
                  <w:tcBorders>
                    <w:tl2br w:val="nil"/>
                    <w:tr2bl w:val="nil"/>
                  </w:tcBorders>
                  <w:vAlign w:val="center"/>
                </w:tcPr>
                <w:p w14:paraId="758A12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10" w:type="pct"/>
                  <w:tcBorders>
                    <w:tl2br w:val="nil"/>
                    <w:tr2bl w:val="nil"/>
                  </w:tcBorders>
                  <w:vAlign w:val="center"/>
                </w:tcPr>
                <w:p w14:paraId="459A5E9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r w14:paraId="5136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tcBorders>
                    <w:tl2br w:val="nil"/>
                    <w:tr2bl w:val="nil"/>
                  </w:tcBorders>
                  <w:vAlign w:val="center"/>
                </w:tcPr>
                <w:p w14:paraId="5AB3FED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臭气浓度</w:t>
                  </w:r>
                </w:p>
              </w:tc>
              <w:tc>
                <w:tcPr>
                  <w:tcW w:w="471" w:type="pct"/>
                  <w:tcBorders>
                    <w:tl2br w:val="nil"/>
                    <w:tr2bl w:val="nil"/>
                  </w:tcBorders>
                  <w:vAlign w:val="center"/>
                </w:tcPr>
                <w:p w14:paraId="3D66A40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少量</w:t>
                  </w:r>
                </w:p>
              </w:tc>
              <w:tc>
                <w:tcPr>
                  <w:tcW w:w="401" w:type="pct"/>
                  <w:tcBorders>
                    <w:tl2br w:val="nil"/>
                    <w:tr2bl w:val="nil"/>
                  </w:tcBorders>
                  <w:vAlign w:val="center"/>
                </w:tcPr>
                <w:p w14:paraId="0705172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19B6609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64" w:type="pct"/>
                  <w:vMerge w:val="continue"/>
                  <w:tcBorders>
                    <w:tl2br w:val="nil"/>
                    <w:tr2bl w:val="nil"/>
                  </w:tcBorders>
                  <w:vAlign w:val="center"/>
                </w:tcPr>
                <w:p w14:paraId="0B19E158">
                  <w:pPr>
                    <w:jc w:val="center"/>
                    <w:rPr>
                      <w:color w:val="000000" w:themeColor="text1"/>
                      <w:kern w:val="0"/>
                      <w:szCs w:val="21"/>
                      <w14:textFill>
                        <w14:solidFill>
                          <w14:schemeClr w14:val="tx1"/>
                        </w14:solidFill>
                      </w14:textFill>
                    </w:rPr>
                  </w:pPr>
                </w:p>
              </w:tc>
              <w:tc>
                <w:tcPr>
                  <w:tcW w:w="471" w:type="pct"/>
                  <w:tcBorders>
                    <w:tl2br w:val="nil"/>
                    <w:tr2bl w:val="nil"/>
                  </w:tcBorders>
                  <w:vAlign w:val="center"/>
                </w:tcPr>
                <w:p w14:paraId="70A8794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少量</w:t>
                  </w:r>
                </w:p>
              </w:tc>
              <w:tc>
                <w:tcPr>
                  <w:tcW w:w="411" w:type="pct"/>
                  <w:tcBorders>
                    <w:tl2br w:val="nil"/>
                    <w:tr2bl w:val="nil"/>
                  </w:tcBorders>
                  <w:vAlign w:val="center"/>
                </w:tcPr>
                <w:p w14:paraId="6C8ACE3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3B3F55E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73" w:type="pct"/>
                  <w:tcBorders>
                    <w:tl2br w:val="nil"/>
                    <w:tr2bl w:val="nil"/>
                  </w:tcBorders>
                  <w:vAlign w:val="center"/>
                </w:tcPr>
                <w:p w14:paraId="0EDF759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20无量纲</w:t>
                  </w:r>
                </w:p>
              </w:tc>
              <w:tc>
                <w:tcPr>
                  <w:tcW w:w="410" w:type="pct"/>
                  <w:tcBorders>
                    <w:tl2br w:val="nil"/>
                    <w:tr2bl w:val="nil"/>
                  </w:tcBorders>
                  <w:vAlign w:val="center"/>
                </w:tcPr>
                <w:p w14:paraId="383DC2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410" w:type="pct"/>
                  <w:tcBorders>
                    <w:tl2br w:val="nil"/>
                    <w:tr2bl w:val="nil"/>
                  </w:tcBorders>
                  <w:vAlign w:val="center"/>
                </w:tcPr>
                <w:p w14:paraId="597FA8B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r>
          </w:tbl>
          <w:p w14:paraId="4483C86F">
            <w:pPr>
              <w:numPr>
                <w:ilvl w:val="0"/>
                <w:numId w:val="18"/>
              </w:numPr>
              <w:autoSpaceDE w:val="0"/>
              <w:autoSpaceDN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sz w:val="24"/>
                <w14:textFill>
                  <w14:solidFill>
                    <w14:schemeClr w14:val="tx1"/>
                  </w14:solidFill>
                </w14:textFill>
              </w:rPr>
              <w:t>现有工程情况</w:t>
            </w:r>
          </w:p>
          <w:p w14:paraId="0BD38AC3">
            <w:pPr>
              <w:spacing w:line="360" w:lineRule="auto"/>
              <w:ind w:left="420" w:left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①食堂油烟</w:t>
            </w:r>
          </w:p>
          <w:p w14:paraId="3480C376">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目前，</w:t>
            </w:r>
            <w:r>
              <w:rPr>
                <w:rFonts w:hint="eastAsia"/>
                <w:bCs/>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劳动定员新增6人，依托已</w:t>
            </w:r>
            <w:r>
              <w:rPr>
                <w:color w:val="000000" w:themeColor="text1"/>
                <w:sz w:val="24"/>
                <w14:textFill>
                  <w14:solidFill>
                    <w14:schemeClr w14:val="tx1"/>
                  </w14:solidFill>
                </w14:textFill>
              </w:rPr>
              <w:t>设置</w:t>
            </w:r>
            <w:r>
              <w:rPr>
                <w:rFonts w:hint="eastAsia"/>
                <w:color w:val="000000" w:themeColor="text1"/>
                <w:sz w:val="24"/>
                <w14:textFill>
                  <w14:solidFill>
                    <w14:schemeClr w14:val="tx1"/>
                  </w14:solidFill>
                </w14:textFill>
              </w:rPr>
              <w:t>的中</w:t>
            </w:r>
            <w:r>
              <w:rPr>
                <w:color w:val="000000" w:themeColor="text1"/>
                <w:sz w:val="24"/>
                <w14:textFill>
                  <w14:solidFill>
                    <w14:schemeClr w14:val="tx1"/>
                  </w14:solidFill>
                </w14:textFill>
              </w:rPr>
              <w:t>型规模员工厨房，为员工提供</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厨房油烟废气产生时间约每天</w:t>
            </w:r>
            <w:r>
              <w:rPr>
                <w:rFonts w:hint="eastAsia"/>
                <w:color w:val="000000" w:themeColor="text1"/>
                <w:sz w:val="24"/>
                <w14:textFill>
                  <w14:solidFill>
                    <w14:schemeClr w14:val="tx1"/>
                  </w14:solidFill>
                </w14:textFill>
              </w:rPr>
              <w:t>4</w:t>
            </w:r>
            <w:r>
              <w:rPr>
                <w:rFonts w:eastAsia="Times New Roman"/>
                <w:color w:val="000000" w:themeColor="text1"/>
                <w:sz w:val="24"/>
                <w14:textFill>
                  <w14:solidFill>
                    <w14:schemeClr w14:val="tx1"/>
                  </w14:solidFill>
                </w14:textFill>
              </w:rPr>
              <w:t>h</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333</w:t>
            </w:r>
            <w:r>
              <w:rPr>
                <w:color w:val="000000" w:themeColor="text1"/>
                <w:sz w:val="24"/>
                <w14:textFill>
                  <w14:solidFill>
                    <w14:schemeClr w14:val="tx1"/>
                  </w14:solidFill>
                </w14:textFill>
              </w:rPr>
              <w:t>天。根据对用油情况的类比调查，目前人均食用油用量约4</w:t>
            </w:r>
            <w:r>
              <w:rPr>
                <w:rFonts w:eastAsia="Times New Roman"/>
                <w:color w:val="000000" w:themeColor="text1"/>
                <w:sz w:val="24"/>
                <w14:textFill>
                  <w14:solidFill>
                    <w14:schemeClr w14:val="tx1"/>
                  </w14:solidFill>
                </w14:textFill>
              </w:rPr>
              <w:t>0g/</w:t>
            </w:r>
            <w:r>
              <w:rPr>
                <w:color w:val="000000" w:themeColor="text1"/>
                <w:sz w:val="24"/>
                <w14:textFill>
                  <w14:solidFill>
                    <w14:schemeClr w14:val="tx1"/>
                  </w14:solidFill>
                </w14:textFill>
              </w:rPr>
              <w:t>人</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天，一般油烟挥发量占总耗油量经验取值为</w:t>
            </w:r>
            <w:r>
              <w:rPr>
                <w:rFonts w:eastAsia="Times New Roman"/>
                <w:color w:val="000000" w:themeColor="text1"/>
                <w:sz w:val="24"/>
                <w14:textFill>
                  <w14:solidFill>
                    <w14:schemeClr w14:val="tx1"/>
                  </w14:solidFill>
                </w14:textFill>
              </w:rPr>
              <w:t>2.83%</w:t>
            </w:r>
            <w:r>
              <w:rPr>
                <w:color w:val="000000" w:themeColor="text1"/>
                <w:sz w:val="24"/>
                <w14:textFill>
                  <w14:solidFill>
                    <w14:schemeClr w14:val="tx1"/>
                  </w14:solidFill>
                </w14:textFill>
              </w:rPr>
              <w:t>，则食用油消耗量约</w:t>
            </w:r>
            <w:r>
              <w:rPr>
                <w:rFonts w:hint="eastAsia"/>
                <w:color w:val="000000" w:themeColor="text1"/>
                <w:sz w:val="24"/>
                <w14:textFill>
                  <w14:solidFill>
                    <w14:schemeClr w14:val="tx1"/>
                  </w14:solidFill>
                </w14:textFill>
              </w:rPr>
              <w:t>0.24</w:t>
            </w:r>
            <w:r>
              <w:rPr>
                <w:rFonts w:eastAsia="Times New Roman"/>
                <w:color w:val="000000" w:themeColor="text1"/>
                <w:sz w:val="24"/>
                <w14:textFill>
                  <w14:solidFill>
                    <w14:schemeClr w14:val="tx1"/>
                  </w14:solidFill>
                </w14:textFill>
              </w:rPr>
              <w:t>kg/d</w:t>
            </w:r>
            <w:r>
              <w:rPr>
                <w:color w:val="000000" w:themeColor="text1"/>
                <w:sz w:val="24"/>
                <w14:textFill>
                  <w14:solidFill>
                    <w14:schemeClr w14:val="tx1"/>
                  </w14:solidFill>
                </w14:textFill>
              </w:rPr>
              <w:t>，油烟产生量约0.0</w:t>
            </w:r>
            <w:r>
              <w:rPr>
                <w:rFonts w:hint="eastAsia"/>
                <w:color w:val="000000" w:themeColor="text1"/>
                <w:sz w:val="24"/>
                <w14:textFill>
                  <w14:solidFill>
                    <w14:schemeClr w14:val="tx1"/>
                  </w14:solidFill>
                </w14:textFill>
              </w:rPr>
              <w:t>068</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2.264</w:t>
            </w:r>
            <w:r>
              <w:rPr>
                <w:color w:val="000000" w:themeColor="text1"/>
                <w:sz w:val="24"/>
                <w14:textFill>
                  <w14:solidFill>
                    <w14:schemeClr w14:val="tx1"/>
                  </w14:solidFill>
                </w14:textFill>
              </w:rPr>
              <w:t>kg/a。烹饪使用</w:t>
            </w:r>
            <w:r>
              <w:rPr>
                <w:rFonts w:hint="eastAsia"/>
                <w:color w:val="000000" w:themeColor="text1"/>
                <w:sz w:val="24"/>
                <w14:textFill>
                  <w14:solidFill>
                    <w14:schemeClr w14:val="tx1"/>
                  </w14:solidFill>
                </w14:textFill>
              </w:rPr>
              <w:t>电</w:t>
            </w:r>
            <w:r>
              <w:rPr>
                <w:color w:val="000000" w:themeColor="text1"/>
                <w:sz w:val="24"/>
                <w14:textFill>
                  <w14:solidFill>
                    <w14:schemeClr w14:val="tx1"/>
                  </w14:solidFill>
                </w14:textFill>
              </w:rPr>
              <w:t>作为能源，属清洁能源</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为使其外排油烟可以满足《饮食业油烟排放标准（试行）》（</w:t>
            </w:r>
            <w:r>
              <w:rPr>
                <w:rFonts w:eastAsia="Times New Roman"/>
                <w:color w:val="000000" w:themeColor="text1"/>
                <w:sz w:val="24"/>
                <w14:textFill>
                  <w14:solidFill>
                    <w14:schemeClr w14:val="tx1"/>
                  </w14:solidFill>
                </w14:textFill>
              </w:rPr>
              <w:t>GB18483-2001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型规模相关限值，员工食堂厨房</w:t>
            </w:r>
            <w:r>
              <w:rPr>
                <w:rFonts w:hint="eastAsia"/>
                <w:color w:val="000000" w:themeColor="text1"/>
                <w:sz w:val="24"/>
                <w14:textFill>
                  <w14:solidFill>
                    <w14:schemeClr w14:val="tx1"/>
                  </w14:solidFill>
                </w14:textFill>
              </w:rPr>
              <w:t>已</w:t>
            </w:r>
            <w:r>
              <w:rPr>
                <w:color w:val="000000" w:themeColor="text1"/>
                <w:sz w:val="24"/>
                <w14:textFill>
                  <w14:solidFill>
                    <w14:schemeClr w14:val="tx1"/>
                  </w14:solidFill>
                </w14:textFill>
              </w:rPr>
              <w:t>安装处理效率</w:t>
            </w:r>
            <w:r>
              <w:rPr>
                <w:rFonts w:hint="eastAsia"/>
                <w:color w:val="000000" w:themeColor="text1"/>
                <w:sz w:val="24"/>
                <w14:textFill>
                  <w14:solidFill>
                    <w14:schemeClr w14:val="tx1"/>
                  </w14:solidFill>
                </w14:textFill>
              </w:rPr>
              <w:t>为90%</w:t>
            </w:r>
            <w:r>
              <w:rPr>
                <w:color w:val="000000" w:themeColor="text1"/>
                <w:szCs w:val="21"/>
                <w14:textFill>
                  <w14:solidFill>
                    <w14:schemeClr w14:val="tx1"/>
                  </w14:solidFill>
                </w14:textFill>
              </w:rPr>
              <w:t>的</w:t>
            </w:r>
            <w:r>
              <w:rPr>
                <w:color w:val="000000" w:themeColor="text1"/>
                <w:sz w:val="24"/>
                <w14:textFill>
                  <w14:solidFill>
                    <w14:schemeClr w14:val="tx1"/>
                  </w14:solidFill>
                </w14:textFill>
              </w:rPr>
              <w:t>油烟净化器，排风量约为</w:t>
            </w:r>
            <w:r>
              <w:rPr>
                <w:rFonts w:hint="eastAsia"/>
                <w:color w:val="000000" w:themeColor="text1"/>
                <w:sz w:val="24"/>
                <w14:textFill>
                  <w14:solidFill>
                    <w14:schemeClr w14:val="tx1"/>
                  </w14:solidFill>
                </w14:textFill>
              </w:rPr>
              <w:t>90</w:t>
            </w:r>
            <w:r>
              <w:rPr>
                <w:color w:val="000000" w:themeColor="text1"/>
                <w:sz w:val="24"/>
                <w14:textFill>
                  <w14:solidFill>
                    <w14:schemeClr w14:val="tx1"/>
                  </w14:solidFill>
                </w14:textFill>
              </w:rPr>
              <w:t>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h，排放量约0.0</w:t>
            </w:r>
            <w:r>
              <w:rPr>
                <w:rFonts w:hint="eastAsia"/>
                <w:color w:val="000000" w:themeColor="text1"/>
                <w:sz w:val="24"/>
                <w14:textFill>
                  <w14:solidFill>
                    <w14:schemeClr w14:val="tx1"/>
                  </w14:solidFill>
                </w14:textFill>
              </w:rPr>
              <w:t>0068</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/d</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0.02264</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油烟经净化达到《饮食业油烟排放标准（试行）》（GB18483-2001）中的有关规定即排放浓度≤2mg/m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后，引致厨房油烟集中排烟管道，由员工食堂屋顶1.5m高排气筒排放</w:t>
            </w:r>
            <w:r>
              <w:rPr>
                <w:rFonts w:hint="eastAsia"/>
                <w:color w:val="000000" w:themeColor="text1"/>
                <w:sz w:val="24"/>
                <w14:textFill>
                  <w14:solidFill>
                    <w14:schemeClr w14:val="tx1"/>
                  </w14:solidFill>
                </w14:textFill>
              </w:rPr>
              <w:t>。</w:t>
            </w:r>
          </w:p>
          <w:p w14:paraId="0CDD23D7">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结合现有工程，改扩建后全厂排放量为0.00068+0.0054=0.00608</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，2.0246</w:t>
            </w:r>
            <w:r>
              <w:rPr>
                <w:color w:val="000000" w:themeColor="text1"/>
                <w:sz w:val="24"/>
                <w14:textFill>
                  <w14:solidFill>
                    <w14:schemeClr w14:val="tx1"/>
                  </w14:solidFill>
                </w14:textFill>
              </w:rPr>
              <w:t>kg</w:t>
            </w:r>
            <w:r>
              <w:rPr>
                <w:rFonts w:eastAsia="Times New Roman"/>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p>
          <w:p w14:paraId="4B530383">
            <w:pPr>
              <w:autoSpaceDE w:val="0"/>
              <w:autoSpaceDN w:val="0"/>
              <w:spacing w:line="360" w:lineRule="auto"/>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②热风炉燃料燃烧废气</w:t>
            </w:r>
          </w:p>
          <w:p w14:paraId="0842D7E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根据现有工程验收报告结论：项目有2台热风炉为烘干物料果蔬渣提供热量，其中一级烘干热风炉燃料为生物质颗粒，二级烘干热风炉燃料为生物质颗粒及生产废水处理系统的沼气，2台热风炉的燃料使用量见表4-</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。改扩建后果蔬线90%物料不再进入烘干程序，因此生物质燃料及沼气使用量都相应减少。</w:t>
            </w:r>
          </w:p>
          <w:p w14:paraId="6F6BD10E">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 xml:space="preserve"> 项目热风炉燃料使用</w:t>
            </w:r>
            <w:r>
              <w:rPr>
                <w:b/>
                <w:bCs/>
                <w:color w:val="000000" w:themeColor="text1"/>
                <w14:textFill>
                  <w14:solidFill>
                    <w14:schemeClr w14:val="tx1"/>
                  </w14:solidFill>
                </w14:textFill>
              </w:rPr>
              <w:t>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748"/>
              <w:gridCol w:w="1748"/>
              <w:gridCol w:w="1748"/>
              <w:gridCol w:w="1748"/>
            </w:tblGrid>
            <w:tr w14:paraId="4E3B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00722C3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1001" w:type="pct"/>
                  <w:vAlign w:val="center"/>
                </w:tcPr>
                <w:p w14:paraId="7E208F9E">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竣工验收生物质颗粒使用量</w:t>
                  </w:r>
                </w:p>
              </w:tc>
              <w:tc>
                <w:tcPr>
                  <w:tcW w:w="1001" w:type="pct"/>
                  <w:vAlign w:val="center"/>
                </w:tcPr>
                <w:p w14:paraId="66412CD6">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竣工验收沼气使用量</w:t>
                  </w:r>
                </w:p>
              </w:tc>
              <w:tc>
                <w:tcPr>
                  <w:tcW w:w="1001" w:type="pct"/>
                  <w:vAlign w:val="center"/>
                </w:tcPr>
                <w:p w14:paraId="7D3D6780">
                  <w:pP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改扩建后生物质颗粒拟使用量</w:t>
                  </w:r>
                </w:p>
              </w:tc>
              <w:tc>
                <w:tcPr>
                  <w:tcW w:w="1001" w:type="pct"/>
                  <w:vAlign w:val="center"/>
                </w:tcPr>
                <w:p w14:paraId="4491283D">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改扩建后沼气</w:t>
                  </w:r>
                </w:p>
                <w:p w14:paraId="775596C7">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拟使用量</w:t>
                  </w:r>
                </w:p>
              </w:tc>
            </w:tr>
            <w:tr w14:paraId="5B0F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58CB4B2B">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一级烘干热风炉</w:t>
                  </w:r>
                </w:p>
              </w:tc>
              <w:tc>
                <w:tcPr>
                  <w:tcW w:w="1001" w:type="pct"/>
                  <w:vAlign w:val="center"/>
                </w:tcPr>
                <w:p w14:paraId="358CC8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5743t/a</w:t>
                  </w:r>
                </w:p>
              </w:tc>
              <w:tc>
                <w:tcPr>
                  <w:tcW w:w="1001" w:type="pct"/>
                  <w:vAlign w:val="center"/>
                </w:tcPr>
                <w:p w14:paraId="1878A11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001" w:type="pct"/>
                  <w:vAlign w:val="center"/>
                </w:tcPr>
                <w:p w14:paraId="068C39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574.3t/a</w:t>
                  </w:r>
                </w:p>
              </w:tc>
              <w:tc>
                <w:tcPr>
                  <w:tcW w:w="1001" w:type="pct"/>
                  <w:vAlign w:val="center"/>
                </w:tcPr>
                <w:p w14:paraId="316C6A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2B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vAlign w:val="center"/>
                </w:tcPr>
                <w:p w14:paraId="626AAED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二级烘干热风炉</w:t>
                  </w:r>
                </w:p>
              </w:tc>
              <w:tc>
                <w:tcPr>
                  <w:tcW w:w="1001" w:type="pct"/>
                  <w:vAlign w:val="center"/>
                </w:tcPr>
                <w:p w14:paraId="6D0E648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5289t/a</w:t>
                  </w:r>
                </w:p>
              </w:tc>
              <w:tc>
                <w:tcPr>
                  <w:tcW w:w="1001" w:type="pct"/>
                  <w:vAlign w:val="center"/>
                </w:tcPr>
                <w:p w14:paraId="0A72FB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110.97万m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1001" w:type="pct"/>
                  <w:vAlign w:val="center"/>
                </w:tcPr>
                <w:p w14:paraId="5B9A61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528.9t/a</w:t>
                  </w:r>
                </w:p>
              </w:tc>
              <w:tc>
                <w:tcPr>
                  <w:tcW w:w="1001" w:type="pct"/>
                  <w:vAlign w:val="center"/>
                </w:tcPr>
                <w:p w14:paraId="6E066A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11.097万m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r>
          </w:tbl>
          <w:p w14:paraId="0B5B1B26">
            <w:pPr>
              <w:spacing w:before="48" w:beforeLines="20" w:line="360" w:lineRule="auto"/>
              <w:jc w:val="center"/>
              <w:rPr>
                <w:b/>
                <w:bCs/>
                <w:color w:val="000000" w:themeColor="text1"/>
                <w:sz w:val="24"/>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t>热风炉燃料燃烧废气排放总量一览表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74"/>
              <w:gridCol w:w="860"/>
              <w:gridCol w:w="1159"/>
              <w:gridCol w:w="1256"/>
              <w:gridCol w:w="1061"/>
              <w:gridCol w:w="1155"/>
              <w:gridCol w:w="1196"/>
              <w:gridCol w:w="1158"/>
            </w:tblGrid>
            <w:tr w14:paraId="00E4D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restart"/>
                  <w:vAlign w:val="center"/>
                </w:tcPr>
                <w:p w14:paraId="3AA069BF">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排气筒</w:t>
                  </w:r>
                </w:p>
              </w:tc>
              <w:tc>
                <w:tcPr>
                  <w:tcW w:w="496" w:type="pct"/>
                  <w:vMerge w:val="restart"/>
                  <w:vAlign w:val="center"/>
                </w:tcPr>
                <w:p w14:paraId="6D0F0F70">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污染物指标</w:t>
                  </w:r>
                </w:p>
              </w:tc>
              <w:tc>
                <w:tcPr>
                  <w:tcW w:w="2001" w:type="pct"/>
                  <w:gridSpan w:val="3"/>
                  <w:vAlign w:val="center"/>
                </w:tcPr>
                <w:p w14:paraId="44A1C7D2">
                  <w:pPr>
                    <w:spacing w:before="48" w:beforeLines="2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现有工程</w:t>
                  </w:r>
                  <w:r>
                    <w:rPr>
                      <w:b/>
                      <w:bCs/>
                      <w:color w:val="000000" w:themeColor="text1"/>
                      <w:szCs w:val="21"/>
                      <w14:textFill>
                        <w14:solidFill>
                          <w14:schemeClr w14:val="tx1"/>
                        </w14:solidFill>
                      </w14:textFill>
                    </w:rPr>
                    <w:t>验收阶段</w:t>
                  </w:r>
                </w:p>
              </w:tc>
              <w:tc>
                <w:tcPr>
                  <w:tcW w:w="1996" w:type="pct"/>
                  <w:gridSpan w:val="3"/>
                  <w:vAlign w:val="center"/>
                </w:tcPr>
                <w:p w14:paraId="6BA9622B">
                  <w:pPr>
                    <w:spacing w:before="48" w:beforeLines="2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改扩建后</w:t>
                  </w:r>
                </w:p>
              </w:tc>
            </w:tr>
            <w:tr w14:paraId="6687A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527A892D">
                  <w:pPr>
                    <w:spacing w:before="48" w:beforeLines="20"/>
                    <w:jc w:val="center"/>
                    <w:rPr>
                      <w:b/>
                      <w:bCs/>
                      <w:color w:val="000000" w:themeColor="text1"/>
                      <w:szCs w:val="21"/>
                      <w14:textFill>
                        <w14:solidFill>
                          <w14:schemeClr w14:val="tx1"/>
                        </w14:solidFill>
                      </w14:textFill>
                    </w:rPr>
                  </w:pPr>
                </w:p>
              </w:tc>
              <w:tc>
                <w:tcPr>
                  <w:tcW w:w="496" w:type="pct"/>
                  <w:vMerge w:val="continue"/>
                  <w:vAlign w:val="center"/>
                </w:tcPr>
                <w:p w14:paraId="6F2803BA">
                  <w:pPr>
                    <w:spacing w:before="48" w:beforeLines="20"/>
                    <w:jc w:val="center"/>
                    <w:rPr>
                      <w:b/>
                      <w:bCs/>
                      <w:color w:val="000000" w:themeColor="text1"/>
                      <w:szCs w:val="21"/>
                      <w14:textFill>
                        <w14:solidFill>
                          <w14:schemeClr w14:val="tx1"/>
                        </w14:solidFill>
                      </w14:textFill>
                    </w:rPr>
                  </w:pPr>
                </w:p>
              </w:tc>
              <w:tc>
                <w:tcPr>
                  <w:tcW w:w="667" w:type="pct"/>
                  <w:vAlign w:val="center"/>
                </w:tcPr>
                <w:p w14:paraId="3F62D159">
                  <w:pPr>
                    <w:spacing w:before="48" w:beforeLines="2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p w14:paraId="7DA1A0CC">
                  <w:pPr>
                    <w:spacing w:before="48" w:beforeLines="20"/>
                    <w:jc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（根据验收监测工况95%折算）</w:t>
                  </w:r>
                </w:p>
              </w:tc>
              <w:tc>
                <w:tcPr>
                  <w:tcW w:w="723" w:type="pct"/>
                  <w:vAlign w:val="center"/>
                </w:tcPr>
                <w:p w14:paraId="732C12A6">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11" w:type="pct"/>
                  <w:vAlign w:val="center"/>
                </w:tcPr>
                <w:p w14:paraId="2558A314">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w:t>
                  </w:r>
                  <w:r>
                    <w:rPr>
                      <w:rFonts w:hint="eastAsia"/>
                      <w:b/>
                      <w:bCs/>
                      <w:color w:val="000000" w:themeColor="text1"/>
                      <w:szCs w:val="21"/>
                      <w14:textFill>
                        <w14:solidFill>
                          <w14:schemeClr w14:val="tx1"/>
                        </w14:solidFill>
                      </w14:textFill>
                    </w:rPr>
                    <w:t>率</w:t>
                  </w:r>
                  <w:r>
                    <w:rPr>
                      <w:color w:val="000000" w:themeColor="text1"/>
                      <w:szCs w:val="21"/>
                      <w14:textFill>
                        <w14:solidFill>
                          <w14:schemeClr w14:val="tx1"/>
                        </w14:solidFill>
                      </w14:textFill>
                    </w:rPr>
                    <w:t>（kg/h）</w:t>
                  </w:r>
                </w:p>
              </w:tc>
              <w:tc>
                <w:tcPr>
                  <w:tcW w:w="665" w:type="pct"/>
                  <w:vAlign w:val="center"/>
                </w:tcPr>
                <w:p w14:paraId="0C742CD1">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排放总量</w:t>
                  </w:r>
                  <w:r>
                    <w:rPr>
                      <w:color w:val="000000" w:themeColor="text1"/>
                      <w:szCs w:val="21"/>
                      <w14:textFill>
                        <w14:solidFill>
                          <w14:schemeClr w14:val="tx1"/>
                        </w14:solidFill>
                      </w14:textFill>
                    </w:rPr>
                    <w:t>（t/a）</w:t>
                  </w:r>
                </w:p>
              </w:tc>
              <w:tc>
                <w:tcPr>
                  <w:tcW w:w="665" w:type="pct"/>
                  <w:vAlign w:val="center"/>
                </w:tcPr>
                <w:p w14:paraId="2BF3C3F4">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排放浓度（</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w:t>
                  </w:r>
                </w:p>
              </w:tc>
              <w:tc>
                <w:tcPr>
                  <w:tcW w:w="666" w:type="pct"/>
                  <w:vAlign w:val="center"/>
                </w:tcPr>
                <w:p w14:paraId="4C3BA99B">
                  <w:pPr>
                    <w:spacing w:before="48" w:beforeLines="2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排放速</w:t>
                  </w:r>
                  <w:r>
                    <w:rPr>
                      <w:rFonts w:hint="eastAsia"/>
                      <w:b/>
                      <w:bCs/>
                      <w:color w:val="000000" w:themeColor="text1"/>
                      <w:szCs w:val="21"/>
                      <w14:textFill>
                        <w14:solidFill>
                          <w14:schemeClr w14:val="tx1"/>
                        </w14:solidFill>
                      </w14:textFill>
                    </w:rPr>
                    <w:t>率</w:t>
                  </w:r>
                  <w:r>
                    <w:rPr>
                      <w:color w:val="000000" w:themeColor="text1"/>
                      <w:szCs w:val="21"/>
                      <w14:textFill>
                        <w14:solidFill>
                          <w14:schemeClr w14:val="tx1"/>
                        </w14:solidFill>
                      </w14:textFill>
                    </w:rPr>
                    <w:t>（kg/h）</w:t>
                  </w:r>
                </w:p>
              </w:tc>
            </w:tr>
            <w:tr w14:paraId="630D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504" w:type="pct"/>
                  <w:vMerge w:val="restart"/>
                  <w:vAlign w:val="center"/>
                </w:tcPr>
                <w:p w14:paraId="4E2D2FB4">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496" w:type="pct"/>
                  <w:vAlign w:val="center"/>
                </w:tcPr>
                <w:p w14:paraId="5EC0A503">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667" w:type="pct"/>
                  <w:vAlign w:val="center"/>
                </w:tcPr>
                <w:p w14:paraId="453ED4E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0.421 </w:t>
                  </w:r>
                </w:p>
              </w:tc>
              <w:tc>
                <w:tcPr>
                  <w:tcW w:w="723" w:type="pct"/>
                  <w:vAlign w:val="center"/>
                </w:tcPr>
                <w:p w14:paraId="7F02FB9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611" w:type="pct"/>
                  <w:vAlign w:val="center"/>
                </w:tcPr>
                <w:p w14:paraId="3A9D8075">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1063" w:type="dxa"/>
                  <w:vAlign w:val="center"/>
                </w:tcPr>
                <w:p w14:paraId="0F5B095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0.0421</w:t>
                  </w:r>
                </w:p>
              </w:tc>
              <w:tc>
                <w:tcPr>
                  <w:tcW w:w="1196" w:type="dxa"/>
                  <w:vAlign w:val="center"/>
                </w:tcPr>
                <w:p w14:paraId="6D10A760">
                  <w:pPr>
                    <w:spacing w:before="48" w:beforeLines="20"/>
                    <w:jc w:val="center"/>
                    <w:rPr>
                      <w:color w:val="000000" w:themeColor="text1"/>
                      <w:szCs w:val="21"/>
                      <w:highlight w:val="yellow"/>
                      <w14:textFill>
                        <w14:solidFill>
                          <w14:schemeClr w14:val="tx1"/>
                        </w14:solidFill>
                      </w14:textFill>
                    </w:rPr>
                  </w:pPr>
                  <w:r>
                    <w:rPr>
                      <w:rFonts w:hint="eastAsia"/>
                      <w:color w:val="000000" w:themeColor="text1"/>
                      <w:szCs w:val="21"/>
                      <w:highlight w:val="yellow"/>
                      <w14:textFill>
                        <w14:solidFill>
                          <w14:schemeClr w14:val="tx1"/>
                        </w14:solidFill>
                      </w14:textFill>
                    </w:rPr>
                    <w:t>6</w:t>
                  </w:r>
                </w:p>
              </w:tc>
              <w:tc>
                <w:tcPr>
                  <w:tcW w:w="1083" w:type="dxa"/>
                  <w:vAlign w:val="center"/>
                </w:tcPr>
                <w:p w14:paraId="140C90E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0.06</w:t>
                  </w:r>
                </w:p>
              </w:tc>
            </w:tr>
            <w:tr w14:paraId="1A454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3F3F3E4C">
                  <w:pPr>
                    <w:spacing w:before="48" w:beforeLines="20"/>
                    <w:jc w:val="center"/>
                    <w:rPr>
                      <w:color w:val="000000" w:themeColor="text1"/>
                      <w:szCs w:val="21"/>
                      <w14:textFill>
                        <w14:solidFill>
                          <w14:schemeClr w14:val="tx1"/>
                        </w14:solidFill>
                      </w14:textFill>
                    </w:rPr>
                  </w:pPr>
                </w:p>
              </w:tc>
              <w:tc>
                <w:tcPr>
                  <w:tcW w:w="496" w:type="pct"/>
                  <w:vAlign w:val="center"/>
                </w:tcPr>
                <w:p w14:paraId="01606FD6">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67" w:type="pct"/>
                  <w:vAlign w:val="center"/>
                </w:tcPr>
                <w:p w14:paraId="3D540B93">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0.974 </w:t>
                  </w:r>
                </w:p>
              </w:tc>
              <w:tc>
                <w:tcPr>
                  <w:tcW w:w="723" w:type="pct"/>
                  <w:vAlign w:val="center"/>
                </w:tcPr>
                <w:p w14:paraId="4BE549A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13.7</w:t>
                  </w:r>
                </w:p>
              </w:tc>
              <w:tc>
                <w:tcPr>
                  <w:tcW w:w="611" w:type="pct"/>
                  <w:vAlign w:val="center"/>
                </w:tcPr>
                <w:p w14:paraId="2D6CB53D">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0.139</w:t>
                  </w:r>
                </w:p>
              </w:tc>
              <w:tc>
                <w:tcPr>
                  <w:tcW w:w="1063" w:type="dxa"/>
                  <w:vAlign w:val="center"/>
                </w:tcPr>
                <w:p w14:paraId="6A1E5D4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0.0974</w:t>
                  </w:r>
                </w:p>
              </w:tc>
              <w:tc>
                <w:tcPr>
                  <w:tcW w:w="1196" w:type="dxa"/>
                  <w:vAlign w:val="center"/>
                </w:tcPr>
                <w:p w14:paraId="4045FA5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13.7</w:t>
                  </w:r>
                </w:p>
              </w:tc>
              <w:tc>
                <w:tcPr>
                  <w:tcW w:w="1083" w:type="dxa"/>
                  <w:vAlign w:val="center"/>
                </w:tcPr>
                <w:p w14:paraId="1F326DF1">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0.139</w:t>
                  </w:r>
                </w:p>
              </w:tc>
            </w:tr>
            <w:tr w14:paraId="38DEE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4215A352">
                  <w:pPr>
                    <w:spacing w:before="48" w:beforeLines="20"/>
                    <w:jc w:val="center"/>
                    <w:rPr>
                      <w:color w:val="000000" w:themeColor="text1"/>
                      <w:szCs w:val="21"/>
                      <w14:textFill>
                        <w14:solidFill>
                          <w14:schemeClr w14:val="tx1"/>
                        </w14:solidFill>
                      </w14:textFill>
                    </w:rPr>
                  </w:pPr>
                </w:p>
              </w:tc>
              <w:tc>
                <w:tcPr>
                  <w:tcW w:w="496" w:type="pct"/>
                  <w:vAlign w:val="center"/>
                </w:tcPr>
                <w:p w14:paraId="2C36036C">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667" w:type="pct"/>
                  <w:vAlign w:val="center"/>
                </w:tcPr>
                <w:p w14:paraId="557FC1D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2.033 </w:t>
                  </w:r>
                </w:p>
              </w:tc>
              <w:tc>
                <w:tcPr>
                  <w:tcW w:w="723" w:type="pct"/>
                  <w:vAlign w:val="center"/>
                </w:tcPr>
                <w:p w14:paraId="37142155">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611" w:type="pct"/>
                  <w:vAlign w:val="center"/>
                </w:tcPr>
                <w:p w14:paraId="7BB10D3E">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0.29</w:t>
                  </w:r>
                </w:p>
              </w:tc>
              <w:tc>
                <w:tcPr>
                  <w:tcW w:w="1063" w:type="dxa"/>
                  <w:vAlign w:val="center"/>
                </w:tcPr>
                <w:p w14:paraId="4B13F6A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0.2033</w:t>
                  </w:r>
                </w:p>
              </w:tc>
              <w:tc>
                <w:tcPr>
                  <w:tcW w:w="1196" w:type="dxa"/>
                  <w:vAlign w:val="center"/>
                </w:tcPr>
                <w:p w14:paraId="4739C50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26</w:t>
                  </w:r>
                </w:p>
              </w:tc>
              <w:tc>
                <w:tcPr>
                  <w:tcW w:w="1083" w:type="dxa"/>
                  <w:vAlign w:val="center"/>
                </w:tcPr>
                <w:p w14:paraId="17394B66">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0.29</w:t>
                  </w:r>
                </w:p>
              </w:tc>
            </w:tr>
            <w:tr w14:paraId="2D37E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18916CC2">
                  <w:pPr>
                    <w:spacing w:before="48" w:beforeLines="20"/>
                    <w:jc w:val="center"/>
                    <w:rPr>
                      <w:color w:val="000000" w:themeColor="text1"/>
                      <w:szCs w:val="21"/>
                      <w14:textFill>
                        <w14:solidFill>
                          <w14:schemeClr w14:val="tx1"/>
                        </w14:solidFill>
                      </w14:textFill>
                    </w:rPr>
                  </w:pPr>
                </w:p>
              </w:tc>
              <w:tc>
                <w:tcPr>
                  <w:tcW w:w="496" w:type="pct"/>
                  <w:vAlign w:val="center"/>
                </w:tcPr>
                <w:p w14:paraId="5DAF3C28">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667" w:type="pct"/>
                  <w:vAlign w:val="center"/>
                </w:tcPr>
                <w:p w14:paraId="6396820F">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0.128 </w:t>
                  </w:r>
                </w:p>
              </w:tc>
              <w:tc>
                <w:tcPr>
                  <w:tcW w:w="723" w:type="pct"/>
                  <w:vAlign w:val="center"/>
                </w:tcPr>
                <w:p w14:paraId="763B12B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611" w:type="pct"/>
                  <w:vAlign w:val="center"/>
                </w:tcPr>
                <w:p w14:paraId="1AA10442">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0.0182</w:t>
                  </w:r>
                </w:p>
              </w:tc>
              <w:tc>
                <w:tcPr>
                  <w:tcW w:w="1063" w:type="dxa"/>
                  <w:vAlign w:val="center"/>
                </w:tcPr>
                <w:p w14:paraId="565F737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0.0128</w:t>
                  </w:r>
                </w:p>
              </w:tc>
              <w:tc>
                <w:tcPr>
                  <w:tcW w:w="1196" w:type="dxa"/>
                  <w:vAlign w:val="center"/>
                </w:tcPr>
                <w:p w14:paraId="54866F0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1.8</w:t>
                  </w:r>
                </w:p>
              </w:tc>
              <w:tc>
                <w:tcPr>
                  <w:tcW w:w="1083" w:type="dxa"/>
                  <w:vAlign w:val="center"/>
                </w:tcPr>
                <w:p w14:paraId="4C131C02">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0.0182</w:t>
                  </w:r>
                </w:p>
              </w:tc>
            </w:tr>
            <w:tr w14:paraId="43389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504" w:type="pct"/>
                  <w:vMerge w:val="continue"/>
                  <w:vAlign w:val="center"/>
                </w:tcPr>
                <w:p w14:paraId="76FD15DD">
                  <w:pPr>
                    <w:spacing w:before="48" w:beforeLines="20"/>
                    <w:jc w:val="center"/>
                    <w:rPr>
                      <w:color w:val="000000" w:themeColor="text1"/>
                      <w:szCs w:val="21"/>
                      <w14:textFill>
                        <w14:solidFill>
                          <w14:schemeClr w14:val="tx1"/>
                        </w14:solidFill>
                      </w14:textFill>
                    </w:rPr>
                  </w:pPr>
                </w:p>
              </w:tc>
              <w:tc>
                <w:tcPr>
                  <w:tcW w:w="496" w:type="pct"/>
                  <w:vAlign w:val="center"/>
                </w:tcPr>
                <w:p w14:paraId="4479A5CB">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667" w:type="pct"/>
                  <w:vAlign w:val="center"/>
                </w:tcPr>
                <w:p w14:paraId="2050FFB9">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0.026 </w:t>
                  </w:r>
                </w:p>
              </w:tc>
              <w:tc>
                <w:tcPr>
                  <w:tcW w:w="723" w:type="pct"/>
                  <w:vAlign w:val="center"/>
                </w:tcPr>
                <w:p w14:paraId="6ADAE1B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611" w:type="pct"/>
                  <w:vAlign w:val="center"/>
                </w:tcPr>
                <w:p w14:paraId="11B2224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0.0037</w:t>
                  </w:r>
                </w:p>
              </w:tc>
              <w:tc>
                <w:tcPr>
                  <w:tcW w:w="1063" w:type="dxa"/>
                  <w:vAlign w:val="center"/>
                </w:tcPr>
                <w:p w14:paraId="08CE9694">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0.0026</w:t>
                  </w:r>
                </w:p>
              </w:tc>
              <w:tc>
                <w:tcPr>
                  <w:tcW w:w="1196" w:type="dxa"/>
                  <w:vAlign w:val="center"/>
                </w:tcPr>
                <w:p w14:paraId="518D7696">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0.36</w:t>
                  </w:r>
                </w:p>
              </w:tc>
              <w:tc>
                <w:tcPr>
                  <w:tcW w:w="1083" w:type="dxa"/>
                  <w:vAlign w:val="center"/>
                </w:tcPr>
                <w:p w14:paraId="4A36E271">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0.0037</w:t>
                  </w:r>
                </w:p>
              </w:tc>
            </w:tr>
            <w:tr w14:paraId="55376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restart"/>
                  <w:vAlign w:val="center"/>
                </w:tcPr>
                <w:p w14:paraId="151D0F09">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DA002</w:t>
                  </w:r>
                </w:p>
              </w:tc>
              <w:tc>
                <w:tcPr>
                  <w:tcW w:w="496" w:type="pct"/>
                  <w:vAlign w:val="center"/>
                </w:tcPr>
                <w:p w14:paraId="0712EC5D">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667" w:type="pct"/>
                  <w:vAlign w:val="center"/>
                </w:tcPr>
                <w:p w14:paraId="194C03D3">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0.701 </w:t>
                  </w:r>
                </w:p>
              </w:tc>
              <w:tc>
                <w:tcPr>
                  <w:tcW w:w="723" w:type="pct"/>
                  <w:vAlign w:val="center"/>
                </w:tcPr>
                <w:p w14:paraId="2910E67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611" w:type="pct"/>
                  <w:vAlign w:val="center"/>
                </w:tcPr>
                <w:p w14:paraId="5FE47CC3">
                  <w:pPr>
                    <w:spacing w:before="48" w:beforeLines="2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0.1</w:t>
                  </w:r>
                </w:p>
              </w:tc>
              <w:tc>
                <w:tcPr>
                  <w:tcW w:w="1063" w:type="dxa"/>
                  <w:vAlign w:val="center"/>
                </w:tcPr>
                <w:p w14:paraId="1E963BC8">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0.0701</w:t>
                  </w:r>
                </w:p>
              </w:tc>
              <w:tc>
                <w:tcPr>
                  <w:tcW w:w="1196" w:type="dxa"/>
                  <w:vAlign w:val="center"/>
                </w:tcPr>
                <w:p w14:paraId="4442688D">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7</w:t>
                  </w:r>
                </w:p>
              </w:tc>
              <w:tc>
                <w:tcPr>
                  <w:tcW w:w="1083" w:type="dxa"/>
                  <w:vAlign w:val="center"/>
                </w:tcPr>
                <w:p w14:paraId="7073B772">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0.1</w:t>
                  </w:r>
                </w:p>
              </w:tc>
            </w:tr>
            <w:tr w14:paraId="22FEE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504" w:type="pct"/>
                  <w:vMerge w:val="continue"/>
                  <w:vAlign w:val="center"/>
                </w:tcPr>
                <w:p w14:paraId="16F7D344">
                  <w:pPr>
                    <w:spacing w:before="48" w:beforeLines="20"/>
                    <w:jc w:val="center"/>
                    <w:rPr>
                      <w:color w:val="000000" w:themeColor="text1"/>
                      <w:szCs w:val="21"/>
                      <w14:textFill>
                        <w14:solidFill>
                          <w14:schemeClr w14:val="tx1"/>
                        </w14:solidFill>
                      </w14:textFill>
                    </w:rPr>
                  </w:pPr>
                </w:p>
              </w:tc>
              <w:tc>
                <w:tcPr>
                  <w:tcW w:w="496" w:type="pct"/>
                  <w:vAlign w:val="center"/>
                </w:tcPr>
                <w:p w14:paraId="06606AE7">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67" w:type="pct"/>
                  <w:vAlign w:val="center"/>
                </w:tcPr>
                <w:p w14:paraId="2AEA32B4">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0.981 </w:t>
                  </w:r>
                </w:p>
              </w:tc>
              <w:tc>
                <w:tcPr>
                  <w:tcW w:w="723" w:type="pct"/>
                  <w:vAlign w:val="center"/>
                </w:tcPr>
                <w:p w14:paraId="7C8B0991">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611" w:type="pct"/>
                  <w:vAlign w:val="center"/>
                </w:tcPr>
                <w:p w14:paraId="324E831E">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4</w:t>
                  </w:r>
                </w:p>
              </w:tc>
              <w:tc>
                <w:tcPr>
                  <w:tcW w:w="1063" w:type="dxa"/>
                  <w:vAlign w:val="center"/>
                </w:tcPr>
                <w:p w14:paraId="44DB58F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0.0981</w:t>
                  </w:r>
                </w:p>
              </w:tc>
              <w:tc>
                <w:tcPr>
                  <w:tcW w:w="1196" w:type="dxa"/>
                  <w:vAlign w:val="center"/>
                </w:tcPr>
                <w:p w14:paraId="687F59FC">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7.7</w:t>
                  </w:r>
                </w:p>
              </w:tc>
              <w:tc>
                <w:tcPr>
                  <w:tcW w:w="1083" w:type="dxa"/>
                  <w:vAlign w:val="center"/>
                </w:tcPr>
                <w:p w14:paraId="7C1101EE">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14:textFill>
                        <w14:solidFill>
                          <w14:schemeClr w14:val="tx1"/>
                        </w14:solidFill>
                      </w14:textFill>
                    </w:rPr>
                    <w:t>4</w:t>
                  </w:r>
                </w:p>
              </w:tc>
            </w:tr>
            <w:tr w14:paraId="6D435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1F6D2798">
                  <w:pPr>
                    <w:spacing w:before="48" w:beforeLines="20"/>
                    <w:jc w:val="center"/>
                    <w:rPr>
                      <w:color w:val="000000" w:themeColor="text1"/>
                      <w:szCs w:val="21"/>
                      <w14:textFill>
                        <w14:solidFill>
                          <w14:schemeClr w14:val="tx1"/>
                        </w14:solidFill>
                      </w14:textFill>
                    </w:rPr>
                  </w:pPr>
                </w:p>
              </w:tc>
              <w:tc>
                <w:tcPr>
                  <w:tcW w:w="496" w:type="pct"/>
                  <w:vAlign w:val="center"/>
                </w:tcPr>
                <w:p w14:paraId="20D893C8">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667" w:type="pct"/>
                  <w:vAlign w:val="center"/>
                </w:tcPr>
                <w:p w14:paraId="6EBB0C9E">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6.239 </w:t>
                  </w:r>
                </w:p>
              </w:tc>
              <w:tc>
                <w:tcPr>
                  <w:tcW w:w="723" w:type="pct"/>
                  <w:vAlign w:val="center"/>
                </w:tcPr>
                <w:p w14:paraId="287D5B19">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w:t>
                  </w:r>
                </w:p>
              </w:tc>
              <w:tc>
                <w:tcPr>
                  <w:tcW w:w="611" w:type="pct"/>
                  <w:vAlign w:val="center"/>
                </w:tcPr>
                <w:p w14:paraId="6621F0F7">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0.89</w:t>
                  </w:r>
                </w:p>
              </w:tc>
              <w:tc>
                <w:tcPr>
                  <w:tcW w:w="1063" w:type="dxa"/>
                  <w:vAlign w:val="center"/>
                </w:tcPr>
                <w:p w14:paraId="38BCED2D">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0.6239</w:t>
                  </w:r>
                </w:p>
              </w:tc>
              <w:tc>
                <w:tcPr>
                  <w:tcW w:w="1196" w:type="dxa"/>
                  <w:vAlign w:val="center"/>
                </w:tcPr>
                <w:p w14:paraId="294278FF">
                  <w:pPr>
                    <w:spacing w:before="48" w:beforeLines="2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51</w:t>
                  </w:r>
                </w:p>
              </w:tc>
              <w:tc>
                <w:tcPr>
                  <w:tcW w:w="1083" w:type="dxa"/>
                  <w:vAlign w:val="center"/>
                </w:tcPr>
                <w:p w14:paraId="229B8EF4">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0.89</w:t>
                  </w:r>
                </w:p>
              </w:tc>
            </w:tr>
            <w:tr w14:paraId="0E471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3BAF4674">
                  <w:pPr>
                    <w:spacing w:before="48" w:beforeLines="20"/>
                    <w:jc w:val="center"/>
                    <w:rPr>
                      <w:color w:val="000000" w:themeColor="text1"/>
                      <w:szCs w:val="21"/>
                      <w14:textFill>
                        <w14:solidFill>
                          <w14:schemeClr w14:val="tx1"/>
                        </w14:solidFill>
                      </w14:textFill>
                    </w:rPr>
                  </w:pPr>
                </w:p>
              </w:tc>
              <w:tc>
                <w:tcPr>
                  <w:tcW w:w="496" w:type="pct"/>
                  <w:vAlign w:val="center"/>
                </w:tcPr>
                <w:p w14:paraId="3761DB0F">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w:t>
                  </w:r>
                </w:p>
              </w:tc>
              <w:tc>
                <w:tcPr>
                  <w:tcW w:w="667" w:type="pct"/>
                  <w:vAlign w:val="center"/>
                </w:tcPr>
                <w:p w14:paraId="0BFD97C8">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0.24</w:t>
                  </w:r>
                </w:p>
              </w:tc>
              <w:tc>
                <w:tcPr>
                  <w:tcW w:w="723" w:type="pct"/>
                  <w:vAlign w:val="center"/>
                </w:tcPr>
                <w:p w14:paraId="55900C6D">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2.01</w:t>
                  </w:r>
                </w:p>
              </w:tc>
              <w:tc>
                <w:tcPr>
                  <w:tcW w:w="611" w:type="pct"/>
                  <w:vAlign w:val="center"/>
                </w:tcPr>
                <w:p w14:paraId="51C71B22">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0.0342</w:t>
                  </w:r>
                </w:p>
              </w:tc>
              <w:tc>
                <w:tcPr>
                  <w:tcW w:w="1063" w:type="dxa"/>
                  <w:vAlign w:val="center"/>
                </w:tcPr>
                <w:p w14:paraId="55F2229D">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0.024</w:t>
                  </w:r>
                </w:p>
              </w:tc>
              <w:tc>
                <w:tcPr>
                  <w:tcW w:w="1196" w:type="dxa"/>
                  <w:vAlign w:val="center"/>
                </w:tcPr>
                <w:p w14:paraId="32FEDA93">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2.01</w:t>
                  </w:r>
                </w:p>
              </w:tc>
              <w:tc>
                <w:tcPr>
                  <w:tcW w:w="1083" w:type="dxa"/>
                  <w:vAlign w:val="center"/>
                </w:tcPr>
                <w:p w14:paraId="3D142433">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0.0342</w:t>
                  </w:r>
                </w:p>
              </w:tc>
            </w:tr>
            <w:tr w14:paraId="0D50C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04" w:type="pct"/>
                  <w:vMerge w:val="continue"/>
                  <w:vAlign w:val="center"/>
                </w:tcPr>
                <w:p w14:paraId="352F690A">
                  <w:pPr>
                    <w:spacing w:before="48" w:beforeLines="20"/>
                    <w:jc w:val="center"/>
                    <w:rPr>
                      <w:color w:val="000000" w:themeColor="text1"/>
                      <w:szCs w:val="21"/>
                      <w14:textFill>
                        <w14:solidFill>
                          <w14:schemeClr w14:val="tx1"/>
                        </w14:solidFill>
                      </w14:textFill>
                    </w:rPr>
                  </w:pPr>
                </w:p>
              </w:tc>
              <w:tc>
                <w:tcPr>
                  <w:tcW w:w="496" w:type="pct"/>
                  <w:vAlign w:val="center"/>
                </w:tcPr>
                <w:p w14:paraId="4740D97A">
                  <w:pPr>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硫化氢</w:t>
                  </w:r>
                </w:p>
              </w:tc>
              <w:tc>
                <w:tcPr>
                  <w:tcW w:w="667" w:type="pct"/>
                  <w:vAlign w:val="center"/>
                </w:tcPr>
                <w:p w14:paraId="1B06D55A">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0.044 </w:t>
                  </w:r>
                </w:p>
              </w:tc>
              <w:tc>
                <w:tcPr>
                  <w:tcW w:w="723" w:type="pct"/>
                  <w:vAlign w:val="center"/>
                </w:tcPr>
                <w:p w14:paraId="6E713356">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0.36</w:t>
                  </w:r>
                </w:p>
              </w:tc>
              <w:tc>
                <w:tcPr>
                  <w:tcW w:w="611" w:type="pct"/>
                  <w:vAlign w:val="center"/>
                </w:tcPr>
                <w:p w14:paraId="09B9A683">
                  <w:pPr>
                    <w:spacing w:before="48" w:beforeLines="2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0.0063</w:t>
                  </w:r>
                </w:p>
              </w:tc>
              <w:tc>
                <w:tcPr>
                  <w:tcW w:w="1063" w:type="dxa"/>
                  <w:vAlign w:val="center"/>
                </w:tcPr>
                <w:p w14:paraId="7529C8F0">
                  <w:pPr>
                    <w:spacing w:before="48" w:beforeLines="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0.0044</w:t>
                  </w:r>
                </w:p>
              </w:tc>
              <w:tc>
                <w:tcPr>
                  <w:tcW w:w="1196" w:type="dxa"/>
                  <w:vAlign w:val="center"/>
                </w:tcPr>
                <w:p w14:paraId="3E094CDA">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0.36</w:t>
                  </w:r>
                </w:p>
              </w:tc>
              <w:tc>
                <w:tcPr>
                  <w:tcW w:w="1083" w:type="dxa"/>
                  <w:vAlign w:val="center"/>
                </w:tcPr>
                <w:p w14:paraId="37A1EBF2">
                  <w:pPr>
                    <w:spacing w:before="48" w:beforeLines="20"/>
                    <w:jc w:val="center"/>
                    <w:rPr>
                      <w:color w:val="000000" w:themeColor="text1"/>
                      <w:szCs w:val="21"/>
                      <w:highlight w:val="yellow"/>
                      <w14:textFill>
                        <w14:solidFill>
                          <w14:schemeClr w14:val="tx1"/>
                        </w14:solidFill>
                      </w14:textFill>
                    </w:rPr>
                  </w:pPr>
                  <w:r>
                    <w:rPr>
                      <w:color w:val="000000" w:themeColor="text1"/>
                      <w:kern w:val="0"/>
                      <w:szCs w:val="21"/>
                      <w14:textFill>
                        <w14:solidFill>
                          <w14:schemeClr w14:val="tx1"/>
                        </w14:solidFill>
                      </w14:textFill>
                    </w:rPr>
                    <w:t>0.0063</w:t>
                  </w:r>
                </w:p>
              </w:tc>
            </w:tr>
          </w:tbl>
          <w:p w14:paraId="54FB4FEA">
            <w:pPr>
              <w:spacing w:line="360" w:lineRule="auto"/>
              <w:ind w:firstLine="480" w:firstLineChars="200"/>
              <w:rPr>
                <w:b/>
                <w:bCs/>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rFonts w:hint="eastAsia"/>
                <w:b/>
                <w:bCs/>
                <w:color w:val="000000" w:themeColor="text1"/>
                <w:kern w:val="0"/>
                <w:sz w:val="24"/>
                <w14:textFill>
                  <w14:solidFill>
                    <w14:schemeClr w14:val="tx1"/>
                  </w14:solidFill>
                </w14:textFill>
              </w:rPr>
              <w:t>、非正常排放</w:t>
            </w:r>
          </w:p>
          <w:p w14:paraId="020FC1FF">
            <w:pPr>
              <w:spacing w:before="120" w:beforeLines="5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项目非正常排放情况下，</w:t>
            </w:r>
            <w:r>
              <w:rPr>
                <w:rFonts w:hint="eastAsia"/>
                <w:color w:val="000000" w:themeColor="text1"/>
                <w:kern w:val="0"/>
                <w:sz w:val="24"/>
                <w:lang w:val="en-US" w:eastAsia="zh-CN"/>
                <w14:textFill>
                  <w14:solidFill>
                    <w14:schemeClr w14:val="tx1"/>
                  </w14:solidFill>
                </w14:textFill>
              </w:rPr>
              <w:t>无组织</w:t>
            </w:r>
            <w:r>
              <w:rPr>
                <w:rFonts w:hint="eastAsia"/>
                <w:color w:val="000000" w:themeColor="text1"/>
                <w:kern w:val="0"/>
                <w:sz w:val="24"/>
                <w14:textFill>
                  <w14:solidFill>
                    <w14:schemeClr w14:val="tx1"/>
                  </w14:solidFill>
                </w14:textFill>
              </w:rPr>
              <w:t>颗粒物排放浓度及排放速率</w:t>
            </w:r>
            <w:r>
              <w:rPr>
                <w:rFonts w:hint="eastAsia"/>
                <w:color w:val="000000" w:themeColor="text1"/>
                <w:kern w:val="0"/>
                <w:sz w:val="24"/>
                <w:lang w:val="en-US" w:eastAsia="zh-CN"/>
                <w14:textFill>
                  <w14:solidFill>
                    <w14:schemeClr w14:val="tx1"/>
                  </w14:solidFill>
                </w14:textFill>
              </w:rPr>
              <w:t>无法</w:t>
            </w:r>
            <w:r>
              <w:rPr>
                <w:rFonts w:hint="eastAsia"/>
                <w:color w:val="000000" w:themeColor="text1"/>
                <w:kern w:val="0"/>
                <w:sz w:val="24"/>
                <w14:textFill>
                  <w14:solidFill>
                    <w14:schemeClr w14:val="tx1"/>
                  </w14:solidFill>
                </w14:textFill>
              </w:rPr>
              <w:t>达到</w:t>
            </w:r>
            <w:r>
              <w:rPr>
                <w:color w:val="000000" w:themeColor="text1"/>
                <w:kern w:val="0"/>
                <w:sz w:val="24"/>
                <w14:textFill>
                  <w14:solidFill>
                    <w14:schemeClr w14:val="tx1"/>
                  </w14:solidFill>
                </w14:textFill>
              </w:rPr>
              <w:t>《大气污染物综合排放标准》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GB16297-1996</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表2</w:t>
            </w:r>
            <w:r>
              <w:rPr>
                <w:rFonts w:hint="eastAsia"/>
                <w:color w:val="000000" w:themeColor="text1"/>
                <w:kern w:val="0"/>
                <w:sz w:val="24"/>
                <w14:textFill>
                  <w14:solidFill>
                    <w14:schemeClr w14:val="tx1"/>
                  </w14:solidFill>
                </w14:textFill>
              </w:rPr>
              <w:t>中</w:t>
            </w:r>
            <w:r>
              <w:rPr>
                <w:color w:val="000000" w:themeColor="text1"/>
                <w:kern w:val="0"/>
                <w:sz w:val="24"/>
                <w14:textFill>
                  <w14:solidFill>
                    <w14:schemeClr w14:val="tx1"/>
                  </w14:solidFill>
                </w14:textFill>
              </w:rPr>
              <w:t>二级标准限值</w:t>
            </w:r>
            <w:r>
              <w:rPr>
                <w:rFonts w:hint="eastAsia"/>
                <w:color w:val="000000" w:themeColor="text1"/>
                <w:kern w:val="0"/>
                <w:sz w:val="24"/>
                <w14:textFill>
                  <w14:solidFill>
                    <w14:schemeClr w14:val="tx1"/>
                  </w14:solidFill>
                </w14:textFill>
              </w:rPr>
              <w:t>。氨气、硫化氢、臭气浓度</w:t>
            </w:r>
            <w:r>
              <w:rPr>
                <w:rFonts w:hint="eastAsia"/>
                <w:color w:val="000000" w:themeColor="text1"/>
                <w:kern w:val="0"/>
                <w:sz w:val="24"/>
                <w:lang w:val="en-US" w:eastAsia="zh-CN"/>
                <w14:textFill>
                  <w14:solidFill>
                    <w14:schemeClr w14:val="tx1"/>
                  </w14:solidFill>
                </w14:textFill>
              </w:rPr>
              <w:t>无法</w:t>
            </w:r>
            <w:r>
              <w:rPr>
                <w:rFonts w:hint="eastAsia"/>
                <w:color w:val="000000" w:themeColor="text1"/>
                <w:kern w:val="0"/>
                <w:sz w:val="24"/>
                <w14:textFill>
                  <w14:solidFill>
                    <w14:schemeClr w14:val="tx1"/>
                  </w14:solidFill>
                </w14:textFill>
              </w:rPr>
              <w:t>达到《恶臭污染物排放标准》（GB14554-93）</w:t>
            </w:r>
            <w:r>
              <w:rPr>
                <w:color w:val="000000" w:themeColor="text1"/>
                <w:kern w:val="0"/>
                <w:sz w:val="24"/>
                <w14:textFill>
                  <w14:solidFill>
                    <w14:schemeClr w14:val="tx1"/>
                  </w14:solidFill>
                </w14:textFill>
              </w:rPr>
              <w:t>标准限值</w:t>
            </w:r>
            <w:r>
              <w:rPr>
                <w:rFonts w:hint="eastAsia"/>
                <w:color w:val="000000" w:themeColor="text1"/>
                <w:kern w:val="0"/>
                <w:sz w:val="24"/>
                <w:lang w:eastAsia="zh-CN"/>
                <w14:textFill>
                  <w14:solidFill>
                    <w14:schemeClr w14:val="tx1"/>
                  </w14:solidFill>
                </w14:textFill>
              </w:rPr>
              <w:t>。</w:t>
            </w:r>
          </w:p>
          <w:p w14:paraId="46A80958">
            <w:pPr>
              <w:spacing w:before="120" w:beforeLines="50"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针对上述非正常排放情况，项目需制定非正常排放</w:t>
            </w:r>
            <w:r>
              <w:rPr>
                <w:rFonts w:hint="eastAsia"/>
                <w:color w:val="000000" w:themeColor="text1"/>
                <w:kern w:val="0"/>
                <w:sz w:val="24"/>
                <w:lang w:val="en-US" w:eastAsia="zh-CN"/>
                <w14:textFill>
                  <w14:solidFill>
                    <w14:schemeClr w14:val="tx1"/>
                  </w14:solidFill>
                </w14:textFill>
              </w:rPr>
              <w:t>处置方案</w:t>
            </w:r>
            <w:r>
              <w:rPr>
                <w:rFonts w:hint="eastAsia"/>
                <w:color w:val="000000" w:themeColor="text1"/>
                <w:kern w:val="0"/>
                <w:sz w:val="24"/>
                <w:lang w:eastAsia="zh-CN"/>
                <w14:textFill>
                  <w14:solidFill>
                    <w14:schemeClr w14:val="tx1"/>
                  </w14:solidFill>
                </w14:textFill>
              </w:rPr>
              <w:t>，明确废气处理设施故障时的应急处置流程：①当生物除臭喷淋设施等出现故障时，立即停止对应工段生产作业，避免污染物未经有效处理排放；②安排专业技术人员2小时内到场检修，优先启用备用处理单元（若有），确保设施24小时内恢复正常运行；③故障期间加密厂界及周边敏感点大气监测频次（每2小时1次），若出现污染物超标，及时采取洒水降尘、加强车间通风等辅助措施；④定期对废气处理设施进行维护保养（每季度至少1次），建立设备运行台账，记录维护内容、故障处理情况及更换配件信息，确保设施稳定运行率不低于98%。</w:t>
            </w:r>
          </w:p>
          <w:p w14:paraId="5277DF65">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4、污染物治理设施可行性分析</w:t>
            </w:r>
          </w:p>
          <w:p w14:paraId="13B8D63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参照《排污许可证申请与核发技术规范 磷肥、钾肥、复混钾肥、有机肥料及微生物肥料工业 HJ864.2-2018》表15有机肥料及微生物肥料工业排污单位生产单元或设施废气治理可行技术参照表。见表4-</w:t>
            </w:r>
            <w:r>
              <w:rPr>
                <w:rFonts w:hint="eastAsia"/>
                <w:bCs/>
                <w:color w:val="000000" w:themeColor="text1"/>
                <w:kern w:val="0"/>
                <w:sz w:val="24"/>
                <w:lang w:val="en-US" w:eastAsia="zh-CN"/>
                <w14:textFill>
                  <w14:solidFill>
                    <w14:schemeClr w14:val="tx1"/>
                  </w14:solidFill>
                </w14:textFill>
              </w:rPr>
              <w:t>5</w:t>
            </w:r>
            <w:r>
              <w:rPr>
                <w:rFonts w:hint="eastAsia"/>
                <w:bCs/>
                <w:color w:val="000000" w:themeColor="text1"/>
                <w:kern w:val="0"/>
                <w:sz w:val="24"/>
                <w14:textFill>
                  <w14:solidFill>
                    <w14:schemeClr w14:val="tx1"/>
                  </w14:solidFill>
                </w14:textFill>
              </w:rPr>
              <w:t>。</w:t>
            </w:r>
          </w:p>
          <w:p w14:paraId="53B683D9">
            <w:pPr>
              <w:jc w:val="center"/>
              <w:rPr>
                <w:b/>
                <w:bCs/>
                <w:color w:val="000000" w:themeColor="text1"/>
                <w:spacing w:val="8"/>
                <w:sz w:val="20"/>
                <w:szCs w:val="20"/>
                <w14:textFill>
                  <w14:solidFill>
                    <w14:schemeClr w14:val="tx1"/>
                  </w14:solidFill>
                </w14:textFill>
              </w:rPr>
            </w:pPr>
            <w:r>
              <w:rPr>
                <w:rFonts w:hint="eastAsia"/>
                <w:b/>
                <w:bCs/>
                <w:color w:val="000000" w:themeColor="text1"/>
                <w:spacing w:val="8"/>
                <w:sz w:val="20"/>
                <w:szCs w:val="20"/>
                <w14:textFill>
                  <w14:solidFill>
                    <w14:schemeClr w14:val="tx1"/>
                  </w14:solidFill>
                </w14:textFill>
              </w:rPr>
              <w:t>表4-</w:t>
            </w:r>
            <w:r>
              <w:rPr>
                <w:rFonts w:hint="eastAsia"/>
                <w:b/>
                <w:bCs/>
                <w:color w:val="000000" w:themeColor="text1"/>
                <w:spacing w:val="8"/>
                <w:sz w:val="20"/>
                <w:szCs w:val="20"/>
                <w:lang w:val="en-US" w:eastAsia="zh-CN"/>
                <w14:textFill>
                  <w14:solidFill>
                    <w14:schemeClr w14:val="tx1"/>
                  </w14:solidFill>
                </w14:textFill>
              </w:rPr>
              <w:t>5</w:t>
            </w:r>
            <w:r>
              <w:rPr>
                <w:rFonts w:hint="eastAsia"/>
                <w:b/>
                <w:bCs/>
                <w:color w:val="000000" w:themeColor="text1"/>
                <w:spacing w:val="8"/>
                <w:sz w:val="20"/>
                <w:szCs w:val="20"/>
                <w14:textFill>
                  <w14:solidFill>
                    <w14:schemeClr w14:val="tx1"/>
                  </w14:solidFill>
                </w14:textFill>
              </w:rPr>
              <w:t xml:space="preserve">  大气污染物治理设施情况一览表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966"/>
              <w:gridCol w:w="1514"/>
              <w:gridCol w:w="1858"/>
              <w:gridCol w:w="1605"/>
              <w:gridCol w:w="1968"/>
            </w:tblGrid>
            <w:tr w14:paraId="60B3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467" w:type="pct"/>
                  <w:vAlign w:val="center"/>
                </w:tcPr>
                <w:p w14:paraId="32E3FD7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产排污环节</w:t>
                  </w:r>
                </w:p>
              </w:tc>
              <w:tc>
                <w:tcPr>
                  <w:tcW w:w="553" w:type="pct"/>
                  <w:vAlign w:val="center"/>
                </w:tcPr>
                <w:p w14:paraId="05DDC77F">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主要控制污染物</w:t>
                  </w:r>
                </w:p>
              </w:tc>
              <w:tc>
                <w:tcPr>
                  <w:tcW w:w="867" w:type="pct"/>
                  <w:vAlign w:val="center"/>
                </w:tcPr>
                <w:p w14:paraId="45120205">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可行技术</w:t>
                  </w:r>
                </w:p>
              </w:tc>
              <w:tc>
                <w:tcPr>
                  <w:tcW w:w="1064" w:type="pct"/>
                  <w:vAlign w:val="center"/>
                </w:tcPr>
                <w:p w14:paraId="4C8498D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污染治理设施</w:t>
                  </w:r>
                </w:p>
              </w:tc>
              <w:tc>
                <w:tcPr>
                  <w:tcW w:w="919" w:type="pct"/>
                  <w:vAlign w:val="center"/>
                </w:tcPr>
                <w:p w14:paraId="719EE175">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去除率</w:t>
                  </w:r>
                </w:p>
              </w:tc>
              <w:tc>
                <w:tcPr>
                  <w:tcW w:w="1127" w:type="pct"/>
                  <w:vAlign w:val="center"/>
                </w:tcPr>
                <w:p w14:paraId="1C416E87">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是否为可行技术</w:t>
                  </w:r>
                </w:p>
              </w:tc>
            </w:tr>
            <w:tr w14:paraId="2EE7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7" w:type="pct"/>
                  <w:vAlign w:val="center"/>
                </w:tcPr>
                <w:p w14:paraId="6EA60F6F">
                  <w:pPr>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粉剂肥料投料、扑粉、搅拌、粉碎、筛分</w:t>
                  </w:r>
                </w:p>
              </w:tc>
              <w:tc>
                <w:tcPr>
                  <w:tcW w:w="553" w:type="pct"/>
                  <w:vAlign w:val="center"/>
                </w:tcPr>
                <w:p w14:paraId="1DD47933">
                  <w:pPr>
                    <w:jc w:val="center"/>
                    <w:rPr>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867" w:type="pct"/>
                  <w:vAlign w:val="center"/>
                </w:tcPr>
                <w:p w14:paraId="488B82F8">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袋式除尘</w:t>
                  </w:r>
                </w:p>
              </w:tc>
              <w:tc>
                <w:tcPr>
                  <w:tcW w:w="1064" w:type="pct"/>
                  <w:vAlign w:val="center"/>
                </w:tcPr>
                <w:p w14:paraId="6EBF7659">
                  <w:pP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①湿式作业；</w:t>
                  </w:r>
                </w:p>
                <w:p w14:paraId="060B2D09">
                  <w:pPr>
                    <w:rPr>
                      <w:rFonts w:hint="default"/>
                      <w:color w:val="000000" w:themeColor="text1"/>
                      <w:kern w:val="0"/>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②厂房阻隔沉降</w:t>
                  </w:r>
                </w:p>
              </w:tc>
              <w:tc>
                <w:tcPr>
                  <w:tcW w:w="919" w:type="pct"/>
                  <w:vAlign w:val="center"/>
                </w:tcPr>
                <w:p w14:paraId="260CB67F">
                  <w:pP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湿式作业90%，厂房阻隔78%</w:t>
                  </w:r>
                </w:p>
              </w:tc>
              <w:tc>
                <w:tcPr>
                  <w:tcW w:w="1127" w:type="pct"/>
                  <w:vAlign w:val="center"/>
                </w:tcPr>
                <w:p w14:paraId="0C3269AD">
                  <w:pPr>
                    <w:jc w:val="both"/>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否，企业结合自身生产工艺特点，原辅料含水率为75%-40%，整个作业为湿式作业，企业需确保污染物排放达到相应的标准限值要求</w:t>
                  </w:r>
                </w:p>
              </w:tc>
            </w:tr>
            <w:tr w14:paraId="73DC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7" w:type="pct"/>
                  <w:vAlign w:val="center"/>
                </w:tcPr>
                <w:p w14:paraId="06E2E44D">
                  <w:pPr>
                    <w:jc w:val="center"/>
                    <w:rPr>
                      <w:color w:val="000000" w:themeColor="text1"/>
                      <w:kern w:val="0"/>
                      <w:szCs w:val="20"/>
                      <w14:textFill>
                        <w14:solidFill>
                          <w14:schemeClr w14:val="tx1"/>
                        </w14:solidFill>
                      </w14:textFill>
                    </w:rPr>
                  </w:pPr>
                  <w:r>
                    <w:rPr>
                      <w:rFonts w:hint="eastAsia"/>
                      <w:color w:val="000000" w:themeColor="text1"/>
                      <w:kern w:val="0"/>
                      <w:szCs w:val="20"/>
                      <w14:textFill>
                        <w14:solidFill>
                          <w14:schemeClr w14:val="tx1"/>
                        </w14:solidFill>
                      </w14:textFill>
                    </w:rPr>
                    <w:t>发酵</w:t>
                  </w:r>
                </w:p>
              </w:tc>
              <w:tc>
                <w:tcPr>
                  <w:tcW w:w="553" w:type="pct"/>
                  <w:vAlign w:val="center"/>
                </w:tcPr>
                <w:p w14:paraId="0EA9558C">
                  <w:pP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氨、硫化氢、臭气浓度</w:t>
                  </w:r>
                </w:p>
              </w:tc>
              <w:tc>
                <w:tcPr>
                  <w:tcW w:w="867" w:type="pct"/>
                  <w:vAlign w:val="center"/>
                </w:tcPr>
                <w:p w14:paraId="3973917B">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生物除臭（滴滤法，过滤法）</w:t>
                  </w:r>
                </w:p>
              </w:tc>
              <w:tc>
                <w:tcPr>
                  <w:tcW w:w="1064" w:type="pct"/>
                  <w:vAlign w:val="center"/>
                </w:tcPr>
                <w:p w14:paraId="6D157001">
                  <w:pPr>
                    <w:rPr>
                      <w:rFonts w:hint="eastAsia"/>
                      <w:color w:val="000000" w:themeColor="text1"/>
                      <w:kern w:val="0"/>
                      <w:lang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①</w:t>
                  </w: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处理</w:t>
                  </w:r>
                  <w:r>
                    <w:rPr>
                      <w:rFonts w:hint="eastAsia"/>
                      <w:color w:val="000000" w:themeColor="text1"/>
                      <w:kern w:val="0"/>
                      <w:lang w:eastAsia="zh-CN"/>
                      <w14:textFill>
                        <w14:solidFill>
                          <w14:schemeClr w14:val="tx1"/>
                        </w14:solidFill>
                      </w14:textFill>
                    </w:rPr>
                    <w:t>；</w:t>
                  </w:r>
                </w:p>
                <w:p w14:paraId="0C9CF3FF">
                  <w:pP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②定期通风换气；</w:t>
                  </w:r>
                </w:p>
              </w:tc>
              <w:tc>
                <w:tcPr>
                  <w:tcW w:w="919" w:type="pct"/>
                  <w:vAlign w:val="center"/>
                </w:tcPr>
                <w:p w14:paraId="2F55EF53">
                  <w:pPr>
                    <w:rPr>
                      <w:color w:val="000000" w:themeColor="text1"/>
                      <w:kern w:val="0"/>
                      <w14:textFill>
                        <w14:solidFill>
                          <w14:schemeClr w14:val="tx1"/>
                        </w14:solidFill>
                      </w14:textFill>
                    </w:rPr>
                  </w:pPr>
                  <w:r>
                    <w:rPr>
                      <w:rFonts w:hint="eastAsia"/>
                      <w:color w:val="000000" w:themeColor="text1"/>
                      <w:kern w:val="0"/>
                      <w:lang w:eastAsia="zh-CN"/>
                      <w14:textFill>
                        <w14:solidFill>
                          <w14:schemeClr w14:val="tx1"/>
                        </w14:solidFill>
                      </w14:textFill>
                    </w:rPr>
                    <w:t>生物除臭喷淋设施</w:t>
                  </w:r>
                  <w:r>
                    <w:rPr>
                      <w:rFonts w:hint="eastAsia"/>
                      <w:color w:val="000000" w:themeColor="text1"/>
                      <w:kern w:val="0"/>
                      <w14:textFill>
                        <w14:solidFill>
                          <w14:schemeClr w14:val="tx1"/>
                        </w14:solidFill>
                      </w14:textFill>
                    </w:rPr>
                    <w:t>设计处理效率</w:t>
                  </w:r>
                  <w:r>
                    <w:rPr>
                      <w:rFonts w:hint="eastAsia"/>
                      <w:color w:val="000000" w:themeColor="text1"/>
                      <w:kern w:val="0"/>
                      <w:lang w:val="en-US" w:eastAsia="zh-CN"/>
                      <w14:textFill>
                        <w14:solidFill>
                          <w14:schemeClr w14:val="tx1"/>
                        </w14:solidFill>
                      </w14:textFill>
                    </w:rPr>
                    <w:t>85</w:t>
                  </w:r>
                  <w:r>
                    <w:rPr>
                      <w:rFonts w:hint="eastAsia"/>
                      <w:color w:val="000000" w:themeColor="text1"/>
                      <w:kern w:val="0"/>
                      <w14:textFill>
                        <w14:solidFill>
                          <w14:schemeClr w14:val="tx1"/>
                        </w14:solidFill>
                      </w14:textFill>
                    </w:rPr>
                    <w:t>%</w:t>
                  </w:r>
                </w:p>
              </w:tc>
              <w:tc>
                <w:tcPr>
                  <w:tcW w:w="1127" w:type="pct"/>
                  <w:vAlign w:val="center"/>
                </w:tcPr>
                <w:p w14:paraId="477EE73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r>
          </w:tbl>
          <w:p w14:paraId="50E8498E">
            <w:pPr>
              <w:spacing w:before="120" w:beforeLines="50" w:line="360" w:lineRule="auto"/>
              <w:ind w:firstLine="482" w:firstLineChars="200"/>
              <w:rPr>
                <w:b/>
                <w:bCs/>
                <w:color w:val="000000" w:themeColor="text1"/>
                <w:kern w:val="0"/>
                <w:sz w:val="24"/>
                <w:szCs w:val="32"/>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szCs w:val="32"/>
                <w14:textFill>
                  <w14:solidFill>
                    <w14:schemeClr w14:val="tx1"/>
                  </w14:solidFill>
                </w14:textFill>
              </w:rPr>
              <w:t>大气污染物</w:t>
            </w:r>
            <w:r>
              <w:rPr>
                <w:rFonts w:hint="eastAsia"/>
                <w:b/>
                <w:bCs/>
                <w:color w:val="000000" w:themeColor="text1"/>
                <w:kern w:val="0"/>
                <w:sz w:val="24"/>
                <w:szCs w:val="32"/>
                <w14:textFill>
                  <w14:solidFill>
                    <w14:schemeClr w14:val="tx1"/>
                  </w14:solidFill>
                </w14:textFill>
              </w:rPr>
              <w:t>环境影响分析结论</w:t>
            </w:r>
          </w:p>
          <w:p w14:paraId="55F32916">
            <w:pPr>
              <w:spacing w:before="120" w:beforeLines="50" w:line="360" w:lineRule="auto"/>
              <w:ind w:firstLine="480" w:firstLineChars="200"/>
              <w:rPr>
                <w:color w:val="000000" w:themeColor="text1"/>
                <w:kern w:val="0"/>
                <w:sz w:val="24"/>
                <w:szCs w:val="32"/>
                <w14:textFill>
                  <w14:solidFill>
                    <w14:schemeClr w14:val="tx1"/>
                  </w14:solidFill>
                </w14:textFill>
              </w:rPr>
            </w:pPr>
            <w:r>
              <w:rPr>
                <w:rFonts w:hint="eastAsia"/>
                <w:color w:val="000000" w:themeColor="text1"/>
                <w:kern w:val="0"/>
                <w:sz w:val="24"/>
                <w:szCs w:val="32"/>
                <w:lang w:val="en-US" w:eastAsia="zh-CN"/>
                <w14:textFill>
                  <w14:solidFill>
                    <w14:schemeClr w14:val="tx1"/>
                  </w14:solidFill>
                </w14:textFill>
              </w:rPr>
              <w:t>混配各</w:t>
            </w:r>
            <w:r>
              <w:rPr>
                <w:rFonts w:hint="eastAsia"/>
                <w:color w:val="000000" w:themeColor="text1"/>
                <w:kern w:val="0"/>
                <w:sz w:val="24"/>
                <w:szCs w:val="32"/>
                <w14:textFill>
                  <w14:solidFill>
                    <w14:schemeClr w14:val="tx1"/>
                  </w14:solidFill>
                </w14:textFill>
              </w:rPr>
              <w:t>环节</w:t>
            </w:r>
            <w:r>
              <w:rPr>
                <w:rFonts w:hint="eastAsia"/>
                <w:color w:val="000000" w:themeColor="text1"/>
                <w:kern w:val="0"/>
                <w:sz w:val="24"/>
                <w:szCs w:val="32"/>
                <w:lang w:val="en-US" w:eastAsia="zh-CN"/>
                <w14:textFill>
                  <w14:solidFill>
                    <w14:schemeClr w14:val="tx1"/>
                  </w14:solidFill>
                </w14:textFill>
              </w:rPr>
              <w:t>颗粒物经过湿式作业+厂房阻隔沉降处理后</w:t>
            </w:r>
            <w:r>
              <w:rPr>
                <w:rFonts w:hint="eastAsia"/>
                <w:color w:val="000000" w:themeColor="text1"/>
                <w:kern w:val="0"/>
                <w:sz w:val="24"/>
                <w:szCs w:val="32"/>
                <w14:textFill>
                  <w14:solidFill>
                    <w14:schemeClr w14:val="tx1"/>
                  </w14:solidFill>
                </w14:textFill>
              </w:rPr>
              <w:t>，厂界浓度均符合相应标准限值</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满足《大气污染物综合排放标准》（GB16297-1996）的要求。</w:t>
            </w:r>
            <w:r>
              <w:rPr>
                <w:rFonts w:hint="eastAsia"/>
                <w:color w:val="000000" w:themeColor="text1"/>
                <w:kern w:val="0"/>
                <w:sz w:val="24"/>
                <w:szCs w:val="32"/>
                <w:lang w:val="en-US" w:eastAsia="zh-CN"/>
                <w14:textFill>
                  <w14:solidFill>
                    <w14:schemeClr w14:val="tx1"/>
                  </w14:solidFill>
                </w14:textFill>
              </w:rPr>
              <w:t>发酵过程</w:t>
            </w:r>
            <w:r>
              <w:rPr>
                <w:rFonts w:hint="eastAsia"/>
                <w:color w:val="000000" w:themeColor="text1"/>
                <w:kern w:val="0"/>
                <w:sz w:val="24"/>
                <w:szCs w:val="32"/>
                <w14:textFill>
                  <w14:solidFill>
                    <w14:schemeClr w14:val="tx1"/>
                  </w14:solidFill>
                </w14:textFill>
              </w:rPr>
              <w:t>排放的氨、硫化氢及臭气浓度，经</w:t>
            </w:r>
            <w:r>
              <w:rPr>
                <w:rFonts w:hint="eastAsia"/>
                <w:color w:val="000000" w:themeColor="text1"/>
                <w:kern w:val="0"/>
                <w:sz w:val="24"/>
                <w:szCs w:val="32"/>
                <w:lang w:eastAsia="zh-CN"/>
                <w14:textFill>
                  <w14:solidFill>
                    <w14:schemeClr w14:val="tx1"/>
                  </w14:solidFill>
                </w14:textFill>
              </w:rPr>
              <w:t>生物除臭喷淋设施</w:t>
            </w:r>
            <w:r>
              <w:rPr>
                <w:rFonts w:hint="eastAsia"/>
                <w:color w:val="000000" w:themeColor="text1"/>
                <w:kern w:val="0"/>
                <w:sz w:val="24"/>
                <w:szCs w:val="32"/>
                <w14:textFill>
                  <w14:solidFill>
                    <w14:schemeClr w14:val="tx1"/>
                  </w14:solidFill>
                </w14:textFill>
              </w:rPr>
              <w:t>处理</w:t>
            </w:r>
            <w:r>
              <w:rPr>
                <w:rFonts w:hint="eastAsia"/>
                <w:color w:val="000000" w:themeColor="text1"/>
                <w:kern w:val="0"/>
                <w:sz w:val="24"/>
                <w:szCs w:val="32"/>
                <w:lang w:val="en-US" w:eastAsia="zh-CN"/>
                <w14:textFill>
                  <w14:solidFill>
                    <w14:schemeClr w14:val="tx1"/>
                  </w14:solidFill>
                </w14:textFill>
              </w:rPr>
              <w:t>+定期通风换气处理</w:t>
            </w:r>
            <w:r>
              <w:rPr>
                <w:rFonts w:hint="eastAsia"/>
                <w:color w:val="000000" w:themeColor="text1"/>
                <w:kern w:val="0"/>
                <w:sz w:val="24"/>
                <w:szCs w:val="32"/>
                <w14:textFill>
                  <w14:solidFill>
                    <w14:schemeClr w14:val="tx1"/>
                  </w14:solidFill>
                </w14:textFill>
              </w:rPr>
              <w:t>后</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厂界浓度均符合相应标准限值</w:t>
            </w:r>
            <w:r>
              <w:rPr>
                <w:rFonts w:hint="eastAsia"/>
                <w:color w:val="000000" w:themeColor="text1"/>
                <w:kern w:val="0"/>
                <w:sz w:val="24"/>
                <w:szCs w:val="32"/>
                <w:lang w:eastAsia="zh-CN"/>
                <w14:textFill>
                  <w14:solidFill>
                    <w14:schemeClr w14:val="tx1"/>
                  </w14:solidFill>
                </w14:textFill>
              </w:rPr>
              <w:t>，</w:t>
            </w:r>
            <w:r>
              <w:rPr>
                <w:rFonts w:hint="eastAsia"/>
                <w:color w:val="000000" w:themeColor="text1"/>
                <w:kern w:val="0"/>
                <w:sz w:val="24"/>
                <w:szCs w:val="32"/>
                <w14:textFill>
                  <w14:solidFill>
                    <w14:schemeClr w14:val="tx1"/>
                  </w14:solidFill>
                </w14:textFill>
              </w:rPr>
              <w:t>满足《恶臭污染物排放标准》（GB14554-93）二级标准要求。现有工程热风炉燃料燃烧废气经改扩建后，生物质颗粒及沼气使用量显著减少，各项污染物排放浓度及总量均大幅降低，满足相关排放标准。</w:t>
            </w:r>
          </w:p>
          <w:p w14:paraId="462FAEDF">
            <w:pPr>
              <w:spacing w:before="120" w:beforeLines="50" w:line="360" w:lineRule="auto"/>
              <w:ind w:firstLine="480" w:firstLineChars="200"/>
              <w:rPr>
                <w:color w:val="000000" w:themeColor="text1"/>
                <w:kern w:val="0"/>
                <w:sz w:val="24"/>
                <w:szCs w:val="32"/>
                <w14:textFill>
                  <w14:solidFill>
                    <w14:schemeClr w14:val="tx1"/>
                  </w14:solidFill>
                </w14:textFill>
              </w:rPr>
            </w:pPr>
            <w:r>
              <w:rPr>
                <w:rFonts w:hint="eastAsia"/>
                <w:color w:val="000000" w:themeColor="text1"/>
                <w:kern w:val="0"/>
                <w:sz w:val="24"/>
                <w:szCs w:val="32"/>
                <w14:textFill>
                  <w14:solidFill>
                    <w14:schemeClr w14:val="tx1"/>
                  </w14:solidFill>
                </w14:textFill>
              </w:rPr>
              <w:t>非正常排放情况下</w:t>
            </w:r>
            <w:r>
              <w:rPr>
                <w:rFonts w:hint="eastAsia"/>
                <w:color w:val="000000" w:themeColor="text1"/>
                <w:kern w:val="0"/>
                <w:sz w:val="24"/>
                <w:szCs w:val="32"/>
                <w:lang w:val="en-US" w:eastAsia="zh-CN"/>
                <w14:textFill>
                  <w14:solidFill>
                    <w14:schemeClr w14:val="tx1"/>
                  </w14:solidFill>
                </w14:textFill>
              </w:rPr>
              <w:t>及时施行应急措施</w:t>
            </w:r>
            <w:r>
              <w:rPr>
                <w:rFonts w:hint="eastAsia"/>
                <w:color w:val="000000" w:themeColor="text1"/>
                <w:kern w:val="0"/>
                <w:sz w:val="24"/>
                <w:szCs w:val="32"/>
                <w14:textFill>
                  <w14:solidFill>
                    <w14:schemeClr w14:val="tx1"/>
                  </w14:solidFill>
                </w14:textFill>
              </w:rPr>
              <w:t>，发生频率低（1次/年）、持续时间短（1h/次），且已制定应急防控措施，对周边环境影响程度有限。结合区域环境质量现状预测，本项目大气污染物在周边环境保护目标处的贡献值均远低于环境质量标准限值，不会导致区域大气环境质量超标或恶化。综上，本项目大气污染物治理措施可行，排放达标，对周边大气环境影响可接受。</w:t>
            </w:r>
          </w:p>
          <w:p w14:paraId="3985106D">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7、废气自行监测要求</w:t>
            </w:r>
          </w:p>
          <w:p w14:paraId="6606FC2E">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改扩建后，现有工程排气筒DA001、DA002废气量减少，排放污染物类型与原来一致，且项目已通过竣工验收，不再纳入本次改扩建中进行自行监测要求。</w:t>
            </w:r>
          </w:p>
          <w:p w14:paraId="0864B1AB">
            <w:pPr>
              <w:spacing w:line="360" w:lineRule="auto"/>
              <w:ind w:firstLine="480" w:firstLineChars="200"/>
              <w:rPr>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环评根据《排污单位自行监测技术指南 磷肥、钾肥、复混肥料、有机肥料和微生物肥料》（HJ1088—2020）制定废气监测计划。</w:t>
            </w:r>
            <w:r>
              <w:rPr>
                <w:color w:val="000000" w:themeColor="text1"/>
                <w:kern w:val="0"/>
                <w:sz w:val="24"/>
                <w14:textFill>
                  <w14:solidFill>
                    <w14:schemeClr w14:val="tx1"/>
                  </w14:solidFill>
                </w14:textFill>
              </w:rPr>
              <w:t>运营期废气监测计划见表</w:t>
            </w:r>
            <w:r>
              <w:rPr>
                <w:rFonts w:hint="eastAsia"/>
                <w:color w:val="000000" w:themeColor="text1"/>
                <w:kern w:val="0"/>
                <w:sz w:val="24"/>
                <w14:textFill>
                  <w14:solidFill>
                    <w14:schemeClr w14:val="tx1"/>
                  </w14:solidFill>
                </w14:textFill>
              </w:rPr>
              <w:t>4-</w:t>
            </w:r>
            <w:r>
              <w:rPr>
                <w:rFonts w:hint="eastAsia"/>
                <w:color w:val="000000" w:themeColor="text1"/>
                <w:kern w:val="0"/>
                <w:sz w:val="24"/>
                <w:lang w:val="en-US" w:eastAsia="zh-CN"/>
                <w14:textFill>
                  <w14:solidFill>
                    <w14:schemeClr w14:val="tx1"/>
                  </w14:solidFill>
                </w14:textFill>
              </w:rPr>
              <w:t>6</w:t>
            </w:r>
            <w:r>
              <w:rPr>
                <w:color w:val="000000" w:themeColor="text1"/>
                <w:kern w:val="0"/>
                <w:sz w:val="24"/>
                <w14:textFill>
                  <w14:solidFill>
                    <w14:schemeClr w14:val="tx1"/>
                  </w14:solidFill>
                </w14:textFill>
              </w:rPr>
              <w:t>。</w:t>
            </w:r>
          </w:p>
          <w:p w14:paraId="6250D566">
            <w:pPr>
              <w:jc w:val="center"/>
              <w:rPr>
                <w:b/>
                <w:bCs/>
                <w:color w:val="000000" w:themeColor="text1"/>
                <w:spacing w:val="8"/>
                <w:sz w:val="20"/>
                <w:szCs w:val="20"/>
                <w14:textFill>
                  <w14:solidFill>
                    <w14:schemeClr w14:val="tx1"/>
                  </w14:solidFill>
                </w14:textFill>
              </w:rPr>
            </w:pPr>
            <w:r>
              <w:rPr>
                <w:b/>
                <w:bCs/>
                <w:color w:val="000000" w:themeColor="text1"/>
                <w:spacing w:val="8"/>
                <w:sz w:val="20"/>
                <w:szCs w:val="20"/>
                <w14:textFill>
                  <w14:solidFill>
                    <w14:schemeClr w14:val="tx1"/>
                  </w14:solidFill>
                </w14:textFill>
              </w:rPr>
              <w:t>表</w:t>
            </w:r>
            <w:r>
              <w:rPr>
                <w:rFonts w:hint="eastAsia"/>
                <w:b/>
                <w:bCs/>
                <w:color w:val="000000" w:themeColor="text1"/>
                <w:spacing w:val="8"/>
                <w:sz w:val="20"/>
                <w:szCs w:val="20"/>
                <w14:textFill>
                  <w14:solidFill>
                    <w14:schemeClr w14:val="tx1"/>
                  </w14:solidFill>
                </w14:textFill>
              </w:rPr>
              <w:t>4-</w:t>
            </w:r>
            <w:r>
              <w:rPr>
                <w:rFonts w:hint="eastAsia"/>
                <w:b/>
                <w:bCs/>
                <w:color w:val="000000" w:themeColor="text1"/>
                <w:spacing w:val="8"/>
                <w:sz w:val="20"/>
                <w:szCs w:val="20"/>
                <w:lang w:val="en-US" w:eastAsia="zh-CN"/>
                <w14:textFill>
                  <w14:solidFill>
                    <w14:schemeClr w14:val="tx1"/>
                  </w14:solidFill>
                </w14:textFill>
              </w:rPr>
              <w:t>6</w:t>
            </w:r>
            <w:r>
              <w:rPr>
                <w:b/>
                <w:bCs/>
                <w:color w:val="000000" w:themeColor="text1"/>
                <w:spacing w:val="8"/>
                <w:sz w:val="20"/>
                <w:szCs w:val="20"/>
                <w14:textFill>
                  <w14:solidFill>
                    <w14:schemeClr w14:val="tx1"/>
                  </w14:solidFill>
                </w14:textFill>
              </w:rPr>
              <w:t xml:space="preserve">  运营期</w:t>
            </w:r>
            <w:r>
              <w:rPr>
                <w:rFonts w:hint="eastAsia"/>
                <w:b/>
                <w:bCs/>
                <w:color w:val="000000" w:themeColor="text1"/>
                <w:spacing w:val="8"/>
                <w:sz w:val="20"/>
                <w:szCs w:val="20"/>
                <w14:textFill>
                  <w14:solidFill>
                    <w14:schemeClr w14:val="tx1"/>
                  </w14:solidFill>
                </w14:textFill>
              </w:rPr>
              <w:t>大气</w:t>
            </w:r>
            <w:r>
              <w:rPr>
                <w:b/>
                <w:bCs/>
                <w:color w:val="000000" w:themeColor="text1"/>
                <w:spacing w:val="8"/>
                <w:sz w:val="20"/>
                <w:szCs w:val="20"/>
                <w14:textFill>
                  <w14:solidFill>
                    <w14:schemeClr w14:val="tx1"/>
                  </w14:solidFill>
                </w14:textFill>
              </w:rPr>
              <w:t>环境监测计划表</w:t>
            </w:r>
          </w:p>
          <w:tbl>
            <w:tblPr>
              <w:tblStyle w:val="2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862"/>
              <w:gridCol w:w="1455"/>
              <w:gridCol w:w="1572"/>
              <w:gridCol w:w="3012"/>
            </w:tblGrid>
            <w:tr w14:paraId="4027C5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tcBorders>
                    <w:left w:val="single" w:color="auto" w:sz="4" w:space="0"/>
                  </w:tcBorders>
                  <w:vAlign w:val="center"/>
                </w:tcPr>
                <w:p w14:paraId="2863107F">
                  <w:pPr>
                    <w:tabs>
                      <w:tab w:val="center" w:pos="4153"/>
                      <w:tab w:val="right" w:pos="8306"/>
                    </w:tabs>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类别</w:t>
                  </w:r>
                </w:p>
              </w:tc>
              <w:tc>
                <w:tcPr>
                  <w:tcW w:w="1065" w:type="pct"/>
                  <w:vAlign w:val="center"/>
                </w:tcPr>
                <w:p w14:paraId="5255FE22">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监测点位</w:t>
                  </w:r>
                </w:p>
              </w:tc>
              <w:tc>
                <w:tcPr>
                  <w:tcW w:w="832" w:type="pct"/>
                  <w:vAlign w:val="center"/>
                </w:tcPr>
                <w:p w14:paraId="700FC721">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w:t>
                  </w:r>
                  <w:r>
                    <w:rPr>
                      <w:rFonts w:hint="eastAsia"/>
                      <w:b/>
                      <w:color w:val="000000" w:themeColor="text1"/>
                      <w:kern w:val="0"/>
                      <w:szCs w:val="21"/>
                      <w14:textFill>
                        <w14:solidFill>
                          <w14:schemeClr w14:val="tx1"/>
                        </w14:solidFill>
                      </w14:textFill>
                    </w:rPr>
                    <w:t>因子</w:t>
                  </w:r>
                </w:p>
              </w:tc>
              <w:tc>
                <w:tcPr>
                  <w:tcW w:w="899" w:type="pct"/>
                  <w:vAlign w:val="center"/>
                </w:tcPr>
                <w:p w14:paraId="54D5A253">
                  <w:pPr>
                    <w:tabs>
                      <w:tab w:val="center" w:pos="4153"/>
                      <w:tab w:val="right" w:pos="8306"/>
                    </w:tabs>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监测频率</w:t>
                  </w:r>
                </w:p>
              </w:tc>
              <w:tc>
                <w:tcPr>
                  <w:tcW w:w="1723" w:type="pct"/>
                  <w:tcBorders>
                    <w:right w:val="single" w:color="auto" w:sz="4" w:space="0"/>
                  </w:tcBorders>
                  <w:vAlign w:val="center"/>
                </w:tcPr>
                <w:p w14:paraId="57A00CC6">
                  <w:pPr>
                    <w:tabs>
                      <w:tab w:val="center" w:pos="4153"/>
                      <w:tab w:val="right" w:pos="8306"/>
                    </w:tabs>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执行标准</w:t>
                  </w:r>
                </w:p>
              </w:tc>
            </w:tr>
            <w:tr w14:paraId="497D9D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restart"/>
                  <w:tcBorders>
                    <w:left w:val="single" w:color="auto" w:sz="4" w:space="0"/>
                  </w:tcBorders>
                  <w:vAlign w:val="center"/>
                </w:tcPr>
                <w:p w14:paraId="08951B7B">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无组织监测</w:t>
                  </w:r>
                </w:p>
              </w:tc>
              <w:tc>
                <w:tcPr>
                  <w:tcW w:w="1065" w:type="pct"/>
                  <w:vMerge w:val="restart"/>
                  <w:vAlign w:val="center"/>
                </w:tcPr>
                <w:p w14:paraId="3ED841A1">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w:t>
                  </w:r>
                  <w:r>
                    <w:rPr>
                      <w:color w:val="000000" w:themeColor="text1"/>
                      <w:kern w:val="0"/>
                      <w:szCs w:val="21"/>
                      <w14:textFill>
                        <w14:solidFill>
                          <w14:schemeClr w14:val="tx1"/>
                        </w14:solidFill>
                      </w14:textFill>
                    </w:rPr>
                    <w:t>厂界外上风向1个点，下风向厂界处</w:t>
                  </w: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个点</w:t>
                  </w:r>
                </w:p>
              </w:tc>
              <w:tc>
                <w:tcPr>
                  <w:tcW w:w="832" w:type="pct"/>
                  <w:vAlign w:val="center"/>
                </w:tcPr>
                <w:p w14:paraId="1878B08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899" w:type="pct"/>
                  <w:vAlign w:val="center"/>
                </w:tcPr>
                <w:p w14:paraId="1C196CA2">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1次/半年</w:t>
                  </w:r>
                </w:p>
              </w:tc>
              <w:tc>
                <w:tcPr>
                  <w:tcW w:w="1723" w:type="pct"/>
                  <w:tcBorders>
                    <w:right w:val="single" w:color="auto" w:sz="4" w:space="0"/>
                  </w:tcBorders>
                  <w:vAlign w:val="center"/>
                </w:tcPr>
                <w:p w14:paraId="33491F08">
                  <w:pPr>
                    <w:tabs>
                      <w:tab w:val="center" w:pos="4153"/>
                      <w:tab w:val="right" w:pos="8306"/>
                    </w:tabs>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《大气污染物综合排放标准》（GB16297-1996）</w:t>
                  </w:r>
                </w:p>
              </w:tc>
            </w:tr>
            <w:tr w14:paraId="595DB9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8" w:type="pct"/>
                  <w:vMerge w:val="continue"/>
                  <w:tcBorders>
                    <w:left w:val="single" w:color="auto" w:sz="4" w:space="0"/>
                  </w:tcBorders>
                  <w:vAlign w:val="center"/>
                </w:tcPr>
                <w:p w14:paraId="0182CBE6">
                  <w:pPr>
                    <w:tabs>
                      <w:tab w:val="center" w:pos="4153"/>
                      <w:tab w:val="right" w:pos="8306"/>
                    </w:tabs>
                    <w:jc w:val="center"/>
                    <w:rPr>
                      <w:color w:val="000000" w:themeColor="text1"/>
                      <w:kern w:val="0"/>
                      <w:szCs w:val="21"/>
                      <w14:textFill>
                        <w14:solidFill>
                          <w14:schemeClr w14:val="tx1"/>
                        </w14:solidFill>
                      </w14:textFill>
                    </w:rPr>
                  </w:pPr>
                </w:p>
              </w:tc>
              <w:tc>
                <w:tcPr>
                  <w:tcW w:w="1065" w:type="pct"/>
                  <w:vMerge w:val="continue"/>
                  <w:vAlign w:val="center"/>
                </w:tcPr>
                <w:p w14:paraId="4DF73174">
                  <w:pPr>
                    <w:tabs>
                      <w:tab w:val="center" w:pos="4153"/>
                      <w:tab w:val="right" w:pos="8306"/>
                    </w:tabs>
                    <w:jc w:val="center"/>
                    <w:rPr>
                      <w:color w:val="000000" w:themeColor="text1"/>
                      <w:kern w:val="0"/>
                      <w:szCs w:val="21"/>
                      <w14:textFill>
                        <w14:solidFill>
                          <w14:schemeClr w14:val="tx1"/>
                        </w14:solidFill>
                      </w14:textFill>
                    </w:rPr>
                  </w:pPr>
                </w:p>
              </w:tc>
              <w:tc>
                <w:tcPr>
                  <w:tcW w:w="832" w:type="pct"/>
                  <w:vAlign w:val="center"/>
                </w:tcPr>
                <w:p w14:paraId="30FFBC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氨、臭气浓度、硫化氢</w:t>
                  </w:r>
                </w:p>
              </w:tc>
              <w:tc>
                <w:tcPr>
                  <w:tcW w:w="899" w:type="pct"/>
                  <w:vAlign w:val="center"/>
                </w:tcPr>
                <w:p w14:paraId="2AE0F6ED">
                  <w:pPr>
                    <w:tabs>
                      <w:tab w:val="center" w:pos="4153"/>
                      <w:tab w:val="right" w:pos="8306"/>
                    </w:tabs>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1次/半年</w:t>
                  </w:r>
                </w:p>
              </w:tc>
              <w:tc>
                <w:tcPr>
                  <w:tcW w:w="1723" w:type="pct"/>
                  <w:tcBorders>
                    <w:right w:val="single" w:color="auto" w:sz="4" w:space="0"/>
                  </w:tcBorders>
                  <w:vAlign w:val="center"/>
                </w:tcPr>
                <w:p w14:paraId="7B9A4B52">
                  <w:pPr>
                    <w:tabs>
                      <w:tab w:val="center" w:pos="4153"/>
                      <w:tab w:val="right" w:pos="8306"/>
                    </w:tabs>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《恶臭污染物排放标准》（GB14554-93）</w:t>
                  </w:r>
                </w:p>
              </w:tc>
            </w:tr>
          </w:tbl>
          <w:p w14:paraId="54F49D62">
            <w:pPr>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二、运营期废水环境影响及保护措施</w:t>
            </w:r>
          </w:p>
          <w:p w14:paraId="3F3DD01D">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用、排水情况</w:t>
            </w:r>
          </w:p>
          <w:p w14:paraId="575AE5AA">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根据第二章水平衡章节分析，扩建后项目用水和废水产生量汇总表见表4-</w:t>
            </w:r>
            <w:r>
              <w:rPr>
                <w:rFonts w:hint="eastAsia"/>
                <w:color w:val="000000" w:themeColor="text1"/>
                <w:kern w:val="0"/>
                <w:sz w:val="24"/>
                <w:lang w:val="en-US" w:eastAsia="zh-CN"/>
                <w14:textFill>
                  <w14:solidFill>
                    <w14:schemeClr w14:val="tx1"/>
                  </w14:solidFill>
                </w14:textFill>
              </w:rPr>
              <w:t>7</w:t>
            </w:r>
            <w:r>
              <w:rPr>
                <w:rFonts w:hint="eastAsia"/>
                <w:color w:val="000000" w:themeColor="text1"/>
                <w:kern w:val="0"/>
                <w:sz w:val="24"/>
                <w14:textFill>
                  <w14:solidFill>
                    <w14:schemeClr w14:val="tx1"/>
                  </w14:solidFill>
                </w14:textFill>
              </w:rPr>
              <w:t>；</w:t>
            </w:r>
          </w:p>
          <w:p w14:paraId="4420DBE4">
            <w:pPr>
              <w:snapToGrid w:val="0"/>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扩建后</w:t>
            </w:r>
            <w:r>
              <w:rPr>
                <w:b/>
                <w:color w:val="000000" w:themeColor="text1"/>
                <w:szCs w:val="21"/>
                <w14:textFill>
                  <w14:solidFill>
                    <w14:schemeClr w14:val="tx1"/>
                  </w14:solidFill>
                </w14:textFill>
              </w:rPr>
              <w:t xml:space="preserve">项目用水和废水产生量汇总表   </w:t>
            </w:r>
            <w:r>
              <w:rPr>
                <w:b/>
                <w:bCs/>
                <w:color w:val="000000" w:themeColor="text1"/>
                <w:szCs w:val="21"/>
                <w14:textFill>
                  <w14:solidFill>
                    <w14:schemeClr w14:val="tx1"/>
                  </w14:solidFill>
                </w14:textFill>
              </w:rPr>
              <w:t>单位：m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w:t>
            </w:r>
          </w:p>
          <w:tbl>
            <w:tblPr>
              <w:tblStyle w:val="23"/>
              <w:tblW w:w="499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781"/>
              <w:gridCol w:w="482"/>
              <w:gridCol w:w="648"/>
              <w:gridCol w:w="582"/>
              <w:gridCol w:w="515"/>
              <w:gridCol w:w="648"/>
              <w:gridCol w:w="648"/>
              <w:gridCol w:w="648"/>
              <w:gridCol w:w="515"/>
              <w:gridCol w:w="648"/>
              <w:gridCol w:w="515"/>
              <w:gridCol w:w="515"/>
              <w:gridCol w:w="847"/>
            </w:tblGrid>
            <w:tr w14:paraId="6546D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3" w:hRule="atLeast"/>
              </w:trPr>
              <w:tc>
                <w:tcPr>
                  <w:tcW w:w="419" w:type="pct"/>
                  <w:vAlign w:val="center"/>
                </w:tcPr>
                <w:p w14:paraId="0B076BD7">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水量</w:t>
                  </w:r>
                </w:p>
              </w:tc>
              <w:tc>
                <w:tcPr>
                  <w:tcW w:w="368" w:type="pct"/>
                  <w:vAlign w:val="center"/>
                </w:tcPr>
                <w:p w14:paraId="0C53C269">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果蔬废弃物</w:t>
                  </w:r>
                </w:p>
              </w:tc>
              <w:tc>
                <w:tcPr>
                  <w:tcW w:w="270" w:type="pct"/>
                  <w:vAlign w:val="center"/>
                </w:tcPr>
                <w:p w14:paraId="5F86DC3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车辆清洗</w:t>
                  </w:r>
                </w:p>
              </w:tc>
              <w:tc>
                <w:tcPr>
                  <w:tcW w:w="368" w:type="pct"/>
                  <w:vAlign w:val="center"/>
                </w:tcPr>
                <w:p w14:paraId="1A7A5ADE">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车间地面清洗</w:t>
                  </w:r>
                </w:p>
              </w:tc>
              <w:tc>
                <w:tcPr>
                  <w:tcW w:w="329" w:type="pct"/>
                  <w:vAlign w:val="center"/>
                </w:tcPr>
                <w:p w14:paraId="016DC0B6">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水膜喷淋湿法脱硫用水</w:t>
                  </w:r>
                </w:p>
              </w:tc>
              <w:tc>
                <w:tcPr>
                  <w:tcW w:w="290" w:type="pct"/>
                  <w:vAlign w:val="center"/>
                </w:tcPr>
                <w:p w14:paraId="054CCAB6">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尿素喷淋用水</w:t>
                  </w:r>
                </w:p>
              </w:tc>
              <w:tc>
                <w:tcPr>
                  <w:tcW w:w="368" w:type="pct"/>
                  <w:vAlign w:val="center"/>
                </w:tcPr>
                <w:p w14:paraId="31B47CE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厨房</w:t>
                  </w:r>
                </w:p>
                <w:p w14:paraId="463D2CA5">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368" w:type="pct"/>
                  <w:vAlign w:val="center"/>
                </w:tcPr>
                <w:p w14:paraId="495FA727">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生活</w:t>
                  </w:r>
                </w:p>
                <w:p w14:paraId="2C2FFCBC">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办公</w:t>
                  </w:r>
                </w:p>
              </w:tc>
              <w:tc>
                <w:tcPr>
                  <w:tcW w:w="368" w:type="pct"/>
                  <w:vAlign w:val="center"/>
                </w:tcPr>
                <w:p w14:paraId="2D76F82F">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冲厕</w:t>
                  </w:r>
                </w:p>
                <w:p w14:paraId="2E08288E">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w:t>
                  </w:r>
                </w:p>
              </w:tc>
              <w:tc>
                <w:tcPr>
                  <w:tcW w:w="290" w:type="pct"/>
                  <w:vAlign w:val="center"/>
                </w:tcPr>
                <w:p w14:paraId="7B5FC0A7">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绿化用水</w:t>
                  </w:r>
                </w:p>
              </w:tc>
              <w:tc>
                <w:tcPr>
                  <w:tcW w:w="368" w:type="pct"/>
                  <w:vAlign w:val="center"/>
                </w:tcPr>
                <w:p w14:paraId="036D3307">
                  <w:pPr>
                    <w:spacing w:before="48" w:beforeLines="2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发酵渗滤液</w:t>
                  </w:r>
                </w:p>
              </w:tc>
              <w:tc>
                <w:tcPr>
                  <w:tcW w:w="290" w:type="pct"/>
                  <w:vAlign w:val="center"/>
                </w:tcPr>
                <w:p w14:paraId="53EF2F33">
                  <w:pPr>
                    <w:spacing w:before="48" w:beforeLines="2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设备清洗</w:t>
                  </w:r>
                </w:p>
              </w:tc>
              <w:tc>
                <w:tcPr>
                  <w:tcW w:w="448" w:type="pct"/>
                  <w:vAlign w:val="center"/>
                </w:tcPr>
                <w:p w14:paraId="02B5E521">
                  <w:pPr>
                    <w:spacing w:before="48" w:beforeLines="20"/>
                    <w:jc w:val="center"/>
                    <w:rPr>
                      <w:rFonts w:hint="eastAsia" w:eastAsia="宋体"/>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生物除臭喷淋设施</w:t>
                  </w:r>
                  <w:r>
                    <w:rPr>
                      <w:rFonts w:hint="eastAsia"/>
                      <w:b/>
                      <w:bCs/>
                      <w:color w:val="000000" w:themeColor="text1"/>
                      <w:sz w:val="18"/>
                      <w:szCs w:val="18"/>
                      <w:lang w:val="en-US" w:eastAsia="zh-CN"/>
                      <w14:textFill>
                        <w14:solidFill>
                          <w14:schemeClr w14:val="tx1"/>
                        </w14:solidFill>
                      </w14:textFill>
                    </w:rPr>
                    <w:t>补水</w:t>
                  </w:r>
                </w:p>
              </w:tc>
              <w:tc>
                <w:tcPr>
                  <w:tcW w:w="448" w:type="pct"/>
                  <w:vAlign w:val="center"/>
                </w:tcPr>
                <w:p w14:paraId="38DB0161">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合计</w:t>
                  </w:r>
                </w:p>
              </w:tc>
            </w:tr>
            <w:tr w14:paraId="46994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419" w:type="pct"/>
                  <w:vAlign w:val="center"/>
                </w:tcPr>
                <w:p w14:paraId="7D4FDE08">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w:t>
                  </w:r>
                </w:p>
                <w:p w14:paraId="3CEA8EA7">
                  <w:pPr>
                    <w:spacing w:before="48" w:beforeLines="2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62" name="直接连接符 13"/>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3" o:spid="_x0000_s1026" o:spt="20" style="position:absolute;left:0pt;margin-left:324pt;margin-top:12.6pt;height:31.2pt;width:0.05pt;z-index:251667456;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CspULn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368" w:type="pct"/>
                  <w:vAlign w:val="center"/>
                </w:tcPr>
                <w:p w14:paraId="265BEA68">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70" w:type="pct"/>
                  <w:vAlign w:val="center"/>
                </w:tcPr>
                <w:p w14:paraId="54BDEBC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368" w:type="pct"/>
                  <w:vAlign w:val="center"/>
                </w:tcPr>
                <w:p w14:paraId="2A35BFD0">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6.76</w:t>
                  </w:r>
                </w:p>
              </w:tc>
              <w:tc>
                <w:tcPr>
                  <w:tcW w:w="329" w:type="pct"/>
                  <w:vAlign w:val="center"/>
                </w:tcPr>
                <w:p w14:paraId="2AA5945D">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54</w:t>
                  </w:r>
                </w:p>
              </w:tc>
              <w:tc>
                <w:tcPr>
                  <w:tcW w:w="290" w:type="pct"/>
                  <w:vAlign w:val="center"/>
                </w:tcPr>
                <w:p w14:paraId="212D865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3</w:t>
                  </w:r>
                </w:p>
              </w:tc>
              <w:tc>
                <w:tcPr>
                  <w:tcW w:w="368" w:type="pct"/>
                  <w:vAlign w:val="center"/>
                </w:tcPr>
                <w:p w14:paraId="0A7421E7">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54</w:t>
                  </w:r>
                </w:p>
              </w:tc>
              <w:tc>
                <w:tcPr>
                  <w:tcW w:w="368" w:type="pct"/>
                  <w:vAlign w:val="center"/>
                </w:tcPr>
                <w:p w14:paraId="26DCFDC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.386</w:t>
                  </w:r>
                </w:p>
              </w:tc>
              <w:tc>
                <w:tcPr>
                  <w:tcW w:w="368" w:type="pct"/>
                  <w:vAlign w:val="center"/>
                </w:tcPr>
                <w:p w14:paraId="4C7C6C22">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1.645</w:t>
                  </w:r>
                </w:p>
              </w:tc>
              <w:tc>
                <w:tcPr>
                  <w:tcW w:w="290" w:type="pct"/>
                  <w:vAlign w:val="center"/>
                </w:tcPr>
                <w:p w14:paraId="78393478">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0.9</w:t>
                  </w:r>
                </w:p>
              </w:tc>
              <w:tc>
                <w:tcPr>
                  <w:tcW w:w="368" w:type="pct"/>
                  <w:vAlign w:val="center"/>
                </w:tcPr>
                <w:p w14:paraId="578644FD">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290" w:type="pct"/>
                  <w:vAlign w:val="center"/>
                </w:tcPr>
                <w:p w14:paraId="2672A115">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48" w:type="pct"/>
                  <w:vAlign w:val="center"/>
                </w:tcPr>
                <w:p w14:paraId="186C5B7F">
                  <w:pPr>
                    <w:spacing w:before="48" w:beforeLines="2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0.5</w:t>
                  </w:r>
                </w:p>
              </w:tc>
              <w:tc>
                <w:tcPr>
                  <w:tcW w:w="448" w:type="pct"/>
                  <w:vAlign w:val="center"/>
                </w:tcPr>
                <w:p w14:paraId="56103E7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23.288</w:t>
                  </w:r>
                  <w:r>
                    <w:rPr>
                      <w:color w:val="000000" w:themeColor="text1"/>
                      <w:sz w:val="18"/>
                      <w:szCs w:val="18"/>
                      <w14:textFill>
                        <w14:solidFill>
                          <w14:schemeClr w14:val="tx1"/>
                        </w14:solidFill>
                      </w14:textFill>
                    </w:rPr>
                    <w:t>（晴天），</w:t>
                  </w:r>
                </w:p>
                <w:p w14:paraId="60824EF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22.388</w:t>
                  </w:r>
                  <w:r>
                    <w:rPr>
                      <w:color w:val="000000" w:themeColor="text1"/>
                      <w:sz w:val="18"/>
                      <w:szCs w:val="18"/>
                      <w14:textFill>
                        <w14:solidFill>
                          <w14:schemeClr w14:val="tx1"/>
                        </w14:solidFill>
                      </w14:textFill>
                    </w:rPr>
                    <w:t>（雨天）</w:t>
                  </w:r>
                </w:p>
              </w:tc>
            </w:tr>
            <w:tr w14:paraId="09B12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6" w:hRule="atLeast"/>
              </w:trPr>
              <w:tc>
                <w:tcPr>
                  <w:tcW w:w="419" w:type="pct"/>
                  <w:vAlign w:val="center"/>
                </w:tcPr>
                <w:p w14:paraId="502EE361">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用水量（t/a）</w:t>
                  </w:r>
                </w:p>
              </w:tc>
              <w:tc>
                <w:tcPr>
                  <w:tcW w:w="368" w:type="pct"/>
                  <w:vAlign w:val="center"/>
                </w:tcPr>
                <w:p w14:paraId="3CF32F3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270" w:type="pct"/>
                  <w:vAlign w:val="center"/>
                </w:tcPr>
                <w:p w14:paraId="264762F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3330</w:t>
                  </w:r>
                </w:p>
              </w:tc>
              <w:tc>
                <w:tcPr>
                  <w:tcW w:w="368" w:type="pct"/>
                  <w:vAlign w:val="center"/>
                </w:tcPr>
                <w:p w14:paraId="50419B3B">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2251.08</w:t>
                  </w:r>
                </w:p>
              </w:tc>
              <w:tc>
                <w:tcPr>
                  <w:tcW w:w="329" w:type="pct"/>
                  <w:vAlign w:val="center"/>
                </w:tcPr>
                <w:p w14:paraId="36D81C19">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982</w:t>
                  </w:r>
                </w:p>
              </w:tc>
              <w:tc>
                <w:tcPr>
                  <w:tcW w:w="290" w:type="pct"/>
                  <w:vAlign w:val="center"/>
                </w:tcPr>
                <w:p w14:paraId="3ED1A50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.99</w:t>
                  </w:r>
                </w:p>
              </w:tc>
              <w:tc>
                <w:tcPr>
                  <w:tcW w:w="368" w:type="pct"/>
                  <w:vAlign w:val="center"/>
                </w:tcPr>
                <w:p w14:paraId="01C9332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179.82</w:t>
                  </w:r>
                </w:p>
              </w:tc>
              <w:tc>
                <w:tcPr>
                  <w:tcW w:w="368" w:type="pct"/>
                  <w:vAlign w:val="center"/>
                </w:tcPr>
                <w:p w14:paraId="2F48F6A7">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461.538</w:t>
                  </w:r>
                </w:p>
              </w:tc>
              <w:tc>
                <w:tcPr>
                  <w:tcW w:w="368" w:type="pct"/>
                  <w:vAlign w:val="center"/>
                </w:tcPr>
                <w:p w14:paraId="5793E113">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547.785</w:t>
                  </w:r>
                </w:p>
              </w:tc>
              <w:tc>
                <w:tcPr>
                  <w:tcW w:w="290" w:type="pct"/>
                  <w:vAlign w:val="center"/>
                </w:tcPr>
                <w:p w14:paraId="08B14039">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201.6</w:t>
                  </w:r>
                </w:p>
              </w:tc>
              <w:tc>
                <w:tcPr>
                  <w:tcW w:w="368" w:type="pct"/>
                  <w:vAlign w:val="center"/>
                </w:tcPr>
                <w:p w14:paraId="3FE99FA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290" w:type="pct"/>
                  <w:vAlign w:val="center"/>
                </w:tcPr>
                <w:p w14:paraId="6B8FF6B8">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499.5</w:t>
                  </w:r>
                </w:p>
              </w:tc>
              <w:tc>
                <w:tcPr>
                  <w:tcW w:w="448" w:type="pct"/>
                  <w:vAlign w:val="center"/>
                </w:tcPr>
                <w:p w14:paraId="4B680181">
                  <w:pPr>
                    <w:spacing w:before="48" w:beforeLines="2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166.5</w:t>
                  </w:r>
                </w:p>
              </w:tc>
              <w:tc>
                <w:tcPr>
                  <w:tcW w:w="448" w:type="pct"/>
                  <w:vAlign w:val="center"/>
                </w:tcPr>
                <w:p w14:paraId="32FADD00">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7656.8</w:t>
                  </w:r>
                </w:p>
                <w:p w14:paraId="11DF3500">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7455.2</w:t>
                  </w:r>
                </w:p>
              </w:tc>
            </w:tr>
            <w:tr w14:paraId="03943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419" w:type="pct"/>
                  <w:vAlign w:val="center"/>
                </w:tcPr>
                <w:p w14:paraId="3DF70430">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w:t>
                  </w:r>
                </w:p>
                <w:p w14:paraId="7E22E163">
                  <w:pPr>
                    <w:spacing w:before="48" w:beforeLines="20"/>
                    <w:jc w:val="left"/>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（m</w:t>
                  </w:r>
                  <w:r>
                    <w:rPr>
                      <w:b/>
                      <w:bCs/>
                      <w:color w:val="000000" w:themeColor="text1"/>
                      <w:sz w:val="18"/>
                      <w:szCs w:val="18"/>
                      <w:vertAlign w:val="superscript"/>
                      <w14:textFill>
                        <w14:solidFill>
                          <w14:schemeClr w14:val="tx1"/>
                        </w14:solidFill>
                      </w14:textFill>
                    </w:rPr>
                    <w:t>3/</w:t>
                  </w:r>
                  <w:r>
                    <w:rPr>
                      <w:b/>
                      <w:bCs/>
                      <w:color w:val="000000" w:themeColor="text1"/>
                      <w:sz w:val="18"/>
                      <w:szCs w:val="1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160020</wp:posOffset>
                            </wp:positionV>
                            <wp:extent cx="635" cy="396240"/>
                            <wp:effectExtent l="0" t="0" r="0" b="0"/>
                            <wp:wrapNone/>
                            <wp:docPr id="63" name="直接连接符 12"/>
                            <wp:cNvGraphicFramePr/>
                            <a:graphic xmlns:a="http://schemas.openxmlformats.org/drawingml/2006/main">
                              <a:graphicData uri="http://schemas.microsoft.com/office/word/2010/wordprocessingShape">
                                <wps:wsp>
                                  <wps:cNvCnPr/>
                                  <wps:spPr>
                                    <a:xfrm>
                                      <a:off x="0" y="0"/>
                                      <a:ext cx="635" cy="396240"/>
                                    </a:xfrm>
                                    <a:prstGeom prst="line">
                                      <a:avLst/>
                                    </a:prstGeom>
                                    <a:ln>
                                      <a:noFill/>
                                    </a:ln>
                                    <a:effectLst/>
                                  </wps:spPr>
                                  <wps:bodyPr/>
                                </wps:wsp>
                              </a:graphicData>
                            </a:graphic>
                          </wp:anchor>
                        </w:drawing>
                      </mc:Choice>
                      <mc:Fallback>
                        <w:pict>
                          <v:line id="直接连接符 12" o:spid="_x0000_s1026" o:spt="20" style="position:absolute;left:0pt;margin-left:324pt;margin-top:12.6pt;height:31.2pt;width:0.05pt;z-index:251668480;mso-width-relative:page;mso-height-relative:page;" filled="f" stroked="f" coordsize="21600,21600" o:gfxdata="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0p2DjYAAAACQEAAA8AAAAA&#10;AAAAAQAgAAAAIgAAAGRycy9kb3ducmV2LnhtbFBLAQIUABQAAAAIAIdO4kAh6wHUogEAADQDAAAO&#10;AAAAAAAAAAEAIAAAACcBAABkcnMvZTJvRG9jLnhtbFBLBQYAAAAABgAGAFkBAAA7BQAAAAA=&#10;">
                            <v:fill on="f" focussize="0,0"/>
                            <v:stroke on="f"/>
                            <v:imagedata o:title=""/>
                            <o:lock v:ext="edit" aspectratio="f"/>
                          </v:line>
                        </w:pict>
                      </mc:Fallback>
                    </mc:AlternateContent>
                  </w:r>
                  <w:r>
                    <w:rPr>
                      <w:b/>
                      <w:bCs/>
                      <w:color w:val="000000" w:themeColor="text1"/>
                      <w:sz w:val="18"/>
                      <w:szCs w:val="18"/>
                      <w14:textFill>
                        <w14:solidFill>
                          <w14:schemeClr w14:val="tx1"/>
                        </w14:solidFill>
                      </w14:textFill>
                    </w:rPr>
                    <w:t>d）</w:t>
                  </w:r>
                </w:p>
              </w:tc>
              <w:tc>
                <w:tcPr>
                  <w:tcW w:w="368" w:type="pct"/>
                  <w:vAlign w:val="center"/>
                </w:tcPr>
                <w:p w14:paraId="2C8423A8">
                  <w:pPr>
                    <w:spacing w:before="48" w:beforeLines="2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681.98</w:t>
                  </w:r>
                </w:p>
              </w:tc>
              <w:tc>
                <w:tcPr>
                  <w:tcW w:w="270" w:type="pct"/>
                  <w:vAlign w:val="center"/>
                </w:tcPr>
                <w:p w14:paraId="48A711C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368" w:type="pct"/>
                  <w:vAlign w:val="center"/>
                </w:tcPr>
                <w:p w14:paraId="77694D76">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5.41</w:t>
                  </w:r>
                </w:p>
              </w:tc>
              <w:tc>
                <w:tcPr>
                  <w:tcW w:w="329" w:type="pct"/>
                  <w:vAlign w:val="center"/>
                </w:tcPr>
                <w:p w14:paraId="1B4BB75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4</w:t>
                  </w:r>
                </w:p>
              </w:tc>
              <w:tc>
                <w:tcPr>
                  <w:tcW w:w="290" w:type="pct"/>
                  <w:vAlign w:val="center"/>
                </w:tcPr>
                <w:p w14:paraId="40D76F6C">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679257DF">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432</w:t>
                  </w:r>
                </w:p>
              </w:tc>
              <w:tc>
                <w:tcPr>
                  <w:tcW w:w="368" w:type="pct"/>
                  <w:vAlign w:val="center"/>
                </w:tcPr>
                <w:p w14:paraId="4D6ACAEE">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1.128</w:t>
                  </w:r>
                </w:p>
              </w:tc>
              <w:tc>
                <w:tcPr>
                  <w:tcW w:w="368" w:type="pct"/>
                  <w:vAlign w:val="center"/>
                </w:tcPr>
                <w:p w14:paraId="081C5B44">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1.316</w:t>
                  </w:r>
                </w:p>
              </w:tc>
              <w:tc>
                <w:tcPr>
                  <w:tcW w:w="290" w:type="pct"/>
                  <w:vAlign w:val="center"/>
                </w:tcPr>
                <w:p w14:paraId="60D2CFEE">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2E149B60">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11.808</w:t>
                  </w:r>
                </w:p>
              </w:tc>
              <w:tc>
                <w:tcPr>
                  <w:tcW w:w="290" w:type="pct"/>
                  <w:vAlign w:val="center"/>
                </w:tcPr>
                <w:p w14:paraId="2165DD2B">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48" w:type="pct"/>
                  <w:vAlign w:val="center"/>
                </w:tcPr>
                <w:p w14:paraId="7FF1C134">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48" w:type="pct"/>
                  <w:vAlign w:val="center"/>
                </w:tcPr>
                <w:p w14:paraId="7EB03F9D">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711.281</w:t>
                  </w:r>
                </w:p>
              </w:tc>
            </w:tr>
            <w:tr w14:paraId="1AFD6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419" w:type="pct"/>
                  <w:vAlign w:val="center"/>
                </w:tcPr>
                <w:p w14:paraId="134F4F81">
                  <w:pPr>
                    <w:spacing w:before="48" w:beforeLines="20"/>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废水量（t/a）</w:t>
                  </w:r>
                </w:p>
              </w:tc>
              <w:tc>
                <w:tcPr>
                  <w:tcW w:w="368" w:type="pct"/>
                  <w:vAlign w:val="center"/>
                </w:tcPr>
                <w:p w14:paraId="3B8F5E62">
                  <w:pPr>
                    <w:spacing w:before="48" w:beforeLines="2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227099.34</w:t>
                  </w:r>
                </w:p>
              </w:tc>
              <w:tc>
                <w:tcPr>
                  <w:tcW w:w="270" w:type="pct"/>
                  <w:vAlign w:val="center"/>
                </w:tcPr>
                <w:p w14:paraId="2EC4B84A">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2664</w:t>
                  </w:r>
                </w:p>
              </w:tc>
              <w:tc>
                <w:tcPr>
                  <w:tcW w:w="368" w:type="pct"/>
                  <w:vAlign w:val="center"/>
                </w:tcPr>
                <w:p w14:paraId="72B7914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1800.86</w:t>
                  </w:r>
                </w:p>
              </w:tc>
              <w:tc>
                <w:tcPr>
                  <w:tcW w:w="329" w:type="pct"/>
                  <w:vAlign w:val="center"/>
                </w:tcPr>
                <w:p w14:paraId="334A44B6">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332</w:t>
                  </w:r>
                </w:p>
              </w:tc>
              <w:tc>
                <w:tcPr>
                  <w:tcW w:w="290" w:type="pct"/>
                  <w:vAlign w:val="center"/>
                </w:tcPr>
                <w:p w14:paraId="407EBF93">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5617BA9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143.856</w:t>
                  </w:r>
                </w:p>
              </w:tc>
              <w:tc>
                <w:tcPr>
                  <w:tcW w:w="368" w:type="pct"/>
                  <w:vAlign w:val="center"/>
                </w:tcPr>
                <w:p w14:paraId="5DD3728A">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375.624</w:t>
                  </w:r>
                </w:p>
              </w:tc>
              <w:tc>
                <w:tcPr>
                  <w:tcW w:w="368" w:type="pct"/>
                  <w:vAlign w:val="center"/>
                </w:tcPr>
                <w:p w14:paraId="34D9A05D">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438.228</w:t>
                  </w:r>
                </w:p>
              </w:tc>
              <w:tc>
                <w:tcPr>
                  <w:tcW w:w="290" w:type="pct"/>
                  <w:vAlign w:val="center"/>
                </w:tcPr>
                <w:p w14:paraId="4F1C17BD">
                  <w:pPr>
                    <w:spacing w:before="48" w:beforeLines="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368" w:type="pct"/>
                  <w:vAlign w:val="center"/>
                </w:tcPr>
                <w:p w14:paraId="3B0119AE">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3932.06</w:t>
                  </w:r>
                </w:p>
              </w:tc>
              <w:tc>
                <w:tcPr>
                  <w:tcW w:w="290" w:type="pct"/>
                  <w:vAlign w:val="center"/>
                </w:tcPr>
                <w:p w14:paraId="4F0578AC">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399.6</w:t>
                  </w:r>
                </w:p>
              </w:tc>
              <w:tc>
                <w:tcPr>
                  <w:tcW w:w="448" w:type="pct"/>
                  <w:vAlign w:val="center"/>
                </w:tcPr>
                <w:p w14:paraId="557378E2">
                  <w:pPr>
                    <w:spacing w:before="48" w:beforeLines="2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48" w:type="pct"/>
                  <w:vAlign w:val="center"/>
                </w:tcPr>
                <w:p w14:paraId="11EEBB71">
                  <w:pPr>
                    <w:spacing w:before="48" w:beforeLines="2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236856.573</w:t>
                  </w:r>
                </w:p>
              </w:tc>
            </w:tr>
          </w:tbl>
          <w:p w14:paraId="1CE67FCA">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2.废水中污染物产排量核算及达标情况分析</w:t>
            </w:r>
          </w:p>
          <w:p w14:paraId="605C2E0B">
            <w:pPr>
              <w:spacing w:line="360" w:lineRule="auto"/>
              <w:ind w:firstLine="480" w:firstLineChars="200"/>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生活污水各污染物产生浓度约为CODcr 400mg/L，BOD</w:t>
            </w:r>
            <w:r>
              <w:rPr>
                <w:color w:val="000000" w:themeColor="text1"/>
                <w:kern w:val="0"/>
                <w:sz w:val="24"/>
                <w:vertAlign w:val="subscript"/>
                <w:lang w:bidi="ar"/>
                <w14:textFill>
                  <w14:solidFill>
                    <w14:schemeClr w14:val="tx1"/>
                  </w14:solidFill>
                </w14:textFill>
              </w:rPr>
              <w:t>5</w:t>
            </w:r>
            <w:r>
              <w:rPr>
                <w:color w:val="000000" w:themeColor="text1"/>
                <w:kern w:val="0"/>
                <w:sz w:val="24"/>
                <w:lang w:bidi="ar"/>
                <w14:textFill>
                  <w14:solidFill>
                    <w14:schemeClr w14:val="tx1"/>
                  </w14:solidFill>
                </w14:textFill>
              </w:rPr>
              <w:t xml:space="preserve"> 2</w:t>
            </w:r>
            <w:r>
              <w:rPr>
                <w:rFonts w:hint="eastAsia"/>
                <w:color w:val="000000" w:themeColor="text1"/>
                <w:kern w:val="0"/>
                <w:sz w:val="24"/>
                <w:lang w:bidi="ar"/>
                <w14:textFill>
                  <w14:solidFill>
                    <w14:schemeClr w14:val="tx1"/>
                  </w14:solidFill>
                </w14:textFill>
              </w:rPr>
              <w:t>5</w:t>
            </w:r>
            <w:r>
              <w:rPr>
                <w:color w:val="000000" w:themeColor="text1"/>
                <w:kern w:val="0"/>
                <w:sz w:val="24"/>
                <w:lang w:bidi="ar"/>
                <w14:textFill>
                  <w14:solidFill>
                    <w14:schemeClr w14:val="tx1"/>
                  </w14:solidFill>
                </w14:textFill>
              </w:rPr>
              <w:t xml:space="preserve">0mg/L，SS </w:t>
            </w:r>
            <w:r>
              <w:rPr>
                <w:rFonts w:hint="eastAsia"/>
                <w:color w:val="000000" w:themeColor="text1"/>
                <w:kern w:val="0"/>
                <w:sz w:val="24"/>
                <w:lang w:bidi="ar"/>
                <w14:textFill>
                  <w14:solidFill>
                    <w14:schemeClr w14:val="tx1"/>
                  </w14:solidFill>
                </w14:textFill>
              </w:rPr>
              <w:t>5</w:t>
            </w:r>
            <w:r>
              <w:rPr>
                <w:color w:val="000000" w:themeColor="text1"/>
                <w:kern w:val="0"/>
                <w:sz w:val="24"/>
                <w:lang w:bidi="ar"/>
                <w14:textFill>
                  <w14:solidFill>
                    <w14:schemeClr w14:val="tx1"/>
                  </w14:solidFill>
                </w14:textFill>
              </w:rPr>
              <w:t>00mg/L，NH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bidi="ar"/>
                <w14:textFill>
                  <w14:solidFill>
                    <w14:schemeClr w14:val="tx1"/>
                  </w14:solidFill>
                </w14:textFill>
              </w:rPr>
              <w:t>45</w:t>
            </w:r>
            <w:r>
              <w:rPr>
                <w:color w:val="000000" w:themeColor="text1"/>
                <w:kern w:val="0"/>
                <w:sz w:val="24"/>
                <w:lang w:bidi="ar"/>
                <w14:textFill>
                  <w14:solidFill>
                    <w14:schemeClr w14:val="tx1"/>
                  </w14:solidFill>
                </w14:textFill>
              </w:rPr>
              <w:t>mg/L，</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4.28</w:t>
            </w:r>
            <w:r>
              <w:rPr>
                <w:color w:val="000000" w:themeColor="text1"/>
                <w:kern w:val="0"/>
                <w:sz w:val="24"/>
                <w:lang w:bidi="ar"/>
                <w14:textFill>
                  <w14:solidFill>
                    <w14:schemeClr w14:val="tx1"/>
                  </w14:solidFill>
                </w14:textFill>
              </w:rPr>
              <w:t>mg/L，化粪池对生活污水的处理效率约为 CODcr 15%，BOD</w:t>
            </w:r>
            <w:r>
              <w:rPr>
                <w:color w:val="000000" w:themeColor="text1"/>
                <w:kern w:val="0"/>
                <w:sz w:val="24"/>
                <w:vertAlign w:val="subscript"/>
                <w:lang w:bidi="ar"/>
                <w14:textFill>
                  <w14:solidFill>
                    <w14:schemeClr w14:val="tx1"/>
                  </w14:solidFill>
                </w14:textFill>
              </w:rPr>
              <w:t xml:space="preserve">5 </w:t>
            </w:r>
            <w:r>
              <w:rPr>
                <w:rFonts w:hint="eastAsia"/>
                <w:color w:val="000000" w:themeColor="text1"/>
                <w:kern w:val="0"/>
                <w:sz w:val="24"/>
                <w:lang w:bidi="ar"/>
                <w14:textFill>
                  <w14:solidFill>
                    <w14:schemeClr w14:val="tx1"/>
                  </w14:solidFill>
                </w14:textFill>
              </w:rPr>
              <w:t>9</w:t>
            </w:r>
            <w:r>
              <w:rPr>
                <w:color w:val="000000" w:themeColor="text1"/>
                <w:kern w:val="0"/>
                <w:sz w:val="24"/>
                <w:lang w:bidi="ar"/>
                <w14:textFill>
                  <w14:solidFill>
                    <w14:schemeClr w14:val="tx1"/>
                  </w14:solidFill>
                </w14:textFill>
              </w:rPr>
              <w:t>%，SS 30%，NH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2</w:t>
            </w:r>
            <w:r>
              <w:rPr>
                <w:color w:val="000000" w:themeColor="text1"/>
                <w:kern w:val="0"/>
                <w:sz w:val="24"/>
                <w:lang w:bidi="ar"/>
                <w14:textFill>
                  <w14:solidFill>
                    <w14:schemeClr w14:val="tx1"/>
                  </w14:solidFill>
                </w14:textFill>
              </w:rPr>
              <w:t>%，则项目生活污水各污染物排放浓度约为 CODcr 340mg/L，BOD</w:t>
            </w:r>
            <w:r>
              <w:rPr>
                <w:color w:val="000000" w:themeColor="text1"/>
                <w:kern w:val="0"/>
                <w:sz w:val="24"/>
                <w:vertAlign w:val="subscript"/>
                <w:lang w:bidi="ar"/>
                <w14:textFill>
                  <w14:solidFill>
                    <w14:schemeClr w14:val="tx1"/>
                  </w14:solidFill>
                </w14:textFill>
              </w:rPr>
              <w:t>5</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227.5</w:t>
            </w:r>
            <w:r>
              <w:rPr>
                <w:color w:val="000000" w:themeColor="text1"/>
                <w:kern w:val="0"/>
                <w:sz w:val="24"/>
                <w:lang w:bidi="ar"/>
                <w14:textFill>
                  <w14:solidFill>
                    <w14:schemeClr w14:val="tx1"/>
                  </w14:solidFill>
                </w14:textFill>
              </w:rPr>
              <w:t>mg/L，SS</w:t>
            </w:r>
            <w:r>
              <w:rPr>
                <w:rFonts w:hint="eastAsia"/>
                <w:color w:val="000000" w:themeColor="text1"/>
                <w:kern w:val="0"/>
                <w:sz w:val="24"/>
                <w:lang w:bidi="ar"/>
                <w14:textFill>
                  <w14:solidFill>
                    <w14:schemeClr w14:val="tx1"/>
                  </w14:solidFill>
                </w14:textFill>
              </w:rPr>
              <w:t xml:space="preserve"> 350</w:t>
            </w:r>
            <w:r>
              <w:rPr>
                <w:color w:val="000000" w:themeColor="text1"/>
                <w:kern w:val="0"/>
                <w:sz w:val="24"/>
                <w:lang w:bidi="ar"/>
                <w14:textFill>
                  <w14:solidFill>
                    <w14:schemeClr w14:val="tx1"/>
                  </w14:solidFill>
                </w14:textFill>
              </w:rPr>
              <w:t>mg/L，NH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 xml:space="preserve">-N </w:t>
            </w:r>
            <w:r>
              <w:rPr>
                <w:rFonts w:hint="eastAsia"/>
                <w:color w:val="000000" w:themeColor="text1"/>
                <w:kern w:val="0"/>
                <w:sz w:val="24"/>
                <w:lang w:bidi="ar"/>
                <w14:textFill>
                  <w14:solidFill>
                    <w14:schemeClr w14:val="tx1"/>
                  </w14:solidFill>
                </w14:textFill>
              </w:rPr>
              <w:t>43.65</w:t>
            </w:r>
            <w:r>
              <w:rPr>
                <w:color w:val="000000" w:themeColor="text1"/>
                <w:kern w:val="0"/>
                <w:sz w:val="24"/>
                <w:lang w:bidi="ar"/>
                <w14:textFill>
                  <w14:solidFill>
                    <w14:schemeClr w14:val="tx1"/>
                  </w14:solidFill>
                </w14:textFill>
              </w:rPr>
              <w:t>mg/L，</w:t>
            </w:r>
            <w:r>
              <w:rPr>
                <w:rFonts w:hint="eastAsia"/>
                <w:color w:val="000000" w:themeColor="text1"/>
                <w:kern w:val="0"/>
                <w:sz w:val="24"/>
                <w:lang w:bidi="ar"/>
                <w14:textFill>
                  <w14:solidFill>
                    <w14:schemeClr w14:val="tx1"/>
                  </w14:solidFill>
                </w14:textFill>
              </w:rPr>
              <w:t>总磷</w:t>
            </w:r>
            <w:r>
              <w:rPr>
                <w:color w:val="000000" w:themeColor="text1"/>
                <w:kern w:val="0"/>
                <w:sz w:val="24"/>
                <w:lang w:bidi="ar"/>
                <w14:textFill>
                  <w14:solidFill>
                    <w14:schemeClr w14:val="tx1"/>
                  </w14:solidFill>
                </w14:textFill>
              </w:rPr>
              <w:t xml:space="preserve"> </w:t>
            </w:r>
            <w:r>
              <w:rPr>
                <w:rFonts w:hint="eastAsia"/>
                <w:color w:val="000000" w:themeColor="text1"/>
                <w:kern w:val="0"/>
                <w:sz w:val="24"/>
                <w:lang w:bidi="ar"/>
                <w14:textFill>
                  <w14:solidFill>
                    <w14:schemeClr w14:val="tx1"/>
                  </w14:solidFill>
                </w14:textFill>
              </w:rPr>
              <w:t>4.19</w:t>
            </w:r>
            <w:r>
              <w:rPr>
                <w:color w:val="000000" w:themeColor="text1"/>
                <w:kern w:val="0"/>
                <w:sz w:val="24"/>
                <w:lang w:bidi="ar"/>
                <w14:textFill>
                  <w14:solidFill>
                    <w14:schemeClr w14:val="tx1"/>
                  </w14:solidFill>
                </w14:textFill>
              </w:rPr>
              <w:t>mg/L</w:t>
            </w:r>
            <w:r>
              <w:rPr>
                <w:rFonts w:hint="eastAsia"/>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项目生活污水污染物产生情况见表4-</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w:t>
            </w:r>
          </w:p>
          <w:p w14:paraId="42ADBF8D">
            <w:pPr>
              <w:pStyle w:val="117"/>
              <w:rPr>
                <w:b w:val="0"/>
                <w:bCs/>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项目生活污水处理前后情况一览表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5"/>
              <w:gridCol w:w="1880"/>
              <w:gridCol w:w="715"/>
              <w:gridCol w:w="846"/>
              <w:gridCol w:w="931"/>
              <w:gridCol w:w="922"/>
              <w:gridCol w:w="931"/>
              <w:gridCol w:w="931"/>
            </w:tblGrid>
            <w:tr w14:paraId="31D5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tcMar>
                    <w:top w:w="0" w:type="dxa"/>
                    <w:left w:w="108" w:type="dxa"/>
                    <w:bottom w:w="0" w:type="dxa"/>
                    <w:right w:w="108" w:type="dxa"/>
                  </w:tcMar>
                  <w:vAlign w:val="center"/>
                </w:tcPr>
                <w:p w14:paraId="1B7FD079">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废水类别</w:t>
                  </w:r>
                </w:p>
              </w:tc>
              <w:tc>
                <w:tcPr>
                  <w:tcW w:w="1796" w:type="dxa"/>
                  <w:tcMar>
                    <w:top w:w="0" w:type="dxa"/>
                    <w:left w:w="108" w:type="dxa"/>
                    <w:bottom w:w="0" w:type="dxa"/>
                    <w:right w:w="108" w:type="dxa"/>
                  </w:tcMar>
                  <w:vAlign w:val="center"/>
                </w:tcPr>
                <w:p w14:paraId="416A4BDC">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683" w:type="dxa"/>
                  <w:tcMar>
                    <w:top w:w="0" w:type="dxa"/>
                    <w:left w:w="108" w:type="dxa"/>
                    <w:bottom w:w="0" w:type="dxa"/>
                    <w:right w:w="108" w:type="dxa"/>
                  </w:tcMar>
                  <w:vAlign w:val="center"/>
                </w:tcPr>
                <w:p w14:paraId="2E9F1F5B">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808" w:type="dxa"/>
                  <w:tcMar>
                    <w:top w:w="0" w:type="dxa"/>
                    <w:left w:w="108" w:type="dxa"/>
                    <w:bottom w:w="0" w:type="dxa"/>
                    <w:right w:w="108" w:type="dxa"/>
                  </w:tcMar>
                  <w:vAlign w:val="center"/>
                </w:tcPr>
                <w:p w14:paraId="79515679">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889" w:type="dxa"/>
                  <w:tcMar>
                    <w:top w:w="0" w:type="dxa"/>
                    <w:left w:w="108" w:type="dxa"/>
                    <w:bottom w:w="0" w:type="dxa"/>
                    <w:right w:w="108" w:type="dxa"/>
                  </w:tcMar>
                  <w:vAlign w:val="center"/>
                </w:tcPr>
                <w:p w14:paraId="46BE6D5D">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881" w:type="dxa"/>
                  <w:tcMar>
                    <w:top w:w="0" w:type="dxa"/>
                    <w:left w:w="108" w:type="dxa"/>
                    <w:bottom w:w="0" w:type="dxa"/>
                    <w:right w:w="108" w:type="dxa"/>
                  </w:tcMar>
                  <w:vAlign w:val="center"/>
                </w:tcPr>
                <w:p w14:paraId="7937F764">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889" w:type="dxa"/>
                  <w:tcMar>
                    <w:top w:w="0" w:type="dxa"/>
                    <w:left w:w="108" w:type="dxa"/>
                    <w:bottom w:w="0" w:type="dxa"/>
                    <w:right w:w="108" w:type="dxa"/>
                  </w:tcMar>
                  <w:vAlign w:val="center"/>
                </w:tcPr>
                <w:p w14:paraId="25688D8D">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w:t>
                  </w:r>
                  <w:r>
                    <w:rPr>
                      <w:b/>
                      <w:bCs/>
                      <w:color w:val="000000" w:themeColor="text1"/>
                      <w:szCs w:val="21"/>
                      <w14:textFill>
                        <w14:solidFill>
                          <w14:schemeClr w14:val="tx1"/>
                        </w14:solidFill>
                      </w14:textFill>
                    </w:rPr>
                    <w:t>氮</w:t>
                  </w:r>
                </w:p>
              </w:tc>
              <w:tc>
                <w:tcPr>
                  <w:tcW w:w="889" w:type="dxa"/>
                  <w:tcMar>
                    <w:top w:w="0" w:type="dxa"/>
                    <w:left w:w="108" w:type="dxa"/>
                    <w:bottom w:w="0" w:type="dxa"/>
                    <w:right w:w="108" w:type="dxa"/>
                  </w:tcMar>
                  <w:vAlign w:val="center"/>
                </w:tcPr>
                <w:p w14:paraId="02E48791">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总磷</w:t>
                  </w:r>
                </w:p>
              </w:tc>
            </w:tr>
            <w:tr w14:paraId="48B0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vMerge w:val="restart"/>
                  <w:tcMar>
                    <w:top w:w="0" w:type="dxa"/>
                    <w:left w:w="108" w:type="dxa"/>
                    <w:bottom w:w="0" w:type="dxa"/>
                    <w:right w:w="108" w:type="dxa"/>
                  </w:tcMar>
                  <w:vAlign w:val="center"/>
                </w:tcPr>
                <w:p w14:paraId="381F12E5">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p w14:paraId="13BA527C">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（2.876m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/d，957.708                                         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1796" w:type="dxa"/>
                  <w:vMerge w:val="restart"/>
                  <w:tcMar>
                    <w:top w:w="0" w:type="dxa"/>
                    <w:left w:w="108" w:type="dxa"/>
                    <w:bottom w:w="0" w:type="dxa"/>
                    <w:right w:w="108" w:type="dxa"/>
                  </w:tcMar>
                  <w:vAlign w:val="center"/>
                </w:tcPr>
                <w:p w14:paraId="16830067">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化粪池处理前</w:t>
                  </w:r>
                </w:p>
              </w:tc>
              <w:tc>
                <w:tcPr>
                  <w:tcW w:w="683" w:type="dxa"/>
                  <w:tcMar>
                    <w:top w:w="0" w:type="dxa"/>
                    <w:left w:w="108" w:type="dxa"/>
                    <w:bottom w:w="0" w:type="dxa"/>
                    <w:right w:w="108" w:type="dxa"/>
                  </w:tcMar>
                  <w:vAlign w:val="center"/>
                </w:tcPr>
                <w:p w14:paraId="07C522A8">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808" w:type="dxa"/>
                  <w:tcMar>
                    <w:top w:w="0" w:type="dxa"/>
                    <w:left w:w="108" w:type="dxa"/>
                    <w:bottom w:w="0" w:type="dxa"/>
                    <w:right w:w="108" w:type="dxa"/>
                  </w:tcMar>
                  <w:vAlign w:val="center"/>
                </w:tcPr>
                <w:p w14:paraId="420C173A">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400</w:t>
                  </w:r>
                </w:p>
              </w:tc>
              <w:tc>
                <w:tcPr>
                  <w:tcW w:w="889" w:type="dxa"/>
                  <w:tcMar>
                    <w:top w:w="0" w:type="dxa"/>
                    <w:left w:w="108" w:type="dxa"/>
                    <w:bottom w:w="0" w:type="dxa"/>
                    <w:right w:w="108" w:type="dxa"/>
                  </w:tcMar>
                  <w:vAlign w:val="center"/>
                </w:tcPr>
                <w:p w14:paraId="3E650AD8">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250</w:t>
                  </w:r>
                </w:p>
              </w:tc>
              <w:tc>
                <w:tcPr>
                  <w:tcW w:w="881" w:type="dxa"/>
                  <w:tcMar>
                    <w:top w:w="0" w:type="dxa"/>
                    <w:left w:w="108" w:type="dxa"/>
                    <w:bottom w:w="0" w:type="dxa"/>
                    <w:right w:w="108" w:type="dxa"/>
                  </w:tcMar>
                  <w:vAlign w:val="center"/>
                </w:tcPr>
                <w:p w14:paraId="42BB3FC3">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500</w:t>
                  </w:r>
                </w:p>
              </w:tc>
              <w:tc>
                <w:tcPr>
                  <w:tcW w:w="889" w:type="dxa"/>
                  <w:tcMar>
                    <w:top w:w="0" w:type="dxa"/>
                    <w:left w:w="108" w:type="dxa"/>
                    <w:bottom w:w="0" w:type="dxa"/>
                    <w:right w:w="108" w:type="dxa"/>
                  </w:tcMar>
                  <w:vAlign w:val="center"/>
                </w:tcPr>
                <w:p w14:paraId="60ED3704">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45</w:t>
                  </w:r>
                </w:p>
              </w:tc>
              <w:tc>
                <w:tcPr>
                  <w:tcW w:w="889" w:type="dxa"/>
                  <w:tcMar>
                    <w:top w:w="0" w:type="dxa"/>
                    <w:left w:w="108" w:type="dxa"/>
                    <w:bottom w:w="0" w:type="dxa"/>
                    <w:right w:w="108" w:type="dxa"/>
                  </w:tcMar>
                  <w:vAlign w:val="center"/>
                </w:tcPr>
                <w:p w14:paraId="63A427CB">
                  <w:pPr>
                    <w:widowControl/>
                    <w:jc w:val="center"/>
                    <w:textAlignment w:val="center"/>
                    <w:rPr>
                      <w:rFonts w:eastAsia="Tahoma"/>
                      <w:color w:val="000000" w:themeColor="text1"/>
                      <w:kern w:val="0"/>
                      <w:szCs w:val="21"/>
                      <w:lang w:bidi="ar"/>
                      <w14:textFill>
                        <w14:solidFill>
                          <w14:schemeClr w14:val="tx1"/>
                        </w14:solidFill>
                      </w14:textFill>
                    </w:rPr>
                  </w:pPr>
                  <w:r>
                    <w:rPr>
                      <w:rFonts w:hint="eastAsia" w:eastAsia="Tahoma"/>
                      <w:color w:val="000000" w:themeColor="text1"/>
                      <w:kern w:val="0"/>
                      <w:szCs w:val="21"/>
                      <w:lang w:bidi="ar"/>
                      <w14:textFill>
                        <w14:solidFill>
                          <w14:schemeClr w14:val="tx1"/>
                        </w14:solidFill>
                      </w14:textFill>
                    </w:rPr>
                    <w:t>4.28</w:t>
                  </w:r>
                </w:p>
              </w:tc>
            </w:tr>
            <w:tr w14:paraId="50B4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vMerge w:val="continue"/>
                  <w:tcMar>
                    <w:top w:w="0" w:type="dxa"/>
                    <w:left w:w="108" w:type="dxa"/>
                    <w:bottom w:w="0" w:type="dxa"/>
                    <w:right w:w="108" w:type="dxa"/>
                  </w:tcMar>
                  <w:vAlign w:val="center"/>
                </w:tcPr>
                <w:p w14:paraId="3B110190">
                  <w:pPr>
                    <w:adjustRightInd w:val="0"/>
                    <w:snapToGrid w:val="0"/>
                    <w:contextualSpacing/>
                    <w:jc w:val="center"/>
                    <w:rPr>
                      <w:color w:val="000000" w:themeColor="text1"/>
                      <w:szCs w:val="21"/>
                      <w14:textFill>
                        <w14:solidFill>
                          <w14:schemeClr w14:val="tx1"/>
                        </w14:solidFill>
                      </w14:textFill>
                    </w:rPr>
                  </w:pPr>
                </w:p>
              </w:tc>
              <w:tc>
                <w:tcPr>
                  <w:tcW w:w="1796" w:type="dxa"/>
                  <w:vMerge w:val="continue"/>
                  <w:tcMar>
                    <w:top w:w="0" w:type="dxa"/>
                    <w:left w:w="108" w:type="dxa"/>
                    <w:bottom w:w="0" w:type="dxa"/>
                    <w:right w:w="108" w:type="dxa"/>
                  </w:tcMar>
                  <w:vAlign w:val="center"/>
                </w:tcPr>
                <w:p w14:paraId="6A72D49B">
                  <w:pPr>
                    <w:adjustRightInd w:val="0"/>
                    <w:snapToGrid w:val="0"/>
                    <w:contextualSpacing/>
                    <w:jc w:val="center"/>
                    <w:rPr>
                      <w:color w:val="000000" w:themeColor="text1"/>
                      <w:szCs w:val="21"/>
                      <w14:textFill>
                        <w14:solidFill>
                          <w14:schemeClr w14:val="tx1"/>
                        </w14:solidFill>
                      </w14:textFill>
                    </w:rPr>
                  </w:pPr>
                </w:p>
              </w:tc>
              <w:tc>
                <w:tcPr>
                  <w:tcW w:w="683" w:type="dxa"/>
                  <w:tcMar>
                    <w:top w:w="0" w:type="dxa"/>
                    <w:left w:w="108" w:type="dxa"/>
                    <w:bottom w:w="0" w:type="dxa"/>
                    <w:right w:w="108" w:type="dxa"/>
                  </w:tcMar>
                  <w:vAlign w:val="center"/>
                </w:tcPr>
                <w:p w14:paraId="48E7F146">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808" w:type="dxa"/>
                  <w:tcMar>
                    <w:top w:w="0" w:type="dxa"/>
                    <w:left w:w="108" w:type="dxa"/>
                    <w:bottom w:w="0" w:type="dxa"/>
                    <w:right w:w="108" w:type="dxa"/>
                  </w:tcMar>
                  <w:vAlign w:val="center"/>
                </w:tcPr>
                <w:p w14:paraId="2A5400A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0.3831 </w:t>
                  </w:r>
                </w:p>
              </w:tc>
              <w:tc>
                <w:tcPr>
                  <w:tcW w:w="889" w:type="dxa"/>
                  <w:tcMar>
                    <w:top w:w="0" w:type="dxa"/>
                    <w:left w:w="108" w:type="dxa"/>
                    <w:bottom w:w="0" w:type="dxa"/>
                    <w:right w:w="108" w:type="dxa"/>
                  </w:tcMar>
                  <w:vAlign w:val="center"/>
                </w:tcPr>
                <w:p w14:paraId="6CDE1C5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0.2394 </w:t>
                  </w:r>
                </w:p>
              </w:tc>
              <w:tc>
                <w:tcPr>
                  <w:tcW w:w="881" w:type="dxa"/>
                  <w:tcMar>
                    <w:top w:w="0" w:type="dxa"/>
                    <w:left w:w="108" w:type="dxa"/>
                    <w:bottom w:w="0" w:type="dxa"/>
                    <w:right w:w="108" w:type="dxa"/>
                  </w:tcMar>
                  <w:vAlign w:val="center"/>
                </w:tcPr>
                <w:p w14:paraId="204C82D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0.4789 </w:t>
                  </w:r>
                </w:p>
              </w:tc>
              <w:tc>
                <w:tcPr>
                  <w:tcW w:w="889" w:type="dxa"/>
                  <w:tcMar>
                    <w:top w:w="0" w:type="dxa"/>
                    <w:left w:w="108" w:type="dxa"/>
                    <w:bottom w:w="0" w:type="dxa"/>
                    <w:right w:w="108" w:type="dxa"/>
                  </w:tcMar>
                  <w:vAlign w:val="center"/>
                </w:tcPr>
                <w:p w14:paraId="518BFBC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0.0431 </w:t>
                  </w:r>
                </w:p>
              </w:tc>
              <w:tc>
                <w:tcPr>
                  <w:tcW w:w="889" w:type="dxa"/>
                  <w:tcMar>
                    <w:top w:w="0" w:type="dxa"/>
                    <w:left w:w="108" w:type="dxa"/>
                    <w:bottom w:w="0" w:type="dxa"/>
                    <w:right w:w="108" w:type="dxa"/>
                  </w:tcMar>
                  <w:vAlign w:val="center"/>
                </w:tcPr>
                <w:p w14:paraId="00318D21">
                  <w:pPr>
                    <w:widowControl/>
                    <w:jc w:val="center"/>
                    <w:textAlignment w:val="center"/>
                    <w:rPr>
                      <w:rFonts w:eastAsia="Tahoma"/>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 xml:space="preserve">0.0041 </w:t>
                  </w:r>
                </w:p>
              </w:tc>
            </w:tr>
            <w:tr w14:paraId="7F1A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vMerge w:val="continue"/>
                  <w:tcMar>
                    <w:top w:w="0" w:type="dxa"/>
                    <w:left w:w="108" w:type="dxa"/>
                    <w:bottom w:w="0" w:type="dxa"/>
                    <w:right w:w="108" w:type="dxa"/>
                  </w:tcMar>
                  <w:vAlign w:val="center"/>
                </w:tcPr>
                <w:p w14:paraId="3F398797">
                  <w:pPr>
                    <w:adjustRightInd w:val="0"/>
                    <w:snapToGrid w:val="0"/>
                    <w:contextualSpacing/>
                    <w:jc w:val="center"/>
                    <w:rPr>
                      <w:color w:val="000000" w:themeColor="text1"/>
                      <w:szCs w:val="21"/>
                      <w14:textFill>
                        <w14:solidFill>
                          <w14:schemeClr w14:val="tx1"/>
                        </w14:solidFill>
                      </w14:textFill>
                    </w:rPr>
                  </w:pPr>
                </w:p>
              </w:tc>
              <w:tc>
                <w:tcPr>
                  <w:tcW w:w="1796" w:type="dxa"/>
                  <w:tcMar>
                    <w:top w:w="0" w:type="dxa"/>
                    <w:left w:w="108" w:type="dxa"/>
                    <w:bottom w:w="0" w:type="dxa"/>
                    <w:right w:w="108" w:type="dxa"/>
                  </w:tcMar>
                  <w:vAlign w:val="center"/>
                </w:tcPr>
                <w:p w14:paraId="1D957DCB">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化粪池去除效率</w:t>
                  </w:r>
                </w:p>
              </w:tc>
              <w:tc>
                <w:tcPr>
                  <w:tcW w:w="683" w:type="dxa"/>
                  <w:tcMar>
                    <w:top w:w="0" w:type="dxa"/>
                    <w:left w:w="108" w:type="dxa"/>
                    <w:bottom w:w="0" w:type="dxa"/>
                    <w:right w:w="108" w:type="dxa"/>
                  </w:tcMar>
                  <w:vAlign w:val="center"/>
                </w:tcPr>
                <w:p w14:paraId="5F5771E7">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08" w:type="dxa"/>
                  <w:tcMar>
                    <w:top w:w="0" w:type="dxa"/>
                    <w:left w:w="108" w:type="dxa"/>
                    <w:bottom w:w="0" w:type="dxa"/>
                    <w:right w:w="108" w:type="dxa"/>
                  </w:tcMar>
                  <w:vAlign w:val="center"/>
                </w:tcPr>
                <w:p w14:paraId="36A3595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889" w:type="dxa"/>
                  <w:tcMar>
                    <w:top w:w="0" w:type="dxa"/>
                    <w:left w:w="108" w:type="dxa"/>
                    <w:bottom w:w="0" w:type="dxa"/>
                    <w:right w:w="108" w:type="dxa"/>
                  </w:tcMar>
                  <w:vAlign w:val="center"/>
                </w:tcPr>
                <w:p w14:paraId="1141CC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w:t>
                  </w:r>
                </w:p>
              </w:tc>
              <w:tc>
                <w:tcPr>
                  <w:tcW w:w="881" w:type="dxa"/>
                  <w:tcMar>
                    <w:top w:w="0" w:type="dxa"/>
                    <w:left w:w="108" w:type="dxa"/>
                    <w:bottom w:w="0" w:type="dxa"/>
                    <w:right w:w="108" w:type="dxa"/>
                  </w:tcMar>
                  <w:vAlign w:val="center"/>
                </w:tcPr>
                <w:p w14:paraId="3A227C2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30</w:t>
                  </w:r>
                </w:p>
              </w:tc>
              <w:tc>
                <w:tcPr>
                  <w:tcW w:w="889" w:type="dxa"/>
                  <w:tcMar>
                    <w:top w:w="0" w:type="dxa"/>
                    <w:left w:w="108" w:type="dxa"/>
                    <w:bottom w:w="0" w:type="dxa"/>
                    <w:right w:w="108" w:type="dxa"/>
                  </w:tcMar>
                  <w:vAlign w:val="center"/>
                </w:tcPr>
                <w:p w14:paraId="0279E7A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p>
              </w:tc>
              <w:tc>
                <w:tcPr>
                  <w:tcW w:w="889" w:type="dxa"/>
                  <w:tcMar>
                    <w:top w:w="0" w:type="dxa"/>
                    <w:left w:w="108" w:type="dxa"/>
                    <w:bottom w:w="0" w:type="dxa"/>
                    <w:right w:w="108" w:type="dxa"/>
                  </w:tcMar>
                  <w:vAlign w:val="center"/>
                </w:tcPr>
                <w:p w14:paraId="3C3B28E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2</w:t>
                  </w:r>
                </w:p>
              </w:tc>
            </w:tr>
            <w:tr w14:paraId="767B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vMerge w:val="continue"/>
                  <w:tcMar>
                    <w:top w:w="0" w:type="dxa"/>
                    <w:left w:w="108" w:type="dxa"/>
                    <w:bottom w:w="0" w:type="dxa"/>
                    <w:right w:w="108" w:type="dxa"/>
                  </w:tcMar>
                  <w:vAlign w:val="center"/>
                </w:tcPr>
                <w:p w14:paraId="34D70E65">
                  <w:pPr>
                    <w:adjustRightInd w:val="0"/>
                    <w:snapToGrid w:val="0"/>
                    <w:contextualSpacing/>
                    <w:jc w:val="center"/>
                    <w:rPr>
                      <w:color w:val="000000" w:themeColor="text1"/>
                      <w:szCs w:val="21"/>
                      <w14:textFill>
                        <w14:solidFill>
                          <w14:schemeClr w14:val="tx1"/>
                        </w14:solidFill>
                      </w14:textFill>
                    </w:rPr>
                  </w:pPr>
                </w:p>
              </w:tc>
              <w:tc>
                <w:tcPr>
                  <w:tcW w:w="1796" w:type="dxa"/>
                  <w:vMerge w:val="restart"/>
                  <w:tcMar>
                    <w:top w:w="0" w:type="dxa"/>
                    <w:left w:w="108" w:type="dxa"/>
                    <w:bottom w:w="0" w:type="dxa"/>
                    <w:right w:w="108" w:type="dxa"/>
                  </w:tcMar>
                  <w:vAlign w:val="center"/>
                </w:tcPr>
                <w:p w14:paraId="6C7AF80A">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化粪池处理后</w:t>
                  </w:r>
                </w:p>
              </w:tc>
              <w:tc>
                <w:tcPr>
                  <w:tcW w:w="683" w:type="dxa"/>
                  <w:tcMar>
                    <w:top w:w="0" w:type="dxa"/>
                    <w:left w:w="108" w:type="dxa"/>
                    <w:bottom w:w="0" w:type="dxa"/>
                    <w:right w:w="108" w:type="dxa"/>
                  </w:tcMar>
                  <w:vAlign w:val="center"/>
                </w:tcPr>
                <w:p w14:paraId="11B33EDE">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808" w:type="dxa"/>
                  <w:tcMar>
                    <w:top w:w="0" w:type="dxa"/>
                    <w:left w:w="108" w:type="dxa"/>
                    <w:bottom w:w="0" w:type="dxa"/>
                    <w:right w:w="108" w:type="dxa"/>
                  </w:tcMar>
                  <w:vAlign w:val="center"/>
                </w:tcPr>
                <w:p w14:paraId="788CBD22">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340</w:t>
                  </w:r>
                </w:p>
              </w:tc>
              <w:tc>
                <w:tcPr>
                  <w:tcW w:w="889" w:type="dxa"/>
                  <w:tcMar>
                    <w:top w:w="0" w:type="dxa"/>
                    <w:left w:w="108" w:type="dxa"/>
                    <w:bottom w:w="0" w:type="dxa"/>
                    <w:right w:w="108" w:type="dxa"/>
                  </w:tcMar>
                  <w:vAlign w:val="center"/>
                </w:tcPr>
                <w:p w14:paraId="44FC9482">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227.5</w:t>
                  </w:r>
                </w:p>
              </w:tc>
              <w:tc>
                <w:tcPr>
                  <w:tcW w:w="881" w:type="dxa"/>
                  <w:tcMar>
                    <w:top w:w="0" w:type="dxa"/>
                    <w:left w:w="108" w:type="dxa"/>
                    <w:bottom w:w="0" w:type="dxa"/>
                    <w:right w:w="108" w:type="dxa"/>
                  </w:tcMar>
                  <w:vAlign w:val="center"/>
                </w:tcPr>
                <w:p w14:paraId="4875A7C9">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350</w:t>
                  </w:r>
                </w:p>
              </w:tc>
              <w:tc>
                <w:tcPr>
                  <w:tcW w:w="889" w:type="dxa"/>
                  <w:tcMar>
                    <w:top w:w="0" w:type="dxa"/>
                    <w:left w:w="108" w:type="dxa"/>
                    <w:bottom w:w="0" w:type="dxa"/>
                    <w:right w:w="108" w:type="dxa"/>
                  </w:tcMar>
                  <w:vAlign w:val="center"/>
                </w:tcPr>
                <w:p w14:paraId="65A685D5">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43.65</w:t>
                  </w:r>
                </w:p>
              </w:tc>
              <w:tc>
                <w:tcPr>
                  <w:tcW w:w="889" w:type="dxa"/>
                  <w:tcMar>
                    <w:top w:w="0" w:type="dxa"/>
                    <w:left w:w="108" w:type="dxa"/>
                    <w:bottom w:w="0" w:type="dxa"/>
                    <w:right w:w="108" w:type="dxa"/>
                  </w:tcMar>
                  <w:vAlign w:val="center"/>
                </w:tcPr>
                <w:p w14:paraId="67EB7D36">
                  <w:pPr>
                    <w:widowControl/>
                    <w:jc w:val="center"/>
                    <w:textAlignment w:val="center"/>
                    <w:rPr>
                      <w:rFonts w:eastAsia="Tahoma"/>
                      <w:color w:val="000000" w:themeColor="text1"/>
                      <w:kern w:val="0"/>
                      <w:szCs w:val="21"/>
                      <w:lang w:bidi="ar"/>
                      <w14:textFill>
                        <w14:solidFill>
                          <w14:schemeClr w14:val="tx1"/>
                        </w14:solidFill>
                      </w14:textFill>
                    </w:rPr>
                  </w:pPr>
                  <w:r>
                    <w:rPr>
                      <w:rFonts w:hint="eastAsia" w:eastAsia="Tahoma"/>
                      <w:color w:val="000000" w:themeColor="text1"/>
                      <w:kern w:val="0"/>
                      <w:szCs w:val="21"/>
                      <w:lang w:bidi="ar"/>
                      <w14:textFill>
                        <w14:solidFill>
                          <w14:schemeClr w14:val="tx1"/>
                        </w14:solidFill>
                      </w14:textFill>
                    </w:rPr>
                    <w:t>4.19</w:t>
                  </w:r>
                </w:p>
              </w:tc>
            </w:tr>
            <w:tr w14:paraId="3D33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87" w:type="dxa"/>
                  <w:vMerge w:val="continue"/>
                  <w:tcMar>
                    <w:top w:w="0" w:type="dxa"/>
                    <w:left w:w="108" w:type="dxa"/>
                    <w:bottom w:w="0" w:type="dxa"/>
                    <w:right w:w="108" w:type="dxa"/>
                  </w:tcMar>
                  <w:vAlign w:val="center"/>
                </w:tcPr>
                <w:p w14:paraId="152D5FA5">
                  <w:pPr>
                    <w:adjustRightInd w:val="0"/>
                    <w:snapToGrid w:val="0"/>
                    <w:contextualSpacing/>
                    <w:jc w:val="center"/>
                    <w:rPr>
                      <w:color w:val="000000" w:themeColor="text1"/>
                      <w:szCs w:val="21"/>
                      <w14:textFill>
                        <w14:solidFill>
                          <w14:schemeClr w14:val="tx1"/>
                        </w14:solidFill>
                      </w14:textFill>
                    </w:rPr>
                  </w:pPr>
                </w:p>
              </w:tc>
              <w:tc>
                <w:tcPr>
                  <w:tcW w:w="1796" w:type="dxa"/>
                  <w:vMerge w:val="continue"/>
                  <w:tcMar>
                    <w:top w:w="0" w:type="dxa"/>
                    <w:left w:w="108" w:type="dxa"/>
                    <w:bottom w:w="0" w:type="dxa"/>
                    <w:right w:w="108" w:type="dxa"/>
                  </w:tcMar>
                  <w:vAlign w:val="center"/>
                </w:tcPr>
                <w:p w14:paraId="4041C092">
                  <w:pPr>
                    <w:adjustRightInd w:val="0"/>
                    <w:snapToGrid w:val="0"/>
                    <w:contextualSpacing/>
                    <w:jc w:val="center"/>
                    <w:rPr>
                      <w:color w:val="000000" w:themeColor="text1"/>
                      <w:szCs w:val="21"/>
                      <w14:textFill>
                        <w14:solidFill>
                          <w14:schemeClr w14:val="tx1"/>
                        </w14:solidFill>
                      </w14:textFill>
                    </w:rPr>
                  </w:pPr>
                </w:p>
              </w:tc>
              <w:tc>
                <w:tcPr>
                  <w:tcW w:w="683" w:type="dxa"/>
                  <w:tcMar>
                    <w:top w:w="0" w:type="dxa"/>
                    <w:left w:w="108" w:type="dxa"/>
                    <w:bottom w:w="0" w:type="dxa"/>
                    <w:right w:w="108" w:type="dxa"/>
                  </w:tcMar>
                  <w:vAlign w:val="center"/>
                </w:tcPr>
                <w:p w14:paraId="08F0FE43">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808" w:type="dxa"/>
                  <w:tcMar>
                    <w:top w:w="0" w:type="dxa"/>
                    <w:left w:w="108" w:type="dxa"/>
                    <w:bottom w:w="0" w:type="dxa"/>
                    <w:right w:w="108" w:type="dxa"/>
                  </w:tcMar>
                  <w:vAlign w:val="center"/>
                </w:tcPr>
                <w:p w14:paraId="7ACA2F6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0.3256 </w:t>
                  </w:r>
                </w:p>
              </w:tc>
              <w:tc>
                <w:tcPr>
                  <w:tcW w:w="889" w:type="dxa"/>
                  <w:tcMar>
                    <w:top w:w="0" w:type="dxa"/>
                    <w:left w:w="108" w:type="dxa"/>
                    <w:bottom w:w="0" w:type="dxa"/>
                    <w:right w:w="108" w:type="dxa"/>
                  </w:tcMar>
                  <w:vAlign w:val="center"/>
                </w:tcPr>
                <w:p w14:paraId="2FA0F44D">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0.2179 </w:t>
                  </w:r>
                </w:p>
              </w:tc>
              <w:tc>
                <w:tcPr>
                  <w:tcW w:w="881" w:type="dxa"/>
                  <w:tcMar>
                    <w:top w:w="0" w:type="dxa"/>
                    <w:left w:w="108" w:type="dxa"/>
                    <w:bottom w:w="0" w:type="dxa"/>
                    <w:right w:w="108" w:type="dxa"/>
                  </w:tcMar>
                  <w:vAlign w:val="center"/>
                </w:tcPr>
                <w:p w14:paraId="487378FC">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0.3352 </w:t>
                  </w:r>
                </w:p>
              </w:tc>
              <w:tc>
                <w:tcPr>
                  <w:tcW w:w="889" w:type="dxa"/>
                  <w:tcMar>
                    <w:top w:w="0" w:type="dxa"/>
                    <w:left w:w="108" w:type="dxa"/>
                    <w:bottom w:w="0" w:type="dxa"/>
                    <w:right w:w="108" w:type="dxa"/>
                  </w:tcMar>
                  <w:vAlign w:val="center"/>
                </w:tcPr>
                <w:p w14:paraId="6922829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0.0418 </w:t>
                  </w:r>
                </w:p>
              </w:tc>
              <w:tc>
                <w:tcPr>
                  <w:tcW w:w="889" w:type="dxa"/>
                  <w:tcMar>
                    <w:top w:w="0" w:type="dxa"/>
                    <w:left w:w="108" w:type="dxa"/>
                    <w:bottom w:w="0" w:type="dxa"/>
                    <w:right w:w="108" w:type="dxa"/>
                  </w:tcMar>
                  <w:vAlign w:val="center"/>
                </w:tcPr>
                <w:p w14:paraId="27397FFB">
                  <w:pPr>
                    <w:widowControl/>
                    <w:jc w:val="center"/>
                    <w:textAlignment w:val="center"/>
                    <w:rPr>
                      <w:rFonts w:eastAsia="Tahoma"/>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 xml:space="preserve">0.0040 </w:t>
                  </w:r>
                </w:p>
              </w:tc>
            </w:tr>
            <w:tr w14:paraId="4D14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83" w:type="dxa"/>
                  <w:gridSpan w:val="2"/>
                  <w:tcMar>
                    <w:top w:w="0" w:type="dxa"/>
                    <w:left w:w="108" w:type="dxa"/>
                    <w:bottom w:w="0" w:type="dxa"/>
                    <w:right w:w="108" w:type="dxa"/>
                  </w:tcMar>
                  <w:vAlign w:val="center"/>
                </w:tcPr>
                <w:p w14:paraId="3F8D337E">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w:t>
                  </w:r>
                </w:p>
              </w:tc>
              <w:tc>
                <w:tcPr>
                  <w:tcW w:w="683" w:type="dxa"/>
                  <w:tcMar>
                    <w:top w:w="0" w:type="dxa"/>
                    <w:left w:w="108" w:type="dxa"/>
                    <w:bottom w:w="0" w:type="dxa"/>
                    <w:right w:w="108" w:type="dxa"/>
                  </w:tcMar>
                  <w:vAlign w:val="center"/>
                </w:tcPr>
                <w:p w14:paraId="11A1AEF1">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808" w:type="dxa"/>
                  <w:tcMar>
                    <w:top w:w="0" w:type="dxa"/>
                    <w:left w:w="108" w:type="dxa"/>
                    <w:bottom w:w="0" w:type="dxa"/>
                    <w:right w:w="108" w:type="dxa"/>
                  </w:tcMar>
                  <w:vAlign w:val="center"/>
                </w:tcPr>
                <w:p w14:paraId="711123E3">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500</w:t>
                  </w:r>
                </w:p>
              </w:tc>
              <w:tc>
                <w:tcPr>
                  <w:tcW w:w="889" w:type="dxa"/>
                  <w:tcMar>
                    <w:top w:w="0" w:type="dxa"/>
                    <w:left w:w="108" w:type="dxa"/>
                    <w:bottom w:w="0" w:type="dxa"/>
                    <w:right w:w="108" w:type="dxa"/>
                  </w:tcMar>
                  <w:vAlign w:val="center"/>
                </w:tcPr>
                <w:p w14:paraId="2A8E5855">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350</w:t>
                  </w:r>
                </w:p>
              </w:tc>
              <w:tc>
                <w:tcPr>
                  <w:tcW w:w="881" w:type="dxa"/>
                  <w:tcMar>
                    <w:top w:w="0" w:type="dxa"/>
                    <w:left w:w="108" w:type="dxa"/>
                    <w:bottom w:w="0" w:type="dxa"/>
                    <w:right w:w="108" w:type="dxa"/>
                  </w:tcMar>
                  <w:vAlign w:val="center"/>
                </w:tcPr>
                <w:p w14:paraId="31C88182">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400</w:t>
                  </w:r>
                </w:p>
              </w:tc>
              <w:tc>
                <w:tcPr>
                  <w:tcW w:w="889" w:type="dxa"/>
                  <w:tcMar>
                    <w:top w:w="0" w:type="dxa"/>
                    <w:left w:w="108" w:type="dxa"/>
                    <w:bottom w:w="0" w:type="dxa"/>
                    <w:right w:w="108" w:type="dxa"/>
                  </w:tcMar>
                  <w:vAlign w:val="center"/>
                </w:tcPr>
                <w:p w14:paraId="008483A5">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w:t>
                  </w:r>
                </w:p>
              </w:tc>
              <w:tc>
                <w:tcPr>
                  <w:tcW w:w="889" w:type="dxa"/>
                  <w:tcMar>
                    <w:top w:w="0" w:type="dxa"/>
                    <w:left w:w="108" w:type="dxa"/>
                    <w:bottom w:w="0" w:type="dxa"/>
                    <w:right w:w="108" w:type="dxa"/>
                  </w:tcMar>
                  <w:vAlign w:val="center"/>
                </w:tcPr>
                <w:p w14:paraId="192DBD03">
                  <w:pPr>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8</w:t>
                  </w:r>
                </w:p>
              </w:tc>
            </w:tr>
            <w:tr w14:paraId="208F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66" w:type="dxa"/>
                  <w:gridSpan w:val="3"/>
                  <w:tcMar>
                    <w:top w:w="0" w:type="dxa"/>
                    <w:left w:w="108" w:type="dxa"/>
                    <w:bottom w:w="0" w:type="dxa"/>
                    <w:right w:w="108" w:type="dxa"/>
                  </w:tcMar>
                  <w:vAlign w:val="center"/>
                </w:tcPr>
                <w:p w14:paraId="11072C85">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达标情况</w:t>
                  </w:r>
                </w:p>
              </w:tc>
              <w:tc>
                <w:tcPr>
                  <w:tcW w:w="808" w:type="dxa"/>
                  <w:tcMar>
                    <w:top w:w="0" w:type="dxa"/>
                    <w:left w:w="108" w:type="dxa"/>
                    <w:bottom w:w="0" w:type="dxa"/>
                    <w:right w:w="108" w:type="dxa"/>
                  </w:tcMar>
                  <w:vAlign w:val="center"/>
                </w:tcPr>
                <w:p w14:paraId="3D0D7269">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w:t>
                  </w:r>
                </w:p>
              </w:tc>
              <w:tc>
                <w:tcPr>
                  <w:tcW w:w="889" w:type="dxa"/>
                  <w:tcMar>
                    <w:top w:w="0" w:type="dxa"/>
                    <w:left w:w="108" w:type="dxa"/>
                    <w:bottom w:w="0" w:type="dxa"/>
                    <w:right w:w="108" w:type="dxa"/>
                  </w:tcMar>
                  <w:vAlign w:val="center"/>
                </w:tcPr>
                <w:p w14:paraId="4283CB4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881" w:type="dxa"/>
                  <w:tcMar>
                    <w:top w:w="0" w:type="dxa"/>
                    <w:left w:w="108" w:type="dxa"/>
                    <w:bottom w:w="0" w:type="dxa"/>
                    <w:right w:w="108" w:type="dxa"/>
                  </w:tcMar>
                  <w:vAlign w:val="center"/>
                </w:tcPr>
                <w:p w14:paraId="572B590F">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w:t>
                  </w:r>
                </w:p>
              </w:tc>
              <w:tc>
                <w:tcPr>
                  <w:tcW w:w="889" w:type="dxa"/>
                  <w:tcMar>
                    <w:top w:w="0" w:type="dxa"/>
                    <w:left w:w="108" w:type="dxa"/>
                    <w:bottom w:w="0" w:type="dxa"/>
                    <w:right w:w="108" w:type="dxa"/>
                  </w:tcMar>
                  <w:vAlign w:val="center"/>
                </w:tcPr>
                <w:p w14:paraId="49206C62">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达标</w:t>
                  </w:r>
                </w:p>
              </w:tc>
              <w:tc>
                <w:tcPr>
                  <w:tcW w:w="889" w:type="dxa"/>
                  <w:tcMar>
                    <w:top w:w="0" w:type="dxa"/>
                    <w:left w:w="108" w:type="dxa"/>
                    <w:bottom w:w="0" w:type="dxa"/>
                    <w:right w:w="108" w:type="dxa"/>
                  </w:tcMar>
                  <w:vAlign w:val="center"/>
                </w:tcPr>
                <w:p w14:paraId="685DF84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7CE64413">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根据上表可知，项目生活污水依托现有化粪池处理后，可以达到</w:t>
            </w:r>
            <w:r>
              <w:rPr>
                <w:color w:val="000000" w:themeColor="text1"/>
                <w:sz w:val="24"/>
                <w14:textFill>
                  <w14:solidFill>
                    <w14:schemeClr w14:val="tx1"/>
                  </w14:solidFill>
                </w14:textFill>
              </w:rPr>
              <w:t>《污水排入城镇下水道水质标准》（GB/T31962-2015）表1中A等级标准</w:t>
            </w:r>
            <w:r>
              <w:rPr>
                <w:rFonts w:hint="eastAsia"/>
                <w:bCs/>
                <w:color w:val="000000" w:themeColor="text1"/>
                <w:kern w:val="0"/>
                <w:sz w:val="24"/>
                <w14:textFill>
                  <w14:solidFill>
                    <w14:schemeClr w14:val="tx1"/>
                  </w14:solidFill>
                </w14:textFill>
              </w:rPr>
              <w:t>。</w:t>
            </w:r>
          </w:p>
          <w:p w14:paraId="4DACB4CD">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生产废水处理系统出水浓度</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竣工验收监测数值，处理效率</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建设单位提供的生产废水处理系统设计资料，项目生产废水污染物产生情况见表4-</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w:t>
            </w:r>
          </w:p>
          <w:p w14:paraId="1F80FB56">
            <w:pPr>
              <w:jc w:val="center"/>
              <w:rPr>
                <w:b/>
                <w:snapToGrid w:val="0"/>
                <w:color w:val="000000" w:themeColor="text1"/>
                <w:szCs w:val="21"/>
                <w14:textFill>
                  <w14:solidFill>
                    <w14:schemeClr w14:val="tx1"/>
                  </w14:solidFill>
                </w14:textFill>
              </w:rPr>
            </w:pPr>
            <w:r>
              <w:rPr>
                <w:b/>
                <w:snapToGrid w:val="0"/>
                <w:color w:val="000000" w:themeColor="text1"/>
                <w:szCs w:val="21"/>
                <w14:textFill>
                  <w14:solidFill>
                    <w14:schemeClr w14:val="tx1"/>
                  </w14:solidFill>
                </w14:textFill>
              </w:rPr>
              <w:t>表4-</w:t>
            </w:r>
            <w:r>
              <w:rPr>
                <w:rFonts w:hint="eastAsia"/>
                <w:b/>
                <w:snapToGrid w:val="0"/>
                <w:color w:val="000000" w:themeColor="text1"/>
                <w:szCs w:val="21"/>
                <w:lang w:val="en-US" w:eastAsia="zh-CN"/>
                <w14:textFill>
                  <w14:solidFill>
                    <w14:schemeClr w14:val="tx1"/>
                  </w14:solidFill>
                </w14:textFill>
              </w:rPr>
              <w:t>9</w:t>
            </w:r>
            <w:r>
              <w:rPr>
                <w:b/>
                <w:snapToGrid w:val="0"/>
                <w:color w:val="000000" w:themeColor="text1"/>
                <w:szCs w:val="21"/>
                <w14:textFill>
                  <w14:solidFill>
                    <w14:schemeClr w14:val="tx1"/>
                  </w14:solidFill>
                </w14:textFill>
              </w:rPr>
              <w:t xml:space="preserve"> 项目</w:t>
            </w:r>
            <w:r>
              <w:rPr>
                <w:rFonts w:hint="eastAsia"/>
                <w:b/>
                <w:snapToGrid w:val="0"/>
                <w:color w:val="000000" w:themeColor="text1"/>
                <w:szCs w:val="21"/>
                <w14:textFill>
                  <w14:solidFill>
                    <w14:schemeClr w14:val="tx1"/>
                  </w14:solidFill>
                </w14:textFill>
              </w:rPr>
              <w:t>生产废水</w:t>
            </w:r>
            <w:r>
              <w:rPr>
                <w:b/>
                <w:snapToGrid w:val="0"/>
                <w:color w:val="000000" w:themeColor="text1"/>
                <w:szCs w:val="21"/>
                <w14:textFill>
                  <w14:solidFill>
                    <w14:schemeClr w14:val="tx1"/>
                  </w14:solidFill>
                </w14:textFill>
              </w:rPr>
              <w:t>污染物产排情况汇总表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214"/>
              <w:gridCol w:w="704"/>
              <w:gridCol w:w="1137"/>
              <w:gridCol w:w="1163"/>
              <w:gridCol w:w="1121"/>
              <w:gridCol w:w="1030"/>
              <w:gridCol w:w="815"/>
            </w:tblGrid>
            <w:tr w14:paraId="41D7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Align w:val="center"/>
                </w:tcPr>
                <w:p w14:paraId="062E8E73">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668" w:type="pct"/>
                  <w:vAlign w:val="center"/>
                </w:tcPr>
                <w:p w14:paraId="648B9D73">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废水量</w:t>
                  </w:r>
                </w:p>
              </w:tc>
              <w:tc>
                <w:tcPr>
                  <w:tcW w:w="406" w:type="pct"/>
                  <w:vAlign w:val="center"/>
                </w:tcPr>
                <w:p w14:paraId="230239A0">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652" w:type="pct"/>
                  <w:vAlign w:val="center"/>
                </w:tcPr>
                <w:p w14:paraId="75DF1E47">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CODcr</w:t>
                  </w:r>
                </w:p>
              </w:tc>
              <w:tc>
                <w:tcPr>
                  <w:tcW w:w="673" w:type="pct"/>
                  <w:vAlign w:val="center"/>
                </w:tcPr>
                <w:p w14:paraId="40297577">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646" w:type="pct"/>
                  <w:vAlign w:val="center"/>
                </w:tcPr>
                <w:p w14:paraId="40674003">
                  <w:pPr>
                    <w:widowControl/>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594" w:type="pct"/>
                  <w:vAlign w:val="center"/>
                </w:tcPr>
                <w:p w14:paraId="1B491BD8">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w:t>
                  </w:r>
                  <w:r>
                    <w:rPr>
                      <w:b/>
                      <w:bCs/>
                      <w:color w:val="000000" w:themeColor="text1"/>
                      <w:szCs w:val="21"/>
                      <w14:textFill>
                        <w14:solidFill>
                          <w14:schemeClr w14:val="tx1"/>
                        </w14:solidFill>
                      </w14:textFill>
                    </w:rPr>
                    <w:t>氮</w:t>
                  </w:r>
                </w:p>
              </w:tc>
              <w:tc>
                <w:tcPr>
                  <w:tcW w:w="470" w:type="pct"/>
                  <w:vAlign w:val="center"/>
                </w:tcPr>
                <w:p w14:paraId="3325BD85">
                  <w:pPr>
                    <w:widowControl/>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总磷</w:t>
                  </w:r>
                </w:p>
              </w:tc>
            </w:tr>
            <w:tr w14:paraId="56D3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Align w:val="center"/>
                </w:tcPr>
                <w:p w14:paraId="31CFBFCD">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生产废水处理系统</w:t>
                  </w:r>
                  <w:r>
                    <w:rPr>
                      <w:color w:val="000000" w:themeColor="text1"/>
                      <w:szCs w:val="21"/>
                      <w14:textFill>
                        <w14:solidFill>
                          <w14:schemeClr w14:val="tx1"/>
                        </w14:solidFill>
                      </w14:textFill>
                    </w:rPr>
                    <w:t>进水浓度</w:t>
                  </w:r>
                </w:p>
              </w:tc>
              <w:tc>
                <w:tcPr>
                  <w:tcW w:w="668" w:type="pct"/>
                  <w:vAlign w:val="center"/>
                </w:tcPr>
                <w:p w14:paraId="1F738FB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6" w:type="pct"/>
                  <w:vAlign w:val="center"/>
                </w:tcPr>
                <w:p w14:paraId="3BE54CFC">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652" w:type="pct"/>
                </w:tcPr>
                <w:p w14:paraId="24E96C6C">
                  <w:pPr>
                    <w:spacing w:before="171" w:line="265" w:lineRule="exact"/>
                    <w:ind w:left="238"/>
                    <w:jc w:val="center"/>
                    <w:rPr>
                      <w:color w:val="000000" w:themeColor="text1"/>
                      <w:szCs w:val="21"/>
                      <w:highlight w:val="yellow"/>
                      <w14:textFill>
                        <w14:solidFill>
                          <w14:schemeClr w14:val="tx1"/>
                        </w14:solidFill>
                      </w14:textFill>
                    </w:rPr>
                  </w:pPr>
                  <w:r>
                    <w:rPr>
                      <w:rFonts w:hint="eastAsia"/>
                      <w:color w:val="000000" w:themeColor="text1"/>
                      <w:kern w:val="0"/>
                      <w:szCs w:val="21"/>
                      <w:lang w:bidi="ar"/>
                      <w14:textFill>
                        <w14:solidFill>
                          <w14:schemeClr w14:val="tx1"/>
                        </w14:solidFill>
                      </w14:textFill>
                    </w:rPr>
                    <w:t>2265.71</w:t>
                  </w:r>
                </w:p>
              </w:tc>
              <w:tc>
                <w:tcPr>
                  <w:tcW w:w="673" w:type="pct"/>
                </w:tcPr>
                <w:p w14:paraId="401DC372">
                  <w:pPr>
                    <w:spacing w:before="171" w:line="265" w:lineRule="exact"/>
                    <w:ind w:firstLine="190" w:firstLineChars="100"/>
                    <w:rPr>
                      <w:color w:val="000000" w:themeColor="text1"/>
                      <w:szCs w:val="21"/>
                      <w:highlight w:val="yellow"/>
                      <w14:textFill>
                        <w14:solidFill>
                          <w14:schemeClr w14:val="tx1"/>
                        </w14:solidFill>
                      </w14:textFill>
                    </w:rPr>
                  </w:pPr>
                  <w:r>
                    <w:rPr>
                      <w:rFonts w:hint="eastAsia"/>
                      <w:color w:val="000000" w:themeColor="text1"/>
                      <w:spacing w:val="-5"/>
                      <w:position w:val="1"/>
                      <w:sz w:val="20"/>
                      <w:szCs w:val="20"/>
                      <w14:textFill>
                        <w14:solidFill>
                          <w14:schemeClr w14:val="tx1"/>
                        </w14:solidFill>
                      </w14:textFill>
                    </w:rPr>
                    <w:t>252.93</w:t>
                  </w:r>
                </w:p>
              </w:tc>
              <w:tc>
                <w:tcPr>
                  <w:tcW w:w="646" w:type="pct"/>
                  <w:vAlign w:val="center"/>
                </w:tcPr>
                <w:p w14:paraId="00FFBAE3">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2170</w:t>
                  </w:r>
                </w:p>
              </w:tc>
              <w:tc>
                <w:tcPr>
                  <w:tcW w:w="594" w:type="pct"/>
                  <w:vAlign w:val="center"/>
                </w:tcPr>
                <w:p w14:paraId="441ED810">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546.67</w:t>
                  </w:r>
                </w:p>
              </w:tc>
              <w:tc>
                <w:tcPr>
                  <w:tcW w:w="470" w:type="pct"/>
                  <w:vAlign w:val="center"/>
                </w:tcPr>
                <w:p w14:paraId="611B7EA0">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32.45</w:t>
                  </w:r>
                </w:p>
              </w:tc>
            </w:tr>
            <w:tr w14:paraId="1CD0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Align w:val="center"/>
                </w:tcPr>
                <w:p w14:paraId="011918EC">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tc>
              <w:tc>
                <w:tcPr>
                  <w:tcW w:w="668" w:type="pct"/>
                  <w:vAlign w:val="center"/>
                </w:tcPr>
                <w:p w14:paraId="0D0B3436">
                  <w:pPr>
                    <w:widowControl/>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235897.852</w:t>
                  </w:r>
                </w:p>
              </w:tc>
              <w:tc>
                <w:tcPr>
                  <w:tcW w:w="406" w:type="pct"/>
                  <w:vAlign w:val="center"/>
                </w:tcPr>
                <w:p w14:paraId="3A8E5D11">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1137" w:type="dxa"/>
                  <w:vAlign w:val="center"/>
                </w:tcPr>
                <w:p w14:paraId="1B8DBB0D">
                  <w:pPr>
                    <w:keepNext w:val="0"/>
                    <w:keepLines w:val="0"/>
                    <w:widowControl/>
                    <w:suppressLineNumbers w:val="0"/>
                    <w:jc w:val="center"/>
                    <w:textAlignment w:val="center"/>
                    <w:rPr>
                      <w:color w:val="000000" w:themeColor="text1"/>
                      <w:sz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534.48 </w:t>
                  </w:r>
                </w:p>
              </w:tc>
              <w:tc>
                <w:tcPr>
                  <w:tcW w:w="1173" w:type="dxa"/>
                  <w:vAlign w:val="center"/>
                </w:tcPr>
                <w:p w14:paraId="7C3A650A">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59.67 </w:t>
                  </w:r>
                </w:p>
              </w:tc>
              <w:tc>
                <w:tcPr>
                  <w:tcW w:w="1126" w:type="dxa"/>
                  <w:vAlign w:val="center"/>
                </w:tcPr>
                <w:p w14:paraId="6F19211E">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511.90 </w:t>
                  </w:r>
                </w:p>
              </w:tc>
              <w:tc>
                <w:tcPr>
                  <w:tcW w:w="1035" w:type="dxa"/>
                  <w:vAlign w:val="center"/>
                </w:tcPr>
                <w:p w14:paraId="05FAF05D">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128.96 </w:t>
                  </w:r>
                </w:p>
              </w:tc>
              <w:tc>
                <w:tcPr>
                  <w:tcW w:w="819" w:type="dxa"/>
                  <w:vAlign w:val="center"/>
                </w:tcPr>
                <w:p w14:paraId="3132F45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7.65 </w:t>
                  </w:r>
                </w:p>
              </w:tc>
            </w:tr>
            <w:tr w14:paraId="356E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vAlign w:val="center"/>
                </w:tcPr>
                <w:p w14:paraId="4A7F5F33">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生产废水处理系统</w:t>
                  </w:r>
                  <w:r>
                    <w:rPr>
                      <w:color w:val="000000" w:themeColor="text1"/>
                      <w:szCs w:val="21"/>
                      <w14:textFill>
                        <w14:solidFill>
                          <w14:schemeClr w14:val="tx1"/>
                        </w14:solidFill>
                      </w14:textFill>
                    </w:rPr>
                    <w:t>出水浓度</w:t>
                  </w:r>
                </w:p>
              </w:tc>
              <w:tc>
                <w:tcPr>
                  <w:tcW w:w="668" w:type="pct"/>
                  <w:vAlign w:val="center"/>
                </w:tcPr>
                <w:p w14:paraId="1893614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06" w:type="pct"/>
                  <w:vAlign w:val="center"/>
                </w:tcPr>
                <w:p w14:paraId="00F6415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652" w:type="pct"/>
                  <w:vAlign w:val="center"/>
                </w:tcPr>
                <w:p w14:paraId="570A48B0">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169</w:t>
                  </w:r>
                </w:p>
              </w:tc>
              <w:tc>
                <w:tcPr>
                  <w:tcW w:w="673" w:type="pct"/>
                  <w:vAlign w:val="center"/>
                </w:tcPr>
                <w:p w14:paraId="553CA746">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62.5</w:t>
                  </w:r>
                </w:p>
              </w:tc>
              <w:tc>
                <w:tcPr>
                  <w:tcW w:w="646" w:type="pct"/>
                  <w:vAlign w:val="center"/>
                </w:tcPr>
                <w:p w14:paraId="59D7EBA0">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37</w:t>
                  </w:r>
                </w:p>
              </w:tc>
              <w:tc>
                <w:tcPr>
                  <w:tcW w:w="594" w:type="pct"/>
                  <w:vAlign w:val="center"/>
                </w:tcPr>
                <w:p w14:paraId="6BE5EFE0">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12.3</w:t>
                  </w:r>
                </w:p>
              </w:tc>
              <w:tc>
                <w:tcPr>
                  <w:tcW w:w="470" w:type="pct"/>
                  <w:vAlign w:val="center"/>
                </w:tcPr>
                <w:p w14:paraId="3E414290">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7.14</w:t>
                  </w:r>
                </w:p>
              </w:tc>
            </w:tr>
            <w:tr w14:paraId="689B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87" w:type="pct"/>
                  <w:vAlign w:val="center"/>
                </w:tcPr>
                <w:p w14:paraId="3469328F">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r>
                    <w:rPr>
                      <w:color w:val="000000" w:themeColor="text1"/>
                      <w:szCs w:val="21"/>
                      <w14:textFill>
                        <w14:solidFill>
                          <w14:schemeClr w14:val="tx1"/>
                        </w14:solidFill>
                      </w14:textFill>
                    </w:rPr>
                    <w:t>量</w:t>
                  </w:r>
                </w:p>
              </w:tc>
              <w:tc>
                <w:tcPr>
                  <w:tcW w:w="668" w:type="pct"/>
                  <w:vAlign w:val="center"/>
                </w:tcPr>
                <w:p w14:paraId="477491B2">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235897.852</w:t>
                  </w:r>
                </w:p>
              </w:tc>
              <w:tc>
                <w:tcPr>
                  <w:tcW w:w="406" w:type="pct"/>
                  <w:vAlign w:val="center"/>
                </w:tcPr>
                <w:p w14:paraId="7F3610E2">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1136" w:type="dxa"/>
                  <w:vAlign w:val="center"/>
                </w:tcPr>
                <w:p w14:paraId="1898674F">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39.87 </w:t>
                  </w:r>
                </w:p>
              </w:tc>
              <w:tc>
                <w:tcPr>
                  <w:tcW w:w="1173" w:type="dxa"/>
                  <w:vAlign w:val="center"/>
                </w:tcPr>
                <w:p w14:paraId="2E1069DD">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14.74 </w:t>
                  </w:r>
                </w:p>
              </w:tc>
              <w:tc>
                <w:tcPr>
                  <w:tcW w:w="1126" w:type="dxa"/>
                  <w:vAlign w:val="center"/>
                </w:tcPr>
                <w:p w14:paraId="5964883D">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8.73 </w:t>
                  </w:r>
                </w:p>
              </w:tc>
              <w:tc>
                <w:tcPr>
                  <w:tcW w:w="1035" w:type="dxa"/>
                  <w:vAlign w:val="center"/>
                </w:tcPr>
                <w:p w14:paraId="55DE9AA4">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2.90 </w:t>
                  </w:r>
                </w:p>
              </w:tc>
              <w:tc>
                <w:tcPr>
                  <w:tcW w:w="820" w:type="dxa"/>
                  <w:vAlign w:val="center"/>
                </w:tcPr>
                <w:p w14:paraId="17A6C7E4">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1.68 </w:t>
                  </w:r>
                </w:p>
              </w:tc>
            </w:tr>
            <w:tr w14:paraId="1F3A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pct"/>
                  <w:gridSpan w:val="2"/>
                  <w:vAlign w:val="center"/>
                </w:tcPr>
                <w:p w14:paraId="7CF6CA1C">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处理效率</w:t>
                  </w:r>
                </w:p>
              </w:tc>
              <w:tc>
                <w:tcPr>
                  <w:tcW w:w="406" w:type="pct"/>
                  <w:vAlign w:val="center"/>
                </w:tcPr>
                <w:p w14:paraId="51EB6965">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52" w:type="pct"/>
                </w:tcPr>
                <w:p w14:paraId="6F0B94AF">
                  <w:pPr>
                    <w:widowControl/>
                    <w:jc w:val="center"/>
                    <w:textAlignment w:val="center"/>
                    <w:rPr>
                      <w:rFonts w:eastAsia="Tahom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98.25</w:t>
                  </w:r>
                </w:p>
              </w:tc>
              <w:tc>
                <w:tcPr>
                  <w:tcW w:w="673" w:type="pct"/>
                </w:tcPr>
                <w:p w14:paraId="3C11F245">
                  <w:pPr>
                    <w:widowControl/>
                    <w:jc w:val="center"/>
                    <w:textAlignment w:val="center"/>
                    <w:rPr>
                      <w:rFonts w:eastAsia="Tahoma"/>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94.20</w:t>
                  </w:r>
                </w:p>
              </w:tc>
              <w:tc>
                <w:tcPr>
                  <w:tcW w:w="646" w:type="pct"/>
                  <w:vAlign w:val="center"/>
                </w:tcPr>
                <w:p w14:paraId="0C901DC2">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99.60</w:t>
                  </w:r>
                </w:p>
              </w:tc>
              <w:tc>
                <w:tcPr>
                  <w:tcW w:w="594" w:type="pct"/>
                  <w:vAlign w:val="center"/>
                </w:tcPr>
                <w:p w14:paraId="0F92E5B3">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97.75</w:t>
                  </w:r>
                </w:p>
              </w:tc>
              <w:tc>
                <w:tcPr>
                  <w:tcW w:w="470" w:type="pct"/>
                  <w:vAlign w:val="center"/>
                </w:tcPr>
                <w:p w14:paraId="682D8C6F">
                  <w:pPr>
                    <w:widowControl/>
                    <w:jc w:val="center"/>
                    <w:textAlignment w:val="center"/>
                    <w:rPr>
                      <w:color w:val="000000" w:themeColor="text1"/>
                      <w:szCs w:val="21"/>
                      <w14:textFill>
                        <w14:solidFill>
                          <w14:schemeClr w14:val="tx1"/>
                        </w14:solidFill>
                      </w14:textFill>
                    </w:rPr>
                  </w:pPr>
                  <w:r>
                    <w:rPr>
                      <w:rFonts w:eastAsia="Tahoma"/>
                      <w:color w:val="000000" w:themeColor="text1"/>
                      <w:kern w:val="0"/>
                      <w:szCs w:val="21"/>
                      <w:lang w:bidi="ar"/>
                      <w14:textFill>
                        <w14:solidFill>
                          <w14:schemeClr w14:val="tx1"/>
                        </w14:solidFill>
                      </w14:textFill>
                    </w:rPr>
                    <w:t>78.00</w:t>
                  </w:r>
                </w:p>
              </w:tc>
            </w:tr>
            <w:tr w14:paraId="00FF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pct"/>
                  <w:gridSpan w:val="2"/>
                  <w:vAlign w:val="center"/>
                </w:tcPr>
                <w:p w14:paraId="0351E8A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排放标准</w:t>
                  </w:r>
                </w:p>
              </w:tc>
              <w:tc>
                <w:tcPr>
                  <w:tcW w:w="406" w:type="pct"/>
                  <w:vAlign w:val="center"/>
                </w:tcPr>
                <w:p w14:paraId="4CE9727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652" w:type="pct"/>
                  <w:vAlign w:val="center"/>
                </w:tcPr>
                <w:p w14:paraId="55495BF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673" w:type="pct"/>
                  <w:vAlign w:val="center"/>
                </w:tcPr>
                <w:p w14:paraId="379733C1">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646" w:type="pct"/>
                  <w:vAlign w:val="center"/>
                </w:tcPr>
                <w:p w14:paraId="5008E41C">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594" w:type="pct"/>
                  <w:vAlign w:val="center"/>
                </w:tcPr>
                <w:p w14:paraId="6E376C10">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470" w:type="pct"/>
                  <w:vAlign w:val="center"/>
                </w:tcPr>
                <w:p w14:paraId="1B4022ED">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14:paraId="4BD4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pct"/>
                  <w:gridSpan w:val="3"/>
                  <w:vAlign w:val="center"/>
                </w:tcPr>
                <w:p w14:paraId="79A682D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c>
                <w:tcPr>
                  <w:tcW w:w="652" w:type="pct"/>
                  <w:vAlign w:val="center"/>
                </w:tcPr>
                <w:p w14:paraId="0FA1850C">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673" w:type="pct"/>
                  <w:vAlign w:val="center"/>
                </w:tcPr>
                <w:p w14:paraId="7BDFC612">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646" w:type="pct"/>
                  <w:vAlign w:val="center"/>
                </w:tcPr>
                <w:p w14:paraId="4E452C11">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594" w:type="pct"/>
                  <w:vAlign w:val="center"/>
                </w:tcPr>
                <w:p w14:paraId="230B402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470" w:type="pct"/>
                  <w:vAlign w:val="center"/>
                </w:tcPr>
                <w:p w14:paraId="6EDCB75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01FADE6D">
            <w:pPr>
              <w:spacing w:line="360" w:lineRule="auto"/>
              <w:ind w:firstLine="480" w:firstLineChars="200"/>
              <w:rPr>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根据上表可知，扩建后项目生产废水经生产废水处理系统处理后，可以达到</w:t>
            </w:r>
            <w:r>
              <w:rPr>
                <w:color w:val="000000" w:themeColor="text1"/>
                <w:sz w:val="24"/>
                <w14:textFill>
                  <w14:solidFill>
                    <w14:schemeClr w14:val="tx1"/>
                  </w14:solidFill>
                </w14:textFill>
              </w:rPr>
              <w:t>《污水排入城镇下水道水质标准》（GB/T31962-2015）表1中A等级标准</w:t>
            </w:r>
            <w:r>
              <w:rPr>
                <w:rFonts w:hint="eastAsia"/>
                <w:bCs/>
                <w:color w:val="000000" w:themeColor="text1"/>
                <w:kern w:val="0"/>
                <w:sz w:val="24"/>
                <w14:textFill>
                  <w14:solidFill>
                    <w14:schemeClr w14:val="tx1"/>
                  </w14:solidFill>
                </w14:textFill>
              </w:rPr>
              <w:t>。</w:t>
            </w:r>
          </w:p>
          <w:p w14:paraId="7D109D06">
            <w:pPr>
              <w:pStyle w:val="117"/>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 xml:space="preserve">  排入寻甸县污水处理厂的废水情况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75"/>
              <w:gridCol w:w="695"/>
              <w:gridCol w:w="1027"/>
              <w:gridCol w:w="944"/>
              <w:gridCol w:w="990"/>
              <w:gridCol w:w="972"/>
              <w:gridCol w:w="828"/>
            </w:tblGrid>
            <w:tr w14:paraId="3EA9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71FE3005">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废水类别</w:t>
                  </w:r>
                </w:p>
              </w:tc>
              <w:tc>
                <w:tcPr>
                  <w:tcW w:w="694" w:type="dxa"/>
                  <w:tcMar>
                    <w:top w:w="0" w:type="dxa"/>
                    <w:left w:w="108" w:type="dxa"/>
                    <w:bottom w:w="0" w:type="dxa"/>
                    <w:right w:w="108" w:type="dxa"/>
                  </w:tcMar>
                  <w:vAlign w:val="center"/>
                </w:tcPr>
                <w:p w14:paraId="41B6DB1B">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1025" w:type="dxa"/>
                  <w:tcMar>
                    <w:top w:w="0" w:type="dxa"/>
                    <w:left w:w="108" w:type="dxa"/>
                    <w:bottom w:w="0" w:type="dxa"/>
                    <w:right w:w="108" w:type="dxa"/>
                  </w:tcMar>
                  <w:vAlign w:val="center"/>
                </w:tcPr>
                <w:p w14:paraId="1C83D122">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p>
              </w:tc>
              <w:tc>
                <w:tcPr>
                  <w:tcW w:w="942" w:type="dxa"/>
                  <w:tcMar>
                    <w:top w:w="0" w:type="dxa"/>
                    <w:left w:w="108" w:type="dxa"/>
                    <w:bottom w:w="0" w:type="dxa"/>
                    <w:right w:w="108" w:type="dxa"/>
                  </w:tcMar>
                  <w:vAlign w:val="center"/>
                </w:tcPr>
                <w:p w14:paraId="53CEBE50">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988" w:type="dxa"/>
                  <w:tcMar>
                    <w:top w:w="0" w:type="dxa"/>
                    <w:left w:w="108" w:type="dxa"/>
                    <w:bottom w:w="0" w:type="dxa"/>
                    <w:right w:w="108" w:type="dxa"/>
                  </w:tcMar>
                  <w:vAlign w:val="center"/>
                </w:tcPr>
                <w:p w14:paraId="30089825">
                  <w:pPr>
                    <w:adjustRightInd w:val="0"/>
                    <w:snapToGrid w:val="0"/>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970" w:type="dxa"/>
                  <w:tcMar>
                    <w:top w:w="0" w:type="dxa"/>
                    <w:left w:w="108" w:type="dxa"/>
                    <w:bottom w:w="0" w:type="dxa"/>
                    <w:right w:w="108" w:type="dxa"/>
                  </w:tcMar>
                  <w:vAlign w:val="center"/>
                </w:tcPr>
                <w:p w14:paraId="66F87AB1">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w:t>
                  </w:r>
                  <w:r>
                    <w:rPr>
                      <w:b/>
                      <w:bCs/>
                      <w:color w:val="000000" w:themeColor="text1"/>
                      <w:szCs w:val="21"/>
                      <w14:textFill>
                        <w14:solidFill>
                          <w14:schemeClr w14:val="tx1"/>
                        </w14:solidFill>
                      </w14:textFill>
                    </w:rPr>
                    <w:t>氮</w:t>
                  </w:r>
                </w:p>
              </w:tc>
              <w:tc>
                <w:tcPr>
                  <w:tcW w:w="826" w:type="dxa"/>
                  <w:tcMar>
                    <w:top w:w="0" w:type="dxa"/>
                    <w:left w:w="108" w:type="dxa"/>
                    <w:bottom w:w="0" w:type="dxa"/>
                    <w:right w:w="108" w:type="dxa"/>
                  </w:tcMar>
                  <w:vAlign w:val="center"/>
                </w:tcPr>
                <w:p w14:paraId="089F114A">
                  <w:pPr>
                    <w:adjustRightInd w:val="0"/>
                    <w:snapToGrid w:val="0"/>
                    <w:contextualSpacing/>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总磷</w:t>
                  </w:r>
                </w:p>
              </w:tc>
            </w:tr>
            <w:tr w14:paraId="7479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11E3954E">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p w14:paraId="2C76E8FC">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（2.876m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/d，957.708m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 xml:space="preserve">/a）                                         </w:t>
                  </w:r>
                </w:p>
              </w:tc>
              <w:tc>
                <w:tcPr>
                  <w:tcW w:w="694" w:type="dxa"/>
                  <w:tcMar>
                    <w:top w:w="0" w:type="dxa"/>
                    <w:left w:w="108" w:type="dxa"/>
                    <w:bottom w:w="0" w:type="dxa"/>
                    <w:right w:w="108" w:type="dxa"/>
                  </w:tcMar>
                  <w:vAlign w:val="center"/>
                </w:tcPr>
                <w:p w14:paraId="761B9C56">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1025" w:type="dxa"/>
                  <w:tcMar>
                    <w:top w:w="0" w:type="dxa"/>
                    <w:left w:w="108" w:type="dxa"/>
                    <w:bottom w:w="0" w:type="dxa"/>
                    <w:right w:w="108" w:type="dxa"/>
                  </w:tcMar>
                  <w:vAlign w:val="center"/>
                </w:tcPr>
                <w:p w14:paraId="3CD07B1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0.3256 </w:t>
                  </w:r>
                </w:p>
              </w:tc>
              <w:tc>
                <w:tcPr>
                  <w:tcW w:w="942" w:type="dxa"/>
                  <w:tcMar>
                    <w:top w:w="0" w:type="dxa"/>
                    <w:left w:w="108" w:type="dxa"/>
                    <w:bottom w:w="0" w:type="dxa"/>
                    <w:right w:w="108" w:type="dxa"/>
                  </w:tcMar>
                  <w:vAlign w:val="center"/>
                </w:tcPr>
                <w:p w14:paraId="5F0CC941">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0.2179 </w:t>
                  </w:r>
                </w:p>
              </w:tc>
              <w:tc>
                <w:tcPr>
                  <w:tcW w:w="988" w:type="dxa"/>
                  <w:tcMar>
                    <w:top w:w="0" w:type="dxa"/>
                    <w:left w:w="108" w:type="dxa"/>
                    <w:bottom w:w="0" w:type="dxa"/>
                    <w:right w:w="108" w:type="dxa"/>
                  </w:tcMar>
                  <w:vAlign w:val="center"/>
                </w:tcPr>
                <w:p w14:paraId="04C914AE">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0.3352 </w:t>
                  </w:r>
                </w:p>
              </w:tc>
              <w:tc>
                <w:tcPr>
                  <w:tcW w:w="970" w:type="dxa"/>
                  <w:tcMar>
                    <w:top w:w="0" w:type="dxa"/>
                    <w:left w:w="108" w:type="dxa"/>
                    <w:bottom w:w="0" w:type="dxa"/>
                    <w:right w:w="108" w:type="dxa"/>
                  </w:tcMar>
                  <w:vAlign w:val="center"/>
                </w:tcPr>
                <w:p w14:paraId="2300E82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0.0418 </w:t>
                  </w:r>
                </w:p>
              </w:tc>
              <w:tc>
                <w:tcPr>
                  <w:tcW w:w="826" w:type="dxa"/>
                  <w:tcMar>
                    <w:top w:w="0" w:type="dxa"/>
                    <w:left w:w="108" w:type="dxa"/>
                    <w:bottom w:w="0" w:type="dxa"/>
                    <w:right w:w="108" w:type="dxa"/>
                  </w:tcMar>
                  <w:vAlign w:val="center"/>
                </w:tcPr>
                <w:p w14:paraId="4999EF2E">
                  <w:pPr>
                    <w:widowControl/>
                    <w:jc w:val="center"/>
                    <w:textAlignment w:val="center"/>
                    <w:rPr>
                      <w:rFonts w:eastAsia="Tahoma"/>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 xml:space="preserve">0.0040 </w:t>
                  </w:r>
                </w:p>
              </w:tc>
            </w:tr>
            <w:tr w14:paraId="4F27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0D8D7E34">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p w14:paraId="50B07964">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7</w:t>
                  </w:r>
                  <w:r>
                    <w:rPr>
                      <w:rFonts w:hint="eastAsia"/>
                      <w:bCs/>
                      <w:color w:val="000000" w:themeColor="text1"/>
                      <w:szCs w:val="21"/>
                      <w:lang w:val="en-US" w:eastAsia="zh-CN"/>
                      <w14:textFill>
                        <w14:solidFill>
                          <w14:schemeClr w14:val="tx1"/>
                        </w14:solidFill>
                      </w14:textFill>
                    </w:rPr>
                    <w:t>08.405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235897.852</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694" w:type="dxa"/>
                  <w:tcMar>
                    <w:top w:w="0" w:type="dxa"/>
                    <w:left w:w="108" w:type="dxa"/>
                    <w:bottom w:w="0" w:type="dxa"/>
                    <w:right w:w="108" w:type="dxa"/>
                  </w:tcMar>
                  <w:vAlign w:val="center"/>
                </w:tcPr>
                <w:p w14:paraId="5E3A43D9">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1025" w:type="dxa"/>
                  <w:tcMar>
                    <w:top w:w="0" w:type="dxa"/>
                    <w:left w:w="108" w:type="dxa"/>
                    <w:bottom w:w="0" w:type="dxa"/>
                    <w:right w:w="108" w:type="dxa"/>
                  </w:tcMar>
                  <w:vAlign w:val="center"/>
                </w:tcPr>
                <w:p w14:paraId="21EC01BB">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39.87 </w:t>
                  </w:r>
                </w:p>
              </w:tc>
              <w:tc>
                <w:tcPr>
                  <w:tcW w:w="942" w:type="dxa"/>
                  <w:tcMar>
                    <w:top w:w="0" w:type="dxa"/>
                    <w:left w:w="108" w:type="dxa"/>
                    <w:bottom w:w="0" w:type="dxa"/>
                    <w:right w:w="108" w:type="dxa"/>
                  </w:tcMar>
                  <w:vAlign w:val="center"/>
                </w:tcPr>
                <w:p w14:paraId="7324BE15">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14.74 </w:t>
                  </w:r>
                </w:p>
              </w:tc>
              <w:tc>
                <w:tcPr>
                  <w:tcW w:w="988" w:type="dxa"/>
                  <w:tcMar>
                    <w:top w:w="0" w:type="dxa"/>
                    <w:left w:w="108" w:type="dxa"/>
                    <w:bottom w:w="0" w:type="dxa"/>
                    <w:right w:w="108" w:type="dxa"/>
                  </w:tcMar>
                  <w:vAlign w:val="center"/>
                </w:tcPr>
                <w:p w14:paraId="2727DA6B">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8.73 </w:t>
                  </w:r>
                </w:p>
              </w:tc>
              <w:tc>
                <w:tcPr>
                  <w:tcW w:w="970" w:type="dxa"/>
                  <w:tcMar>
                    <w:top w:w="0" w:type="dxa"/>
                    <w:left w:w="108" w:type="dxa"/>
                    <w:bottom w:w="0" w:type="dxa"/>
                    <w:right w:w="108" w:type="dxa"/>
                  </w:tcMar>
                  <w:vAlign w:val="center"/>
                </w:tcPr>
                <w:p w14:paraId="10201AA9">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2.90 </w:t>
                  </w:r>
                </w:p>
              </w:tc>
              <w:tc>
                <w:tcPr>
                  <w:tcW w:w="826" w:type="dxa"/>
                  <w:tcMar>
                    <w:top w:w="0" w:type="dxa"/>
                    <w:left w:w="108" w:type="dxa"/>
                    <w:bottom w:w="0" w:type="dxa"/>
                    <w:right w:w="108" w:type="dxa"/>
                  </w:tcMar>
                  <w:vAlign w:val="center"/>
                </w:tcPr>
                <w:p w14:paraId="7B7CD611">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1.68 </w:t>
                  </w:r>
                </w:p>
              </w:tc>
            </w:tr>
            <w:tr w14:paraId="4A87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4D6C0B91">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p w14:paraId="30408890">
                  <w:pPr>
                    <w:pStyle w:val="84"/>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711.28</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/d，</w:t>
                  </w:r>
                  <w:r>
                    <w:rPr>
                      <w:rFonts w:hint="eastAsia"/>
                      <w:color w:val="000000" w:themeColor="text1"/>
                      <w:sz w:val="21"/>
                      <w:szCs w:val="21"/>
                      <w:highlight w:val="none"/>
                      <w:lang w:val="en-US" w:eastAsia="zh-CN"/>
                      <w14:textFill>
                        <w14:solidFill>
                          <w14:schemeClr w14:val="tx1"/>
                        </w14:solidFill>
                      </w14:textFill>
                    </w:rPr>
                    <w:t>236855.56</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/a）</w:t>
                  </w:r>
                </w:p>
              </w:tc>
              <w:tc>
                <w:tcPr>
                  <w:tcW w:w="694" w:type="dxa"/>
                  <w:tcMar>
                    <w:top w:w="0" w:type="dxa"/>
                    <w:left w:w="108" w:type="dxa"/>
                    <w:bottom w:w="0" w:type="dxa"/>
                    <w:right w:w="108" w:type="dxa"/>
                  </w:tcMar>
                  <w:vAlign w:val="center"/>
                </w:tcPr>
                <w:p w14:paraId="1CBDC740">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t/a</w:t>
                  </w:r>
                </w:p>
              </w:tc>
              <w:tc>
                <w:tcPr>
                  <w:tcW w:w="1025" w:type="dxa"/>
                  <w:tcMar>
                    <w:top w:w="0" w:type="dxa"/>
                    <w:left w:w="108" w:type="dxa"/>
                    <w:bottom w:w="0" w:type="dxa"/>
                    <w:right w:w="108" w:type="dxa"/>
                  </w:tcMar>
                  <w:vAlign w:val="center"/>
                </w:tcPr>
                <w:p w14:paraId="71156E9B">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40.20 </w:t>
                  </w:r>
                </w:p>
              </w:tc>
              <w:tc>
                <w:tcPr>
                  <w:tcW w:w="942" w:type="dxa"/>
                  <w:tcMar>
                    <w:top w:w="0" w:type="dxa"/>
                    <w:left w:w="108" w:type="dxa"/>
                    <w:bottom w:w="0" w:type="dxa"/>
                    <w:right w:w="108" w:type="dxa"/>
                  </w:tcMar>
                  <w:vAlign w:val="center"/>
                </w:tcPr>
                <w:p w14:paraId="5C9D82E1">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14.96 </w:t>
                  </w:r>
                </w:p>
              </w:tc>
              <w:tc>
                <w:tcPr>
                  <w:tcW w:w="988" w:type="dxa"/>
                  <w:tcMar>
                    <w:top w:w="0" w:type="dxa"/>
                    <w:left w:w="108" w:type="dxa"/>
                    <w:bottom w:w="0" w:type="dxa"/>
                    <w:right w:w="108" w:type="dxa"/>
                  </w:tcMar>
                  <w:vAlign w:val="center"/>
                </w:tcPr>
                <w:p w14:paraId="530918D9">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9.07 </w:t>
                  </w:r>
                </w:p>
              </w:tc>
              <w:tc>
                <w:tcPr>
                  <w:tcW w:w="970" w:type="dxa"/>
                  <w:tcMar>
                    <w:top w:w="0" w:type="dxa"/>
                    <w:left w:w="108" w:type="dxa"/>
                    <w:bottom w:w="0" w:type="dxa"/>
                    <w:right w:w="108" w:type="dxa"/>
                  </w:tcMar>
                  <w:vAlign w:val="center"/>
                </w:tcPr>
                <w:p w14:paraId="05C34B12">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2.94 </w:t>
                  </w:r>
                </w:p>
              </w:tc>
              <w:tc>
                <w:tcPr>
                  <w:tcW w:w="826" w:type="dxa"/>
                  <w:tcMar>
                    <w:top w:w="0" w:type="dxa"/>
                    <w:left w:w="108" w:type="dxa"/>
                    <w:bottom w:w="0" w:type="dxa"/>
                    <w:right w:w="108" w:type="dxa"/>
                  </w:tcMar>
                  <w:vAlign w:val="center"/>
                </w:tcPr>
                <w:p w14:paraId="4861AE90">
                  <w:pPr>
                    <w:keepNext w:val="0"/>
                    <w:keepLines w:val="0"/>
                    <w:widowControl/>
                    <w:suppressLineNumbers w:val="0"/>
                    <w:jc w:val="center"/>
                    <w:textAlignment w:val="center"/>
                    <w:rPr>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1.68 </w:t>
                  </w:r>
                </w:p>
              </w:tc>
            </w:tr>
            <w:tr w14:paraId="7F0B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6A426120">
                  <w:pPr>
                    <w:pStyle w:val="84"/>
                    <w:rPr>
                      <w:color w:val="000000" w:themeColor="text1"/>
                      <w14:textFill>
                        <w14:solidFill>
                          <w14:schemeClr w14:val="tx1"/>
                        </w14:solidFill>
                      </w14:textFill>
                    </w:rPr>
                  </w:pPr>
                  <w:r>
                    <w:rPr>
                      <w:rFonts w:hint="eastAsia"/>
                      <w:color w:val="000000" w:themeColor="text1"/>
                      <w14:textFill>
                        <w14:solidFill>
                          <w14:schemeClr w14:val="tx1"/>
                        </w14:solidFill>
                      </w14:textFill>
                    </w:rPr>
                    <w:t>排放浓度</w:t>
                  </w:r>
                </w:p>
              </w:tc>
              <w:tc>
                <w:tcPr>
                  <w:tcW w:w="694" w:type="dxa"/>
                  <w:tcMar>
                    <w:top w:w="0" w:type="dxa"/>
                    <w:left w:w="108" w:type="dxa"/>
                    <w:bottom w:w="0" w:type="dxa"/>
                    <w:right w:w="108" w:type="dxa"/>
                  </w:tcMar>
                  <w:vAlign w:val="center"/>
                </w:tcPr>
                <w:p w14:paraId="472CBDE7">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25" w:type="dxa"/>
                  <w:tcMar>
                    <w:top w:w="0" w:type="dxa"/>
                    <w:left w:w="108" w:type="dxa"/>
                    <w:bottom w:w="0" w:type="dxa"/>
                    <w:right w:w="108" w:type="dxa"/>
                  </w:tcMar>
                  <w:vAlign w:val="center"/>
                </w:tcPr>
                <w:p w14:paraId="69FB6360">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169</w:t>
                  </w:r>
                </w:p>
              </w:tc>
              <w:tc>
                <w:tcPr>
                  <w:tcW w:w="942" w:type="dxa"/>
                  <w:tcMar>
                    <w:top w:w="0" w:type="dxa"/>
                    <w:left w:w="108" w:type="dxa"/>
                    <w:bottom w:w="0" w:type="dxa"/>
                    <w:right w:w="108" w:type="dxa"/>
                  </w:tcMar>
                  <w:vAlign w:val="center"/>
                </w:tcPr>
                <w:p w14:paraId="7A1CD685">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62.5</w:t>
                  </w:r>
                </w:p>
              </w:tc>
              <w:tc>
                <w:tcPr>
                  <w:tcW w:w="988" w:type="dxa"/>
                  <w:tcMar>
                    <w:top w:w="0" w:type="dxa"/>
                    <w:left w:w="108" w:type="dxa"/>
                    <w:bottom w:w="0" w:type="dxa"/>
                    <w:right w:w="108" w:type="dxa"/>
                  </w:tcMar>
                  <w:vAlign w:val="center"/>
                </w:tcPr>
                <w:p w14:paraId="594CD3F4">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37</w:t>
                  </w:r>
                </w:p>
              </w:tc>
              <w:tc>
                <w:tcPr>
                  <w:tcW w:w="970" w:type="dxa"/>
                  <w:tcMar>
                    <w:top w:w="0" w:type="dxa"/>
                    <w:left w:w="108" w:type="dxa"/>
                    <w:bottom w:w="0" w:type="dxa"/>
                    <w:right w:w="108" w:type="dxa"/>
                  </w:tcMar>
                  <w:vAlign w:val="center"/>
                </w:tcPr>
                <w:p w14:paraId="30833816">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12.3</w:t>
                  </w:r>
                </w:p>
              </w:tc>
              <w:tc>
                <w:tcPr>
                  <w:tcW w:w="826" w:type="dxa"/>
                  <w:tcMar>
                    <w:top w:w="0" w:type="dxa"/>
                    <w:left w:w="108" w:type="dxa"/>
                    <w:bottom w:w="0" w:type="dxa"/>
                    <w:right w:w="108" w:type="dxa"/>
                  </w:tcMar>
                  <w:vAlign w:val="center"/>
                </w:tcPr>
                <w:p w14:paraId="635C53F1">
                  <w:pPr>
                    <w:adjustRightInd w:val="0"/>
                    <w:snapToGrid w:val="0"/>
                    <w:spacing w:before="48" w:beforeLines="20"/>
                    <w:jc w:val="center"/>
                    <w:rPr>
                      <w:color w:val="000000" w:themeColor="text1"/>
                      <w:szCs w:val="21"/>
                      <w14:textFill>
                        <w14:solidFill>
                          <w14:schemeClr w14:val="tx1"/>
                        </w14:solidFill>
                      </w14:textFill>
                    </w:rPr>
                  </w:pPr>
                  <w:r>
                    <w:rPr>
                      <w:rFonts w:hint="eastAsia"/>
                      <w:color w:val="000000" w:themeColor="text1"/>
                      <w:position w:val="2"/>
                      <w14:textFill>
                        <w14:solidFill>
                          <w14:schemeClr w14:val="tx1"/>
                        </w14:solidFill>
                      </w14:textFill>
                    </w:rPr>
                    <w:t>7.14</w:t>
                  </w:r>
                </w:p>
              </w:tc>
            </w:tr>
            <w:tr w14:paraId="5CEE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69" w:type="dxa"/>
                  <w:tcMar>
                    <w:top w:w="0" w:type="dxa"/>
                    <w:left w:w="108" w:type="dxa"/>
                    <w:bottom w:w="0" w:type="dxa"/>
                    <w:right w:w="108" w:type="dxa"/>
                  </w:tcMar>
                  <w:vAlign w:val="center"/>
                </w:tcPr>
                <w:p w14:paraId="13BDC64B">
                  <w:pPr>
                    <w:pStyle w:val="84"/>
                    <w:rPr>
                      <w:color w:val="000000" w:themeColor="text1"/>
                      <w14:textFill>
                        <w14:solidFill>
                          <w14:schemeClr w14:val="tx1"/>
                        </w14:solidFill>
                      </w14:textFill>
                    </w:rPr>
                  </w:pPr>
                  <w:r>
                    <w:rPr>
                      <w:rFonts w:hint="eastAsia"/>
                      <w:color w:val="000000" w:themeColor="text1"/>
                      <w14:textFill>
                        <w14:solidFill>
                          <w14:schemeClr w14:val="tx1"/>
                        </w14:solidFill>
                      </w14:textFill>
                    </w:rPr>
                    <w:t>排放标准</w:t>
                  </w:r>
                </w:p>
              </w:tc>
              <w:tc>
                <w:tcPr>
                  <w:tcW w:w="694" w:type="dxa"/>
                  <w:tcMar>
                    <w:top w:w="0" w:type="dxa"/>
                    <w:left w:w="108" w:type="dxa"/>
                    <w:bottom w:w="0" w:type="dxa"/>
                    <w:right w:w="108" w:type="dxa"/>
                  </w:tcMar>
                  <w:vAlign w:val="center"/>
                </w:tcPr>
                <w:p w14:paraId="725B8E0F">
                  <w:pPr>
                    <w:adjustRightInd w:val="0"/>
                    <w:snapToGrid w:val="0"/>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mg/L</w:t>
                  </w:r>
                </w:p>
              </w:tc>
              <w:tc>
                <w:tcPr>
                  <w:tcW w:w="1025" w:type="dxa"/>
                  <w:tcMar>
                    <w:top w:w="0" w:type="dxa"/>
                    <w:left w:w="108" w:type="dxa"/>
                    <w:bottom w:w="0" w:type="dxa"/>
                    <w:right w:w="108" w:type="dxa"/>
                  </w:tcMar>
                  <w:vAlign w:val="center"/>
                </w:tcPr>
                <w:p w14:paraId="680C5F52">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942" w:type="dxa"/>
                  <w:tcMar>
                    <w:top w:w="0" w:type="dxa"/>
                    <w:left w:w="108" w:type="dxa"/>
                    <w:bottom w:w="0" w:type="dxa"/>
                    <w:right w:w="108" w:type="dxa"/>
                  </w:tcMar>
                  <w:vAlign w:val="center"/>
                </w:tcPr>
                <w:p w14:paraId="01DB6C26">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988" w:type="dxa"/>
                  <w:tcMar>
                    <w:top w:w="0" w:type="dxa"/>
                    <w:left w:w="108" w:type="dxa"/>
                    <w:bottom w:w="0" w:type="dxa"/>
                    <w:right w:w="108" w:type="dxa"/>
                  </w:tcMar>
                  <w:vAlign w:val="center"/>
                </w:tcPr>
                <w:p w14:paraId="299FE601">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970" w:type="dxa"/>
                  <w:tcMar>
                    <w:top w:w="0" w:type="dxa"/>
                    <w:left w:w="108" w:type="dxa"/>
                    <w:bottom w:w="0" w:type="dxa"/>
                    <w:right w:w="108" w:type="dxa"/>
                  </w:tcMar>
                  <w:vAlign w:val="center"/>
                </w:tcPr>
                <w:p w14:paraId="29BA096A">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826" w:type="dxa"/>
                  <w:tcMar>
                    <w:top w:w="0" w:type="dxa"/>
                    <w:left w:w="108" w:type="dxa"/>
                    <w:bottom w:w="0" w:type="dxa"/>
                    <w:right w:w="108" w:type="dxa"/>
                  </w:tcMar>
                  <w:vAlign w:val="center"/>
                </w:tcPr>
                <w:p w14:paraId="06666BD0">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14:paraId="7E08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63" w:type="dxa"/>
                  <w:gridSpan w:val="2"/>
                  <w:tcMar>
                    <w:top w:w="0" w:type="dxa"/>
                    <w:left w:w="108" w:type="dxa"/>
                    <w:bottom w:w="0" w:type="dxa"/>
                    <w:right w:w="108" w:type="dxa"/>
                  </w:tcMar>
                  <w:vAlign w:val="center"/>
                </w:tcPr>
                <w:p w14:paraId="1148D49C">
                  <w:pPr>
                    <w:adjustRightInd w:val="0"/>
                    <w:snapToGrid w:val="0"/>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达标情况</w:t>
                  </w:r>
                </w:p>
              </w:tc>
              <w:tc>
                <w:tcPr>
                  <w:tcW w:w="1025" w:type="dxa"/>
                  <w:tcMar>
                    <w:top w:w="0" w:type="dxa"/>
                    <w:left w:w="108" w:type="dxa"/>
                    <w:bottom w:w="0" w:type="dxa"/>
                    <w:right w:w="108" w:type="dxa"/>
                  </w:tcMar>
                  <w:vAlign w:val="center"/>
                </w:tcPr>
                <w:p w14:paraId="07CE511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942" w:type="dxa"/>
                  <w:tcMar>
                    <w:top w:w="0" w:type="dxa"/>
                    <w:left w:w="108" w:type="dxa"/>
                    <w:bottom w:w="0" w:type="dxa"/>
                    <w:right w:w="108" w:type="dxa"/>
                  </w:tcMar>
                  <w:vAlign w:val="center"/>
                </w:tcPr>
                <w:p w14:paraId="5C5DA311">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988" w:type="dxa"/>
                  <w:tcMar>
                    <w:top w:w="0" w:type="dxa"/>
                    <w:left w:w="108" w:type="dxa"/>
                    <w:bottom w:w="0" w:type="dxa"/>
                    <w:right w:w="108" w:type="dxa"/>
                  </w:tcMar>
                  <w:vAlign w:val="center"/>
                </w:tcPr>
                <w:p w14:paraId="45B8D22D">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970" w:type="dxa"/>
                  <w:tcMar>
                    <w:top w:w="0" w:type="dxa"/>
                    <w:left w:w="108" w:type="dxa"/>
                    <w:bottom w:w="0" w:type="dxa"/>
                    <w:right w:w="108" w:type="dxa"/>
                  </w:tcMar>
                  <w:vAlign w:val="center"/>
                </w:tcPr>
                <w:p w14:paraId="0A01C49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c>
                <w:tcPr>
                  <w:tcW w:w="826" w:type="dxa"/>
                  <w:tcMar>
                    <w:top w:w="0" w:type="dxa"/>
                    <w:left w:w="108" w:type="dxa"/>
                    <w:bottom w:w="0" w:type="dxa"/>
                    <w:right w:w="108" w:type="dxa"/>
                  </w:tcMar>
                  <w:vAlign w:val="center"/>
                </w:tcPr>
                <w:p w14:paraId="421BA40A">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31350EC0">
            <w:pPr>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根据上表可知，项目外排废水可以达到</w:t>
            </w:r>
            <w:r>
              <w:rPr>
                <w:color w:val="000000" w:themeColor="text1"/>
                <w:sz w:val="24"/>
                <w14:textFill>
                  <w14:solidFill>
                    <w14:schemeClr w14:val="tx1"/>
                  </w14:solidFill>
                </w14:textFill>
              </w:rPr>
              <w:t>《污水排入城镇下水道水质标准》（GB/T31962-2015）表1中A等级标准</w:t>
            </w:r>
            <w:r>
              <w:rPr>
                <w:rFonts w:hint="eastAsia"/>
                <w:bCs/>
                <w:color w:val="000000" w:themeColor="text1"/>
                <w:kern w:val="0"/>
                <w:sz w:val="24"/>
                <w14:textFill>
                  <w14:solidFill>
                    <w14:schemeClr w14:val="tx1"/>
                  </w14:solidFill>
                </w14:textFill>
              </w:rPr>
              <w:t>。</w:t>
            </w:r>
          </w:p>
          <w:p w14:paraId="7A09AC20">
            <w:pPr>
              <w:spacing w:line="360" w:lineRule="auto"/>
              <w:ind w:firstLine="482" w:firstLineChars="200"/>
              <w:rPr>
                <w:b/>
                <w:bCs/>
                <w:color w:val="000000" w:themeColor="text1"/>
                <w:sz w:val="24"/>
                <w14:textFill>
                  <w14:solidFill>
                    <w14:schemeClr w14:val="tx1"/>
                  </w14:solidFill>
                </w14:textFill>
              </w:rPr>
            </w:pPr>
            <w:r>
              <w:rPr>
                <w:rFonts w:hint="eastAsia"/>
                <w:b/>
                <w:color w:val="000000" w:themeColor="text1"/>
                <w:kern w:val="0"/>
                <w:sz w:val="24"/>
                <w14:textFill>
                  <w14:solidFill>
                    <w14:schemeClr w14:val="tx1"/>
                  </w14:solidFill>
                </w14:textFill>
              </w:rPr>
              <w:t>3、</w:t>
            </w:r>
            <w:r>
              <w:rPr>
                <w:rFonts w:hint="eastAsia"/>
                <w:b/>
                <w:bCs/>
                <w:color w:val="000000" w:themeColor="text1"/>
                <w:sz w:val="24"/>
                <w14:textFill>
                  <w14:solidFill>
                    <w14:schemeClr w14:val="tx1"/>
                  </w14:solidFill>
                </w14:textFill>
              </w:rPr>
              <w:t>废水间接排放口基本情况</w:t>
            </w:r>
          </w:p>
          <w:p w14:paraId="35575361">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项目废水间接排放，废水间接排放口基本情况见表</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w:t>
            </w:r>
          </w:p>
          <w:p w14:paraId="046D4B01">
            <w:pPr>
              <w:pStyle w:val="117"/>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项目废水间接排放口基本情况表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6"/>
              <w:gridCol w:w="691"/>
              <w:gridCol w:w="381"/>
              <w:gridCol w:w="1459"/>
              <w:gridCol w:w="1272"/>
              <w:gridCol w:w="437"/>
              <w:gridCol w:w="603"/>
              <w:gridCol w:w="524"/>
              <w:gridCol w:w="422"/>
              <w:gridCol w:w="1403"/>
              <w:gridCol w:w="1200"/>
            </w:tblGrid>
            <w:tr w14:paraId="77BF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restart"/>
                  <w:textDirection w:val="tbRlV"/>
                  <w:vAlign w:val="center"/>
                </w:tcPr>
                <w:p w14:paraId="5D122263">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 号</w:t>
                  </w:r>
                </w:p>
              </w:tc>
              <w:tc>
                <w:tcPr>
                  <w:tcW w:w="698" w:type="dxa"/>
                  <w:vMerge w:val="restart"/>
                  <w:vAlign w:val="center"/>
                </w:tcPr>
                <w:p w14:paraId="402F544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tc>
              <w:tc>
                <w:tcPr>
                  <w:tcW w:w="457" w:type="dxa"/>
                  <w:vMerge w:val="restart"/>
                  <w:vAlign w:val="center"/>
                </w:tcPr>
                <w:p w14:paraId="5F801930">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w:t>
                  </w:r>
                </w:p>
                <w:p w14:paraId="62CEC97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口名</w:t>
                  </w:r>
                </w:p>
                <w:p w14:paraId="76C38B4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称</w:t>
                  </w:r>
                </w:p>
              </w:tc>
              <w:tc>
                <w:tcPr>
                  <w:tcW w:w="1646" w:type="dxa"/>
                  <w:gridSpan w:val="2"/>
                  <w:vAlign w:val="center"/>
                </w:tcPr>
                <w:p w14:paraId="7104F7C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排放口地理坐标</w:t>
                  </w:r>
                </w:p>
              </w:tc>
              <w:tc>
                <w:tcPr>
                  <w:tcW w:w="540" w:type="dxa"/>
                  <w:vMerge w:val="restart"/>
                  <w:vAlign w:val="center"/>
                </w:tcPr>
                <w:p w14:paraId="02AD03C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 去向</w:t>
                  </w:r>
                </w:p>
              </w:tc>
              <w:tc>
                <w:tcPr>
                  <w:tcW w:w="685" w:type="dxa"/>
                  <w:vMerge w:val="restart"/>
                  <w:vAlign w:val="center"/>
                </w:tcPr>
                <w:p w14:paraId="1D095FA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排放规 律</w:t>
                  </w:r>
                </w:p>
              </w:tc>
              <w:tc>
                <w:tcPr>
                  <w:tcW w:w="668" w:type="dxa"/>
                  <w:vMerge w:val="restart"/>
                  <w:vAlign w:val="center"/>
                </w:tcPr>
                <w:p w14:paraId="17B45C99">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间歇排放时段</w:t>
                  </w:r>
                </w:p>
              </w:tc>
              <w:tc>
                <w:tcPr>
                  <w:tcW w:w="3501" w:type="dxa"/>
                  <w:gridSpan w:val="3"/>
                  <w:vAlign w:val="center"/>
                </w:tcPr>
                <w:p w14:paraId="7909F31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受纳污水处理厂信息</w:t>
                  </w:r>
                </w:p>
              </w:tc>
            </w:tr>
            <w:tr w14:paraId="1CB5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textDirection w:val="tbRlV"/>
                  <w:vAlign w:val="center"/>
                </w:tcPr>
                <w:p w14:paraId="0ADE7092">
                  <w:pPr>
                    <w:jc w:val="center"/>
                    <w:rPr>
                      <w:b/>
                      <w:bCs/>
                      <w:color w:val="000000" w:themeColor="text1"/>
                      <w:szCs w:val="21"/>
                      <w14:textFill>
                        <w14:solidFill>
                          <w14:schemeClr w14:val="tx1"/>
                        </w14:solidFill>
                      </w14:textFill>
                    </w:rPr>
                  </w:pPr>
                </w:p>
              </w:tc>
              <w:tc>
                <w:tcPr>
                  <w:tcW w:w="698" w:type="dxa"/>
                  <w:vMerge w:val="continue"/>
                  <w:vAlign w:val="center"/>
                </w:tcPr>
                <w:p w14:paraId="70FB947A">
                  <w:pPr>
                    <w:jc w:val="center"/>
                    <w:rPr>
                      <w:b/>
                      <w:bCs/>
                      <w:color w:val="000000" w:themeColor="text1"/>
                      <w:szCs w:val="21"/>
                      <w14:textFill>
                        <w14:solidFill>
                          <w14:schemeClr w14:val="tx1"/>
                        </w14:solidFill>
                      </w14:textFill>
                    </w:rPr>
                  </w:pPr>
                </w:p>
              </w:tc>
              <w:tc>
                <w:tcPr>
                  <w:tcW w:w="457" w:type="dxa"/>
                  <w:vMerge w:val="continue"/>
                  <w:vAlign w:val="center"/>
                </w:tcPr>
                <w:p w14:paraId="3A867BC9">
                  <w:pPr>
                    <w:jc w:val="center"/>
                    <w:rPr>
                      <w:b/>
                      <w:bCs/>
                      <w:color w:val="000000" w:themeColor="text1"/>
                      <w:szCs w:val="21"/>
                      <w14:textFill>
                        <w14:solidFill>
                          <w14:schemeClr w14:val="tx1"/>
                        </w14:solidFill>
                      </w14:textFill>
                    </w:rPr>
                  </w:pPr>
                </w:p>
              </w:tc>
              <w:tc>
                <w:tcPr>
                  <w:tcW w:w="800" w:type="dxa"/>
                  <w:vAlign w:val="center"/>
                </w:tcPr>
                <w:p w14:paraId="71576ED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经度</w:t>
                  </w:r>
                </w:p>
              </w:tc>
              <w:tc>
                <w:tcPr>
                  <w:tcW w:w="846" w:type="dxa"/>
                  <w:vAlign w:val="center"/>
                </w:tcPr>
                <w:p w14:paraId="622F545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纬度</w:t>
                  </w:r>
                </w:p>
              </w:tc>
              <w:tc>
                <w:tcPr>
                  <w:tcW w:w="540" w:type="dxa"/>
                  <w:vMerge w:val="continue"/>
                  <w:vAlign w:val="center"/>
                </w:tcPr>
                <w:p w14:paraId="0725695F">
                  <w:pPr>
                    <w:jc w:val="center"/>
                    <w:rPr>
                      <w:b/>
                      <w:bCs/>
                      <w:color w:val="000000" w:themeColor="text1"/>
                      <w:szCs w:val="21"/>
                      <w14:textFill>
                        <w14:solidFill>
                          <w14:schemeClr w14:val="tx1"/>
                        </w14:solidFill>
                      </w14:textFill>
                    </w:rPr>
                  </w:pPr>
                </w:p>
              </w:tc>
              <w:tc>
                <w:tcPr>
                  <w:tcW w:w="685" w:type="dxa"/>
                  <w:vMerge w:val="continue"/>
                  <w:vAlign w:val="center"/>
                </w:tcPr>
                <w:p w14:paraId="1C9005B9">
                  <w:pPr>
                    <w:jc w:val="center"/>
                    <w:rPr>
                      <w:b/>
                      <w:bCs/>
                      <w:color w:val="000000" w:themeColor="text1"/>
                      <w:szCs w:val="21"/>
                      <w14:textFill>
                        <w14:solidFill>
                          <w14:schemeClr w14:val="tx1"/>
                        </w14:solidFill>
                      </w14:textFill>
                    </w:rPr>
                  </w:pPr>
                </w:p>
              </w:tc>
              <w:tc>
                <w:tcPr>
                  <w:tcW w:w="668" w:type="dxa"/>
                  <w:vMerge w:val="continue"/>
                  <w:vAlign w:val="center"/>
                </w:tcPr>
                <w:p w14:paraId="43F6AC5B">
                  <w:pPr>
                    <w:jc w:val="center"/>
                    <w:rPr>
                      <w:b/>
                      <w:bCs/>
                      <w:color w:val="000000" w:themeColor="text1"/>
                      <w:szCs w:val="21"/>
                      <w14:textFill>
                        <w14:solidFill>
                          <w14:schemeClr w14:val="tx1"/>
                        </w14:solidFill>
                      </w14:textFill>
                    </w:rPr>
                  </w:pPr>
                </w:p>
              </w:tc>
              <w:tc>
                <w:tcPr>
                  <w:tcW w:w="518" w:type="dxa"/>
                  <w:vAlign w:val="center"/>
                </w:tcPr>
                <w:p w14:paraId="4C677EE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583" w:type="dxa"/>
                  <w:vAlign w:val="center"/>
                </w:tcPr>
                <w:p w14:paraId="0D67051D">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污染物种类</w:t>
                  </w:r>
                </w:p>
              </w:tc>
              <w:tc>
                <w:tcPr>
                  <w:tcW w:w="1400" w:type="dxa"/>
                  <w:vAlign w:val="center"/>
                </w:tcPr>
                <w:p w14:paraId="01C84D9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国家或地方污</w:t>
                  </w:r>
                </w:p>
                <w:p w14:paraId="48CCA91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染物排放标准</w:t>
                  </w:r>
                </w:p>
                <w:p w14:paraId="606A1824">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浓度限值</w:t>
                  </w:r>
                </w:p>
              </w:tc>
            </w:tr>
            <w:tr w14:paraId="6D58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restart"/>
                  <w:vAlign w:val="center"/>
                </w:tcPr>
                <w:p w14:paraId="074334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8" w:type="dxa"/>
                  <w:vMerge w:val="restart"/>
                  <w:vAlign w:val="center"/>
                </w:tcPr>
                <w:p w14:paraId="7DDFA9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457" w:type="dxa"/>
                  <w:vMerge w:val="restart"/>
                  <w:vAlign w:val="center"/>
                </w:tcPr>
                <w:p w14:paraId="4877246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 总排 放口</w:t>
                  </w:r>
                </w:p>
              </w:tc>
              <w:tc>
                <w:tcPr>
                  <w:tcW w:w="800" w:type="dxa"/>
                  <w:vMerge w:val="restart"/>
                  <w:vAlign w:val="center"/>
                </w:tcPr>
                <w:p w14:paraId="3B8D645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w:t>
                  </w:r>
                  <w:r>
                    <w:rPr>
                      <w:color w:val="000000" w:themeColor="text1"/>
                      <w:szCs w:val="21"/>
                      <w14:textFill>
                        <w14:solidFill>
                          <w14:schemeClr w14:val="tx1"/>
                        </w14:solidFill>
                      </w14:textFill>
                    </w:rPr>
                    <w:t>103°18′37.391″</w:t>
                  </w:r>
                </w:p>
              </w:tc>
              <w:tc>
                <w:tcPr>
                  <w:tcW w:w="846" w:type="dxa"/>
                  <w:vMerge w:val="restart"/>
                  <w:vAlign w:val="center"/>
                </w:tcPr>
                <w:p w14:paraId="71F6CE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N25°34′5.822″</w:t>
                  </w:r>
                </w:p>
              </w:tc>
              <w:tc>
                <w:tcPr>
                  <w:tcW w:w="540" w:type="dxa"/>
                  <w:vMerge w:val="restart"/>
                  <w:vAlign w:val="center"/>
                </w:tcPr>
                <w:p w14:paraId="361B29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进入</w:t>
                  </w:r>
                </w:p>
                <w:p w14:paraId="5971B2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寻甸县污水处理厂</w:t>
                  </w:r>
                </w:p>
              </w:tc>
              <w:tc>
                <w:tcPr>
                  <w:tcW w:w="685" w:type="dxa"/>
                  <w:vMerge w:val="restart"/>
                  <w:vAlign w:val="center"/>
                </w:tcPr>
                <w:p w14:paraId="4F1FD55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间断排</w:t>
                  </w:r>
                </w:p>
                <w:p w14:paraId="3B7A5E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放， 排放期间</w:t>
                  </w:r>
                </w:p>
                <w:p w14:paraId="3BC7B4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流量稳</w:t>
                  </w:r>
                </w:p>
                <w:p w14:paraId="47E429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定</w:t>
                  </w:r>
                </w:p>
              </w:tc>
              <w:tc>
                <w:tcPr>
                  <w:tcW w:w="668" w:type="dxa"/>
                  <w:vMerge w:val="restart"/>
                  <w:vAlign w:val="center"/>
                </w:tcPr>
                <w:p w14:paraId="02DE00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生产时排放</w:t>
                  </w:r>
                </w:p>
              </w:tc>
              <w:tc>
                <w:tcPr>
                  <w:tcW w:w="518" w:type="dxa"/>
                  <w:vMerge w:val="restart"/>
                  <w:vAlign w:val="center"/>
                </w:tcPr>
                <w:p w14:paraId="3F7031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寻甸县污水处理厂</w:t>
                  </w:r>
                </w:p>
              </w:tc>
              <w:tc>
                <w:tcPr>
                  <w:tcW w:w="1583" w:type="dxa"/>
                  <w:vAlign w:val="center"/>
                </w:tcPr>
                <w:p w14:paraId="179F57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化学需氧量</w:t>
                  </w:r>
                </w:p>
              </w:tc>
              <w:tc>
                <w:tcPr>
                  <w:tcW w:w="1400" w:type="dxa"/>
                  <w:vAlign w:val="center"/>
                </w:tcPr>
                <w:p w14:paraId="085C23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mg/L</w:t>
                  </w:r>
                </w:p>
              </w:tc>
            </w:tr>
            <w:tr w14:paraId="5846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6B1A4D7D">
                  <w:pPr>
                    <w:jc w:val="center"/>
                    <w:rPr>
                      <w:color w:val="000000" w:themeColor="text1"/>
                      <w:szCs w:val="21"/>
                      <w14:textFill>
                        <w14:solidFill>
                          <w14:schemeClr w14:val="tx1"/>
                        </w14:solidFill>
                      </w14:textFill>
                    </w:rPr>
                  </w:pPr>
                </w:p>
              </w:tc>
              <w:tc>
                <w:tcPr>
                  <w:tcW w:w="698" w:type="dxa"/>
                  <w:vMerge w:val="continue"/>
                  <w:vAlign w:val="center"/>
                </w:tcPr>
                <w:p w14:paraId="12A54AB0">
                  <w:pPr>
                    <w:jc w:val="center"/>
                    <w:rPr>
                      <w:color w:val="000000" w:themeColor="text1"/>
                      <w:szCs w:val="21"/>
                      <w14:textFill>
                        <w14:solidFill>
                          <w14:schemeClr w14:val="tx1"/>
                        </w14:solidFill>
                      </w14:textFill>
                    </w:rPr>
                  </w:pPr>
                </w:p>
              </w:tc>
              <w:tc>
                <w:tcPr>
                  <w:tcW w:w="457" w:type="dxa"/>
                  <w:vMerge w:val="continue"/>
                  <w:vAlign w:val="center"/>
                </w:tcPr>
                <w:p w14:paraId="40F768D4">
                  <w:pPr>
                    <w:jc w:val="center"/>
                    <w:rPr>
                      <w:color w:val="000000" w:themeColor="text1"/>
                      <w:szCs w:val="21"/>
                      <w14:textFill>
                        <w14:solidFill>
                          <w14:schemeClr w14:val="tx1"/>
                        </w14:solidFill>
                      </w14:textFill>
                    </w:rPr>
                  </w:pPr>
                </w:p>
              </w:tc>
              <w:tc>
                <w:tcPr>
                  <w:tcW w:w="800" w:type="dxa"/>
                  <w:vMerge w:val="continue"/>
                  <w:vAlign w:val="center"/>
                </w:tcPr>
                <w:p w14:paraId="428E5633">
                  <w:pPr>
                    <w:jc w:val="center"/>
                    <w:rPr>
                      <w:color w:val="000000" w:themeColor="text1"/>
                      <w:szCs w:val="21"/>
                      <w14:textFill>
                        <w14:solidFill>
                          <w14:schemeClr w14:val="tx1"/>
                        </w14:solidFill>
                      </w14:textFill>
                    </w:rPr>
                  </w:pPr>
                </w:p>
              </w:tc>
              <w:tc>
                <w:tcPr>
                  <w:tcW w:w="846" w:type="dxa"/>
                  <w:vMerge w:val="continue"/>
                  <w:vAlign w:val="center"/>
                </w:tcPr>
                <w:p w14:paraId="3E6145D8">
                  <w:pPr>
                    <w:jc w:val="center"/>
                    <w:rPr>
                      <w:color w:val="000000" w:themeColor="text1"/>
                      <w:szCs w:val="21"/>
                      <w14:textFill>
                        <w14:solidFill>
                          <w14:schemeClr w14:val="tx1"/>
                        </w14:solidFill>
                      </w14:textFill>
                    </w:rPr>
                  </w:pPr>
                </w:p>
              </w:tc>
              <w:tc>
                <w:tcPr>
                  <w:tcW w:w="540" w:type="dxa"/>
                  <w:vMerge w:val="continue"/>
                  <w:vAlign w:val="center"/>
                </w:tcPr>
                <w:p w14:paraId="3915D370">
                  <w:pPr>
                    <w:jc w:val="center"/>
                    <w:rPr>
                      <w:color w:val="000000" w:themeColor="text1"/>
                      <w:szCs w:val="21"/>
                      <w14:textFill>
                        <w14:solidFill>
                          <w14:schemeClr w14:val="tx1"/>
                        </w14:solidFill>
                      </w14:textFill>
                    </w:rPr>
                  </w:pPr>
                </w:p>
              </w:tc>
              <w:tc>
                <w:tcPr>
                  <w:tcW w:w="685" w:type="dxa"/>
                  <w:vMerge w:val="continue"/>
                  <w:vAlign w:val="center"/>
                </w:tcPr>
                <w:p w14:paraId="29513B01">
                  <w:pPr>
                    <w:jc w:val="center"/>
                    <w:rPr>
                      <w:color w:val="000000" w:themeColor="text1"/>
                      <w:szCs w:val="21"/>
                      <w14:textFill>
                        <w14:solidFill>
                          <w14:schemeClr w14:val="tx1"/>
                        </w14:solidFill>
                      </w14:textFill>
                    </w:rPr>
                  </w:pPr>
                </w:p>
              </w:tc>
              <w:tc>
                <w:tcPr>
                  <w:tcW w:w="668" w:type="dxa"/>
                  <w:vMerge w:val="continue"/>
                  <w:vAlign w:val="center"/>
                </w:tcPr>
                <w:p w14:paraId="04DBAB75">
                  <w:pPr>
                    <w:jc w:val="center"/>
                    <w:rPr>
                      <w:color w:val="000000" w:themeColor="text1"/>
                      <w:szCs w:val="21"/>
                      <w14:textFill>
                        <w14:solidFill>
                          <w14:schemeClr w14:val="tx1"/>
                        </w14:solidFill>
                      </w14:textFill>
                    </w:rPr>
                  </w:pPr>
                </w:p>
              </w:tc>
              <w:tc>
                <w:tcPr>
                  <w:tcW w:w="518" w:type="dxa"/>
                  <w:vMerge w:val="continue"/>
                  <w:vAlign w:val="center"/>
                </w:tcPr>
                <w:p w14:paraId="3462CE2F">
                  <w:pPr>
                    <w:jc w:val="center"/>
                    <w:rPr>
                      <w:color w:val="000000" w:themeColor="text1"/>
                      <w:szCs w:val="21"/>
                      <w14:textFill>
                        <w14:solidFill>
                          <w14:schemeClr w14:val="tx1"/>
                        </w14:solidFill>
                      </w14:textFill>
                    </w:rPr>
                  </w:pPr>
                </w:p>
              </w:tc>
              <w:tc>
                <w:tcPr>
                  <w:tcW w:w="1583" w:type="dxa"/>
                  <w:vAlign w:val="center"/>
                </w:tcPr>
                <w:p w14:paraId="203BD92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r>
                    <w:rPr>
                      <w:color w:val="000000" w:themeColor="text1"/>
                      <w:szCs w:val="21"/>
                      <w14:textFill>
                        <w14:solidFill>
                          <w14:schemeClr w14:val="tx1"/>
                        </w14:solidFill>
                      </w14:textFill>
                    </w:rPr>
                    <w:t>氮（NH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400" w:type="dxa"/>
                  <w:vAlign w:val="center"/>
                </w:tcPr>
                <w:p w14:paraId="4F9BDA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5mg/L</w:t>
                  </w:r>
                </w:p>
              </w:tc>
            </w:tr>
            <w:tr w14:paraId="3AAD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3797D260">
                  <w:pPr>
                    <w:jc w:val="center"/>
                    <w:rPr>
                      <w:color w:val="000000" w:themeColor="text1"/>
                      <w:szCs w:val="21"/>
                      <w14:textFill>
                        <w14:solidFill>
                          <w14:schemeClr w14:val="tx1"/>
                        </w14:solidFill>
                      </w14:textFill>
                    </w:rPr>
                  </w:pPr>
                </w:p>
              </w:tc>
              <w:tc>
                <w:tcPr>
                  <w:tcW w:w="698" w:type="dxa"/>
                  <w:vMerge w:val="continue"/>
                  <w:vAlign w:val="center"/>
                </w:tcPr>
                <w:p w14:paraId="0B8285CB">
                  <w:pPr>
                    <w:jc w:val="center"/>
                    <w:rPr>
                      <w:color w:val="000000" w:themeColor="text1"/>
                      <w:szCs w:val="21"/>
                      <w14:textFill>
                        <w14:solidFill>
                          <w14:schemeClr w14:val="tx1"/>
                        </w14:solidFill>
                      </w14:textFill>
                    </w:rPr>
                  </w:pPr>
                </w:p>
              </w:tc>
              <w:tc>
                <w:tcPr>
                  <w:tcW w:w="457" w:type="dxa"/>
                  <w:vMerge w:val="continue"/>
                  <w:vAlign w:val="center"/>
                </w:tcPr>
                <w:p w14:paraId="5F32429B">
                  <w:pPr>
                    <w:jc w:val="center"/>
                    <w:rPr>
                      <w:color w:val="000000" w:themeColor="text1"/>
                      <w:szCs w:val="21"/>
                      <w14:textFill>
                        <w14:solidFill>
                          <w14:schemeClr w14:val="tx1"/>
                        </w14:solidFill>
                      </w14:textFill>
                    </w:rPr>
                  </w:pPr>
                </w:p>
              </w:tc>
              <w:tc>
                <w:tcPr>
                  <w:tcW w:w="800" w:type="dxa"/>
                  <w:vMerge w:val="continue"/>
                  <w:vAlign w:val="center"/>
                </w:tcPr>
                <w:p w14:paraId="300A6C28">
                  <w:pPr>
                    <w:jc w:val="center"/>
                    <w:rPr>
                      <w:color w:val="000000" w:themeColor="text1"/>
                      <w:szCs w:val="21"/>
                      <w14:textFill>
                        <w14:solidFill>
                          <w14:schemeClr w14:val="tx1"/>
                        </w14:solidFill>
                      </w14:textFill>
                    </w:rPr>
                  </w:pPr>
                </w:p>
              </w:tc>
              <w:tc>
                <w:tcPr>
                  <w:tcW w:w="846" w:type="dxa"/>
                  <w:vMerge w:val="continue"/>
                  <w:vAlign w:val="center"/>
                </w:tcPr>
                <w:p w14:paraId="6DCBF9FD">
                  <w:pPr>
                    <w:jc w:val="center"/>
                    <w:rPr>
                      <w:color w:val="000000" w:themeColor="text1"/>
                      <w:szCs w:val="21"/>
                      <w14:textFill>
                        <w14:solidFill>
                          <w14:schemeClr w14:val="tx1"/>
                        </w14:solidFill>
                      </w14:textFill>
                    </w:rPr>
                  </w:pPr>
                </w:p>
              </w:tc>
              <w:tc>
                <w:tcPr>
                  <w:tcW w:w="540" w:type="dxa"/>
                  <w:vMerge w:val="continue"/>
                  <w:vAlign w:val="center"/>
                </w:tcPr>
                <w:p w14:paraId="6F55D493">
                  <w:pPr>
                    <w:jc w:val="center"/>
                    <w:rPr>
                      <w:color w:val="000000" w:themeColor="text1"/>
                      <w:szCs w:val="21"/>
                      <w14:textFill>
                        <w14:solidFill>
                          <w14:schemeClr w14:val="tx1"/>
                        </w14:solidFill>
                      </w14:textFill>
                    </w:rPr>
                  </w:pPr>
                </w:p>
              </w:tc>
              <w:tc>
                <w:tcPr>
                  <w:tcW w:w="685" w:type="dxa"/>
                  <w:vMerge w:val="continue"/>
                  <w:vAlign w:val="center"/>
                </w:tcPr>
                <w:p w14:paraId="5AAB6704">
                  <w:pPr>
                    <w:jc w:val="center"/>
                    <w:rPr>
                      <w:color w:val="000000" w:themeColor="text1"/>
                      <w:szCs w:val="21"/>
                      <w14:textFill>
                        <w14:solidFill>
                          <w14:schemeClr w14:val="tx1"/>
                        </w14:solidFill>
                      </w14:textFill>
                    </w:rPr>
                  </w:pPr>
                </w:p>
              </w:tc>
              <w:tc>
                <w:tcPr>
                  <w:tcW w:w="668" w:type="dxa"/>
                  <w:vMerge w:val="continue"/>
                  <w:vAlign w:val="center"/>
                </w:tcPr>
                <w:p w14:paraId="754C18AA">
                  <w:pPr>
                    <w:jc w:val="center"/>
                    <w:rPr>
                      <w:color w:val="000000" w:themeColor="text1"/>
                      <w:szCs w:val="21"/>
                      <w14:textFill>
                        <w14:solidFill>
                          <w14:schemeClr w14:val="tx1"/>
                        </w14:solidFill>
                      </w14:textFill>
                    </w:rPr>
                  </w:pPr>
                </w:p>
              </w:tc>
              <w:tc>
                <w:tcPr>
                  <w:tcW w:w="518" w:type="dxa"/>
                  <w:vMerge w:val="continue"/>
                  <w:vAlign w:val="center"/>
                </w:tcPr>
                <w:p w14:paraId="386677D8">
                  <w:pPr>
                    <w:jc w:val="center"/>
                    <w:rPr>
                      <w:color w:val="000000" w:themeColor="text1"/>
                      <w:szCs w:val="21"/>
                      <w14:textFill>
                        <w14:solidFill>
                          <w14:schemeClr w14:val="tx1"/>
                        </w14:solidFill>
                      </w14:textFill>
                    </w:rPr>
                  </w:pPr>
                </w:p>
              </w:tc>
              <w:tc>
                <w:tcPr>
                  <w:tcW w:w="1583" w:type="dxa"/>
                  <w:vAlign w:val="center"/>
                </w:tcPr>
                <w:p w14:paraId="777EEA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悬浮物</w:t>
                  </w:r>
                </w:p>
              </w:tc>
              <w:tc>
                <w:tcPr>
                  <w:tcW w:w="1400" w:type="dxa"/>
                  <w:vAlign w:val="center"/>
                </w:tcPr>
                <w:p w14:paraId="39B7DF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r>
                    <w:rPr>
                      <w:color w:val="000000" w:themeColor="text1"/>
                      <w:szCs w:val="21"/>
                      <w14:textFill>
                        <w14:solidFill>
                          <w14:schemeClr w14:val="tx1"/>
                        </w14:solidFill>
                      </w14:textFill>
                    </w:rPr>
                    <w:t>mg/L</w:t>
                  </w:r>
                </w:p>
              </w:tc>
            </w:tr>
            <w:tr w14:paraId="2148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1DB34401">
                  <w:pPr>
                    <w:jc w:val="center"/>
                    <w:rPr>
                      <w:color w:val="000000" w:themeColor="text1"/>
                      <w:szCs w:val="21"/>
                      <w14:textFill>
                        <w14:solidFill>
                          <w14:schemeClr w14:val="tx1"/>
                        </w14:solidFill>
                      </w14:textFill>
                    </w:rPr>
                  </w:pPr>
                </w:p>
              </w:tc>
              <w:tc>
                <w:tcPr>
                  <w:tcW w:w="698" w:type="dxa"/>
                  <w:vMerge w:val="continue"/>
                  <w:vAlign w:val="center"/>
                </w:tcPr>
                <w:p w14:paraId="2FB05023">
                  <w:pPr>
                    <w:jc w:val="center"/>
                    <w:rPr>
                      <w:color w:val="000000" w:themeColor="text1"/>
                      <w:szCs w:val="21"/>
                      <w14:textFill>
                        <w14:solidFill>
                          <w14:schemeClr w14:val="tx1"/>
                        </w14:solidFill>
                      </w14:textFill>
                    </w:rPr>
                  </w:pPr>
                </w:p>
              </w:tc>
              <w:tc>
                <w:tcPr>
                  <w:tcW w:w="457" w:type="dxa"/>
                  <w:vMerge w:val="continue"/>
                  <w:vAlign w:val="center"/>
                </w:tcPr>
                <w:p w14:paraId="222866B3">
                  <w:pPr>
                    <w:jc w:val="center"/>
                    <w:rPr>
                      <w:color w:val="000000" w:themeColor="text1"/>
                      <w:szCs w:val="21"/>
                      <w14:textFill>
                        <w14:solidFill>
                          <w14:schemeClr w14:val="tx1"/>
                        </w14:solidFill>
                      </w14:textFill>
                    </w:rPr>
                  </w:pPr>
                </w:p>
              </w:tc>
              <w:tc>
                <w:tcPr>
                  <w:tcW w:w="800" w:type="dxa"/>
                  <w:vMerge w:val="continue"/>
                  <w:vAlign w:val="center"/>
                </w:tcPr>
                <w:p w14:paraId="6EED1239">
                  <w:pPr>
                    <w:jc w:val="center"/>
                    <w:rPr>
                      <w:color w:val="000000" w:themeColor="text1"/>
                      <w:szCs w:val="21"/>
                      <w14:textFill>
                        <w14:solidFill>
                          <w14:schemeClr w14:val="tx1"/>
                        </w14:solidFill>
                      </w14:textFill>
                    </w:rPr>
                  </w:pPr>
                </w:p>
              </w:tc>
              <w:tc>
                <w:tcPr>
                  <w:tcW w:w="846" w:type="dxa"/>
                  <w:vMerge w:val="continue"/>
                  <w:vAlign w:val="center"/>
                </w:tcPr>
                <w:p w14:paraId="565E6131">
                  <w:pPr>
                    <w:jc w:val="center"/>
                    <w:rPr>
                      <w:color w:val="000000" w:themeColor="text1"/>
                      <w:szCs w:val="21"/>
                      <w14:textFill>
                        <w14:solidFill>
                          <w14:schemeClr w14:val="tx1"/>
                        </w14:solidFill>
                      </w14:textFill>
                    </w:rPr>
                  </w:pPr>
                </w:p>
              </w:tc>
              <w:tc>
                <w:tcPr>
                  <w:tcW w:w="540" w:type="dxa"/>
                  <w:vMerge w:val="continue"/>
                  <w:vAlign w:val="center"/>
                </w:tcPr>
                <w:p w14:paraId="37DE92A4">
                  <w:pPr>
                    <w:jc w:val="center"/>
                    <w:rPr>
                      <w:color w:val="000000" w:themeColor="text1"/>
                      <w:szCs w:val="21"/>
                      <w14:textFill>
                        <w14:solidFill>
                          <w14:schemeClr w14:val="tx1"/>
                        </w14:solidFill>
                      </w14:textFill>
                    </w:rPr>
                  </w:pPr>
                </w:p>
              </w:tc>
              <w:tc>
                <w:tcPr>
                  <w:tcW w:w="685" w:type="dxa"/>
                  <w:vMerge w:val="continue"/>
                  <w:vAlign w:val="center"/>
                </w:tcPr>
                <w:p w14:paraId="32ABD6BE">
                  <w:pPr>
                    <w:jc w:val="center"/>
                    <w:rPr>
                      <w:color w:val="000000" w:themeColor="text1"/>
                      <w:szCs w:val="21"/>
                      <w14:textFill>
                        <w14:solidFill>
                          <w14:schemeClr w14:val="tx1"/>
                        </w14:solidFill>
                      </w14:textFill>
                    </w:rPr>
                  </w:pPr>
                </w:p>
              </w:tc>
              <w:tc>
                <w:tcPr>
                  <w:tcW w:w="668" w:type="dxa"/>
                  <w:vMerge w:val="continue"/>
                  <w:vAlign w:val="center"/>
                </w:tcPr>
                <w:p w14:paraId="45ED14A2">
                  <w:pPr>
                    <w:jc w:val="center"/>
                    <w:rPr>
                      <w:color w:val="000000" w:themeColor="text1"/>
                      <w:szCs w:val="21"/>
                      <w14:textFill>
                        <w14:solidFill>
                          <w14:schemeClr w14:val="tx1"/>
                        </w14:solidFill>
                      </w14:textFill>
                    </w:rPr>
                  </w:pPr>
                </w:p>
              </w:tc>
              <w:tc>
                <w:tcPr>
                  <w:tcW w:w="518" w:type="dxa"/>
                  <w:vMerge w:val="continue"/>
                  <w:vAlign w:val="center"/>
                </w:tcPr>
                <w:p w14:paraId="22227DC7">
                  <w:pPr>
                    <w:jc w:val="center"/>
                    <w:rPr>
                      <w:color w:val="000000" w:themeColor="text1"/>
                      <w:szCs w:val="21"/>
                      <w14:textFill>
                        <w14:solidFill>
                          <w14:schemeClr w14:val="tx1"/>
                        </w14:solidFill>
                      </w14:textFill>
                    </w:rPr>
                  </w:pPr>
                </w:p>
              </w:tc>
              <w:tc>
                <w:tcPr>
                  <w:tcW w:w="1583" w:type="dxa"/>
                  <w:vAlign w:val="center"/>
                </w:tcPr>
                <w:p w14:paraId="23ED124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pH值</w:t>
                  </w:r>
                </w:p>
              </w:tc>
              <w:tc>
                <w:tcPr>
                  <w:tcW w:w="1400" w:type="dxa"/>
                  <w:vAlign w:val="center"/>
                </w:tcPr>
                <w:p w14:paraId="3170D26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.5</w:t>
                  </w:r>
                </w:p>
              </w:tc>
            </w:tr>
            <w:tr w14:paraId="5DFC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7FA9EB89">
                  <w:pPr>
                    <w:jc w:val="center"/>
                    <w:rPr>
                      <w:color w:val="000000" w:themeColor="text1"/>
                      <w:szCs w:val="21"/>
                      <w14:textFill>
                        <w14:solidFill>
                          <w14:schemeClr w14:val="tx1"/>
                        </w14:solidFill>
                      </w14:textFill>
                    </w:rPr>
                  </w:pPr>
                </w:p>
              </w:tc>
              <w:tc>
                <w:tcPr>
                  <w:tcW w:w="698" w:type="dxa"/>
                  <w:vMerge w:val="continue"/>
                  <w:vAlign w:val="center"/>
                </w:tcPr>
                <w:p w14:paraId="4CFD5EF2">
                  <w:pPr>
                    <w:jc w:val="center"/>
                    <w:rPr>
                      <w:color w:val="000000" w:themeColor="text1"/>
                      <w:szCs w:val="21"/>
                      <w14:textFill>
                        <w14:solidFill>
                          <w14:schemeClr w14:val="tx1"/>
                        </w14:solidFill>
                      </w14:textFill>
                    </w:rPr>
                  </w:pPr>
                </w:p>
              </w:tc>
              <w:tc>
                <w:tcPr>
                  <w:tcW w:w="457" w:type="dxa"/>
                  <w:vMerge w:val="continue"/>
                  <w:vAlign w:val="center"/>
                </w:tcPr>
                <w:p w14:paraId="7320A092">
                  <w:pPr>
                    <w:jc w:val="center"/>
                    <w:rPr>
                      <w:color w:val="000000" w:themeColor="text1"/>
                      <w:szCs w:val="21"/>
                      <w14:textFill>
                        <w14:solidFill>
                          <w14:schemeClr w14:val="tx1"/>
                        </w14:solidFill>
                      </w14:textFill>
                    </w:rPr>
                  </w:pPr>
                </w:p>
              </w:tc>
              <w:tc>
                <w:tcPr>
                  <w:tcW w:w="800" w:type="dxa"/>
                  <w:vMerge w:val="continue"/>
                  <w:vAlign w:val="center"/>
                </w:tcPr>
                <w:p w14:paraId="3B75D69C">
                  <w:pPr>
                    <w:jc w:val="center"/>
                    <w:rPr>
                      <w:color w:val="000000" w:themeColor="text1"/>
                      <w:szCs w:val="21"/>
                      <w14:textFill>
                        <w14:solidFill>
                          <w14:schemeClr w14:val="tx1"/>
                        </w14:solidFill>
                      </w14:textFill>
                    </w:rPr>
                  </w:pPr>
                </w:p>
              </w:tc>
              <w:tc>
                <w:tcPr>
                  <w:tcW w:w="846" w:type="dxa"/>
                  <w:vMerge w:val="continue"/>
                  <w:vAlign w:val="center"/>
                </w:tcPr>
                <w:p w14:paraId="0ABE573D">
                  <w:pPr>
                    <w:jc w:val="center"/>
                    <w:rPr>
                      <w:color w:val="000000" w:themeColor="text1"/>
                      <w:szCs w:val="21"/>
                      <w14:textFill>
                        <w14:solidFill>
                          <w14:schemeClr w14:val="tx1"/>
                        </w14:solidFill>
                      </w14:textFill>
                    </w:rPr>
                  </w:pPr>
                </w:p>
              </w:tc>
              <w:tc>
                <w:tcPr>
                  <w:tcW w:w="540" w:type="dxa"/>
                  <w:vMerge w:val="continue"/>
                  <w:vAlign w:val="center"/>
                </w:tcPr>
                <w:p w14:paraId="6FFB8DE3">
                  <w:pPr>
                    <w:jc w:val="center"/>
                    <w:rPr>
                      <w:color w:val="000000" w:themeColor="text1"/>
                      <w:szCs w:val="21"/>
                      <w14:textFill>
                        <w14:solidFill>
                          <w14:schemeClr w14:val="tx1"/>
                        </w14:solidFill>
                      </w14:textFill>
                    </w:rPr>
                  </w:pPr>
                </w:p>
              </w:tc>
              <w:tc>
                <w:tcPr>
                  <w:tcW w:w="685" w:type="dxa"/>
                  <w:vMerge w:val="continue"/>
                  <w:vAlign w:val="center"/>
                </w:tcPr>
                <w:p w14:paraId="08C56A69">
                  <w:pPr>
                    <w:jc w:val="center"/>
                    <w:rPr>
                      <w:color w:val="000000" w:themeColor="text1"/>
                      <w:szCs w:val="21"/>
                      <w14:textFill>
                        <w14:solidFill>
                          <w14:schemeClr w14:val="tx1"/>
                        </w14:solidFill>
                      </w14:textFill>
                    </w:rPr>
                  </w:pPr>
                </w:p>
              </w:tc>
              <w:tc>
                <w:tcPr>
                  <w:tcW w:w="668" w:type="dxa"/>
                  <w:vMerge w:val="continue"/>
                  <w:vAlign w:val="center"/>
                </w:tcPr>
                <w:p w14:paraId="242E33C8">
                  <w:pPr>
                    <w:jc w:val="center"/>
                    <w:rPr>
                      <w:color w:val="000000" w:themeColor="text1"/>
                      <w:szCs w:val="21"/>
                      <w14:textFill>
                        <w14:solidFill>
                          <w14:schemeClr w14:val="tx1"/>
                        </w14:solidFill>
                      </w14:textFill>
                    </w:rPr>
                  </w:pPr>
                </w:p>
              </w:tc>
              <w:tc>
                <w:tcPr>
                  <w:tcW w:w="518" w:type="dxa"/>
                  <w:vMerge w:val="continue"/>
                  <w:vAlign w:val="center"/>
                </w:tcPr>
                <w:p w14:paraId="401387DF">
                  <w:pPr>
                    <w:jc w:val="center"/>
                    <w:rPr>
                      <w:color w:val="000000" w:themeColor="text1"/>
                      <w:szCs w:val="21"/>
                      <w14:textFill>
                        <w14:solidFill>
                          <w14:schemeClr w14:val="tx1"/>
                        </w14:solidFill>
                      </w14:textFill>
                    </w:rPr>
                  </w:pPr>
                </w:p>
              </w:tc>
              <w:tc>
                <w:tcPr>
                  <w:tcW w:w="1583" w:type="dxa"/>
                  <w:vAlign w:val="center"/>
                </w:tcPr>
                <w:p w14:paraId="5A3022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五日生化需氧量</w:t>
                  </w:r>
                </w:p>
              </w:tc>
              <w:tc>
                <w:tcPr>
                  <w:tcW w:w="1400" w:type="dxa"/>
                  <w:vAlign w:val="center"/>
                </w:tcPr>
                <w:p w14:paraId="71B85C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r>
                    <w:rPr>
                      <w:color w:val="000000" w:themeColor="text1"/>
                      <w:szCs w:val="21"/>
                      <w14:textFill>
                        <w14:solidFill>
                          <w14:schemeClr w14:val="tx1"/>
                        </w14:solidFill>
                      </w14:textFill>
                    </w:rPr>
                    <w:t>mg/L</w:t>
                  </w:r>
                </w:p>
              </w:tc>
            </w:tr>
            <w:tr w14:paraId="1FB7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4" w:type="dxa"/>
                  <w:vMerge w:val="continue"/>
                  <w:vAlign w:val="center"/>
                </w:tcPr>
                <w:p w14:paraId="74C8A12A">
                  <w:pPr>
                    <w:jc w:val="center"/>
                    <w:rPr>
                      <w:color w:val="000000" w:themeColor="text1"/>
                      <w:szCs w:val="21"/>
                      <w14:textFill>
                        <w14:solidFill>
                          <w14:schemeClr w14:val="tx1"/>
                        </w14:solidFill>
                      </w14:textFill>
                    </w:rPr>
                  </w:pPr>
                </w:p>
              </w:tc>
              <w:tc>
                <w:tcPr>
                  <w:tcW w:w="698" w:type="dxa"/>
                  <w:vMerge w:val="continue"/>
                  <w:vAlign w:val="center"/>
                </w:tcPr>
                <w:p w14:paraId="3F719B11">
                  <w:pPr>
                    <w:jc w:val="center"/>
                    <w:rPr>
                      <w:color w:val="000000" w:themeColor="text1"/>
                      <w:szCs w:val="21"/>
                      <w14:textFill>
                        <w14:solidFill>
                          <w14:schemeClr w14:val="tx1"/>
                        </w14:solidFill>
                      </w14:textFill>
                    </w:rPr>
                  </w:pPr>
                </w:p>
              </w:tc>
              <w:tc>
                <w:tcPr>
                  <w:tcW w:w="457" w:type="dxa"/>
                  <w:vMerge w:val="continue"/>
                  <w:vAlign w:val="center"/>
                </w:tcPr>
                <w:p w14:paraId="16C48AA2">
                  <w:pPr>
                    <w:jc w:val="center"/>
                    <w:rPr>
                      <w:color w:val="000000" w:themeColor="text1"/>
                      <w:szCs w:val="21"/>
                      <w14:textFill>
                        <w14:solidFill>
                          <w14:schemeClr w14:val="tx1"/>
                        </w14:solidFill>
                      </w14:textFill>
                    </w:rPr>
                  </w:pPr>
                </w:p>
              </w:tc>
              <w:tc>
                <w:tcPr>
                  <w:tcW w:w="800" w:type="dxa"/>
                  <w:vMerge w:val="continue"/>
                  <w:vAlign w:val="center"/>
                </w:tcPr>
                <w:p w14:paraId="24CC65C9">
                  <w:pPr>
                    <w:jc w:val="center"/>
                    <w:rPr>
                      <w:color w:val="000000" w:themeColor="text1"/>
                      <w:szCs w:val="21"/>
                      <w14:textFill>
                        <w14:solidFill>
                          <w14:schemeClr w14:val="tx1"/>
                        </w14:solidFill>
                      </w14:textFill>
                    </w:rPr>
                  </w:pPr>
                </w:p>
              </w:tc>
              <w:tc>
                <w:tcPr>
                  <w:tcW w:w="846" w:type="dxa"/>
                  <w:vMerge w:val="continue"/>
                  <w:vAlign w:val="center"/>
                </w:tcPr>
                <w:p w14:paraId="2220A654">
                  <w:pPr>
                    <w:jc w:val="center"/>
                    <w:rPr>
                      <w:color w:val="000000" w:themeColor="text1"/>
                      <w:szCs w:val="21"/>
                      <w14:textFill>
                        <w14:solidFill>
                          <w14:schemeClr w14:val="tx1"/>
                        </w14:solidFill>
                      </w14:textFill>
                    </w:rPr>
                  </w:pPr>
                </w:p>
              </w:tc>
              <w:tc>
                <w:tcPr>
                  <w:tcW w:w="540" w:type="dxa"/>
                  <w:vMerge w:val="continue"/>
                  <w:vAlign w:val="center"/>
                </w:tcPr>
                <w:p w14:paraId="43F1D5BB">
                  <w:pPr>
                    <w:jc w:val="center"/>
                    <w:rPr>
                      <w:color w:val="000000" w:themeColor="text1"/>
                      <w:szCs w:val="21"/>
                      <w14:textFill>
                        <w14:solidFill>
                          <w14:schemeClr w14:val="tx1"/>
                        </w14:solidFill>
                      </w14:textFill>
                    </w:rPr>
                  </w:pPr>
                </w:p>
              </w:tc>
              <w:tc>
                <w:tcPr>
                  <w:tcW w:w="685" w:type="dxa"/>
                  <w:vMerge w:val="continue"/>
                  <w:vAlign w:val="center"/>
                </w:tcPr>
                <w:p w14:paraId="7BED2B95">
                  <w:pPr>
                    <w:jc w:val="center"/>
                    <w:rPr>
                      <w:color w:val="000000" w:themeColor="text1"/>
                      <w:szCs w:val="21"/>
                      <w14:textFill>
                        <w14:solidFill>
                          <w14:schemeClr w14:val="tx1"/>
                        </w14:solidFill>
                      </w14:textFill>
                    </w:rPr>
                  </w:pPr>
                </w:p>
              </w:tc>
              <w:tc>
                <w:tcPr>
                  <w:tcW w:w="668" w:type="dxa"/>
                  <w:vMerge w:val="continue"/>
                  <w:vAlign w:val="center"/>
                </w:tcPr>
                <w:p w14:paraId="747CD08C">
                  <w:pPr>
                    <w:jc w:val="center"/>
                    <w:rPr>
                      <w:color w:val="000000" w:themeColor="text1"/>
                      <w:szCs w:val="21"/>
                      <w14:textFill>
                        <w14:solidFill>
                          <w14:schemeClr w14:val="tx1"/>
                        </w14:solidFill>
                      </w14:textFill>
                    </w:rPr>
                  </w:pPr>
                </w:p>
              </w:tc>
              <w:tc>
                <w:tcPr>
                  <w:tcW w:w="518" w:type="dxa"/>
                  <w:vMerge w:val="continue"/>
                  <w:vAlign w:val="center"/>
                </w:tcPr>
                <w:p w14:paraId="777C9D82">
                  <w:pPr>
                    <w:jc w:val="center"/>
                    <w:rPr>
                      <w:color w:val="000000" w:themeColor="text1"/>
                      <w:szCs w:val="21"/>
                      <w14:textFill>
                        <w14:solidFill>
                          <w14:schemeClr w14:val="tx1"/>
                        </w14:solidFill>
                      </w14:textFill>
                    </w:rPr>
                  </w:pPr>
                </w:p>
              </w:tc>
              <w:tc>
                <w:tcPr>
                  <w:tcW w:w="1583" w:type="dxa"/>
                  <w:vAlign w:val="center"/>
                </w:tcPr>
                <w:p w14:paraId="304552B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总磷</w:t>
                  </w:r>
                </w:p>
              </w:tc>
              <w:tc>
                <w:tcPr>
                  <w:tcW w:w="1400" w:type="dxa"/>
                  <w:vAlign w:val="center"/>
                </w:tcPr>
                <w:p w14:paraId="35DC1E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mg/L</w:t>
                  </w:r>
                </w:p>
              </w:tc>
            </w:tr>
          </w:tbl>
          <w:p w14:paraId="6C1F04AE">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4、废水污染治理技术可行性分析</w:t>
            </w:r>
          </w:p>
          <w:p w14:paraId="67C4850F">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（1）依托食堂</w:t>
            </w:r>
            <w:r>
              <w:rPr>
                <w:b/>
                <w:bCs/>
                <w:color w:val="000000" w:themeColor="text1"/>
                <w:sz w:val="24"/>
                <w14:textFill>
                  <w14:solidFill>
                    <w14:schemeClr w14:val="tx1"/>
                  </w14:solidFill>
                </w14:textFill>
              </w:rPr>
              <w:t>废水隔油</w:t>
            </w:r>
            <w:r>
              <w:rPr>
                <w:rFonts w:hint="eastAsia"/>
                <w:b/>
                <w:bCs/>
                <w:color w:val="000000" w:themeColor="text1"/>
                <w:sz w:val="24"/>
                <w14:textFill>
                  <w14:solidFill>
                    <w14:schemeClr w14:val="tx1"/>
                  </w14:solidFill>
                </w14:textFill>
              </w:rPr>
              <w:t>器</w:t>
            </w:r>
            <w:r>
              <w:rPr>
                <w:b/>
                <w:bCs/>
                <w:color w:val="000000" w:themeColor="text1"/>
                <w:sz w:val="24"/>
                <w14:textFill>
                  <w14:solidFill>
                    <w14:schemeClr w14:val="tx1"/>
                  </w14:solidFill>
                </w14:textFill>
              </w:rPr>
              <w:t>的可行性分析</w:t>
            </w:r>
          </w:p>
          <w:p w14:paraId="42661A60">
            <w:pPr>
              <w:widowControl/>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经前文计算，</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改扩建后满负荷运行餐厨废水为0.432m</w:t>
            </w:r>
            <w:r>
              <w:rPr>
                <w:rFonts w:hint="eastAsia"/>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/d，目前公司</w:t>
            </w:r>
            <w:r>
              <w:rPr>
                <w:color w:val="000000" w:themeColor="text1"/>
                <w:sz w:val="24"/>
                <w14:textFill>
                  <w14:solidFill>
                    <w14:schemeClr w14:val="tx1"/>
                  </w14:solidFill>
                </w14:textFill>
              </w:rPr>
              <w:t>设置了1</w:t>
            </w:r>
            <w:r>
              <w:rPr>
                <w:rFonts w:hint="eastAsia"/>
                <w:color w:val="000000" w:themeColor="text1"/>
                <w:sz w:val="24"/>
                <w14:textFill>
                  <w14:solidFill>
                    <w14:schemeClr w14:val="tx1"/>
                  </w14:solidFill>
                </w14:textFill>
              </w:rPr>
              <w:t>套容积为1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食堂废水隔油池。完全能够接纳处理项目</w:t>
            </w:r>
            <w:r>
              <w:rPr>
                <w:rFonts w:hint="eastAsia"/>
                <w:color w:val="000000" w:themeColor="text1"/>
                <w:sz w:val="24"/>
                <w14:textFill>
                  <w14:solidFill>
                    <w14:schemeClr w14:val="tx1"/>
                  </w14:solidFill>
                </w14:textFill>
              </w:rPr>
              <w:t>食堂</w:t>
            </w:r>
            <w:r>
              <w:rPr>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能够满足环评要求</w:t>
            </w:r>
            <w:r>
              <w:rPr>
                <w:rFonts w:hint="eastAsia"/>
                <w:bCs/>
                <w:color w:val="000000" w:themeColor="text1"/>
                <w:sz w:val="24"/>
                <w14:textFill>
                  <w14:solidFill>
                    <w14:schemeClr w14:val="tx1"/>
                  </w14:solidFill>
                </w14:textFill>
              </w:rPr>
              <w:t>，</w:t>
            </w:r>
            <w:r>
              <w:rPr>
                <w:color w:val="000000" w:themeColor="text1"/>
                <w:sz w:val="24"/>
                <w14:textFill>
                  <w14:solidFill>
                    <w14:schemeClr w14:val="tx1"/>
                  </w14:solidFill>
                </w14:textFill>
              </w:rPr>
              <w:t>经济</w:t>
            </w:r>
            <w:r>
              <w:rPr>
                <w:rFonts w:hint="eastAsia"/>
                <w:color w:val="000000" w:themeColor="text1"/>
                <w:sz w:val="24"/>
                <w14:textFill>
                  <w14:solidFill>
                    <w14:schemeClr w14:val="tx1"/>
                  </w14:solidFill>
                </w14:textFill>
              </w:rPr>
              <w:t>并</w:t>
            </w:r>
            <w:r>
              <w:rPr>
                <w:color w:val="000000" w:themeColor="text1"/>
                <w:sz w:val="24"/>
                <w14:textFill>
                  <w14:solidFill>
                    <w14:schemeClr w14:val="tx1"/>
                  </w14:solidFill>
                </w14:textFill>
              </w:rPr>
              <w:t>具有可行性，</w:t>
            </w:r>
            <w:r>
              <w:rPr>
                <w:rFonts w:hint="eastAsia"/>
                <w:color w:val="000000" w:themeColor="text1"/>
                <w:sz w:val="24"/>
                <w14:textFill>
                  <w14:solidFill>
                    <w14:schemeClr w14:val="tx1"/>
                  </w14:solidFill>
                </w14:textFill>
              </w:rPr>
              <w:t>依托</w:t>
            </w:r>
            <w:r>
              <w:rPr>
                <w:color w:val="000000" w:themeColor="text1"/>
                <w:sz w:val="24"/>
                <w14:textFill>
                  <w14:solidFill>
                    <w14:schemeClr w14:val="tx1"/>
                  </w14:solidFill>
                </w14:textFill>
              </w:rPr>
              <w:t>可行</w:t>
            </w:r>
            <w:r>
              <w:rPr>
                <w:bCs/>
                <w:color w:val="000000" w:themeColor="text1"/>
                <w:sz w:val="24"/>
                <w14:textFill>
                  <w14:solidFill>
                    <w14:schemeClr w14:val="tx1"/>
                  </w14:solidFill>
                </w14:textFill>
              </w:rPr>
              <w:t>。</w:t>
            </w:r>
          </w:p>
          <w:p w14:paraId="58A4DF72">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）污水</w:t>
            </w:r>
            <w:r>
              <w:rPr>
                <w:rFonts w:hint="eastAsia"/>
                <w:b/>
                <w:bCs/>
                <w:color w:val="000000" w:themeColor="text1"/>
                <w:sz w:val="24"/>
                <w14:textFill>
                  <w14:solidFill>
                    <w14:schemeClr w14:val="tx1"/>
                  </w14:solidFill>
                </w14:textFill>
              </w:rPr>
              <w:t>依托</w:t>
            </w:r>
            <w:r>
              <w:rPr>
                <w:b/>
                <w:bCs/>
                <w:color w:val="000000" w:themeColor="text1"/>
                <w:sz w:val="24"/>
                <w14:textFill>
                  <w14:solidFill>
                    <w14:schemeClr w14:val="tx1"/>
                  </w14:solidFill>
                </w14:textFill>
              </w:rPr>
              <w:t>现有化粪池的可行性分析</w:t>
            </w:r>
          </w:p>
          <w:p w14:paraId="1358F70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改扩建后，全厂满负荷运行时排入化粪池废水量为2.876</w:t>
            </w:r>
            <w:r>
              <w:rPr>
                <w:color w:val="000000" w:themeColor="text1"/>
                <w:kern w:val="0"/>
                <w:sz w:val="24"/>
                <w14:textFill>
                  <w14:solidFill>
                    <w14:schemeClr w14:val="tx1"/>
                  </w14:solidFill>
                </w14:textFill>
              </w:rPr>
              <w:t>m</w:t>
            </w:r>
            <w:r>
              <w:rPr>
                <w:rFonts w:hint="eastAsia"/>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。根据竣工验收报告，目前设置2个化粪池，1号容积3m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，2号容积16m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。运行规模共计约19m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剩余规模可接纳项目生活污水。经核算，现有化粪池总容积与日排废水量的比值约为6.6，污水停留时间满足《建筑给水排水设计标准》（GB50015-2019）中关于化粪池停留时间12-24小时的要求，且剩余容积可有效应对项目生活污水量的波动。项目生活污水依托现有化粪池可行。</w:t>
            </w:r>
          </w:p>
          <w:p w14:paraId="1014F5E8">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（3）发酵废水收集系统可行性分析</w:t>
            </w:r>
          </w:p>
          <w:p w14:paraId="53A19360">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改扩建后，全厂满负荷运行时发酵废水日排放量为5.04m³/d。环评提出新建发酵废水专用收集系统，包含1个密闭式废水收集池（总容积10m³）及配套耐腐蚀输送管道（管径DN100，材质为UPVC），通过提升泵当日生产结束后泵往污水处理系统处理。经核算，收集池系统总容积与日排发酵废水量的比值约为1.98，可满足废水临时储存及后续输送需求；管道设计坡度为0.5%，符合《室外排水设计标准》（GB50014-2021）中重力流管道坡度要求，且连接处采用密封胶圈加固，无泄漏风险。收集池内壁均做环氧树脂防渗涂层处理，防渗性能达到《危险废物贮存污染控制标准》（GB18597-2023）要求，有效防止渗漏污染土壤及地下水。此外，废液输送系统满足预留15%备用输送能力，可应对生产负荷波动导致的废水量变化。综上，发酵废水收集系统可行。</w:t>
            </w:r>
          </w:p>
          <w:p w14:paraId="0B751E26">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（4）项目废水收集池容积合理性，生产废水处理系统处理工艺可行性分析</w:t>
            </w:r>
          </w:p>
          <w:p w14:paraId="209A4508">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w:t>
            </w:r>
            <w:r>
              <w:rPr>
                <w:rFonts w:hint="eastAsia"/>
                <w:bCs/>
                <w:color w:val="000000" w:themeColor="text1"/>
                <w:sz w:val="24"/>
                <w14:textFill>
                  <w14:solidFill>
                    <w14:schemeClr w14:val="tx1"/>
                  </w14:solidFill>
                </w14:textFill>
              </w:rPr>
              <w:t>前文计算</w:t>
            </w:r>
            <w:r>
              <w:rPr>
                <w:bCs/>
                <w:color w:val="000000" w:themeColor="text1"/>
                <w:sz w:val="24"/>
                <w14:textFill>
                  <w14:solidFill>
                    <w14:schemeClr w14:val="tx1"/>
                  </w14:solidFill>
                </w14:textFill>
              </w:rPr>
              <w:t>分析，</w:t>
            </w:r>
            <w:r>
              <w:rPr>
                <w:rFonts w:hint="eastAsia"/>
                <w:bCs/>
                <w:color w:val="000000" w:themeColor="text1"/>
                <w:sz w:val="24"/>
                <w14:textFill>
                  <w14:solidFill>
                    <w14:schemeClr w14:val="tx1"/>
                  </w14:solidFill>
                </w14:textFill>
              </w:rPr>
              <w:t>改扩建后</w:t>
            </w:r>
            <w:r>
              <w:rPr>
                <w:bCs/>
                <w:color w:val="000000" w:themeColor="text1"/>
                <w:sz w:val="24"/>
                <w14:textFill>
                  <w14:solidFill>
                    <w14:schemeClr w14:val="tx1"/>
                  </w14:solidFill>
                </w14:textFill>
              </w:rPr>
              <w:t>项目建成运营期</w:t>
            </w:r>
            <w:r>
              <w:rPr>
                <w:rFonts w:hint="eastAsia"/>
                <w:bCs/>
                <w:color w:val="000000" w:themeColor="text1"/>
                <w:sz w:val="24"/>
                <w14:textFill>
                  <w14:solidFill>
                    <w14:schemeClr w14:val="tx1"/>
                  </w14:solidFill>
                </w14:textFill>
              </w:rPr>
              <w:t>进入</w:t>
            </w:r>
            <w:r>
              <w:rPr>
                <w:rFonts w:hint="eastAsia"/>
                <w:color w:val="000000" w:themeColor="text1"/>
                <w:sz w:val="24"/>
                <w14:textFill>
                  <w14:solidFill>
                    <w14:schemeClr w14:val="tx1"/>
                  </w14:solidFill>
                </w14:textFill>
              </w:rPr>
              <w:t>废水收集池的水</w:t>
            </w:r>
            <w:r>
              <w:rPr>
                <w:bCs/>
                <w:color w:val="000000" w:themeColor="text1"/>
                <w:sz w:val="24"/>
                <w14:textFill>
                  <w14:solidFill>
                    <w14:schemeClr w14:val="tx1"/>
                  </w14:solidFill>
                </w14:textFill>
              </w:rPr>
              <w:t>量</w:t>
            </w:r>
            <w:r>
              <w:rPr>
                <w:rFonts w:hint="eastAsia"/>
                <w:bCs/>
                <w:color w:val="000000" w:themeColor="text1"/>
                <w:sz w:val="24"/>
                <w14:textFill>
                  <w14:solidFill>
                    <w14:schemeClr w14:val="tx1"/>
                  </w14:solidFill>
                </w14:textFill>
              </w:rPr>
              <w:t>约704.64</w:t>
            </w:r>
            <w:r>
              <w:rPr>
                <w:bCs/>
                <w:color w:val="000000" w:themeColor="text1"/>
                <w:sz w:val="24"/>
                <w14:textFill>
                  <w14:solidFill>
                    <w14:schemeClr w14:val="tx1"/>
                  </w14:solidFill>
                </w14:textFill>
              </w:rPr>
              <w:t>m³/d，</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废水收集池容积为800</w:t>
            </w:r>
            <w:r>
              <w:rPr>
                <w:color w:val="000000" w:themeColor="text1"/>
                <w:sz w:val="24"/>
                <w14:textFill>
                  <w14:solidFill>
                    <w14:schemeClr w14:val="tx1"/>
                  </w14:solidFill>
                </w14:textFill>
              </w:rPr>
              <w:t>m³，完全能够接纳</w:t>
            </w:r>
            <w:r>
              <w:rPr>
                <w:rFonts w:hint="eastAsia"/>
                <w:color w:val="000000" w:themeColor="text1"/>
                <w:sz w:val="24"/>
                <w14:textFill>
                  <w14:solidFill>
                    <w14:schemeClr w14:val="tx1"/>
                  </w14:solidFill>
                </w14:textFill>
              </w:rPr>
              <w:t>这部分废</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，废水收集池容积依托合理可行</w:t>
            </w:r>
            <w:r>
              <w:rPr>
                <w:color w:val="000000" w:themeColor="text1"/>
                <w:sz w:val="24"/>
                <w14:textFill>
                  <w14:solidFill>
                    <w14:schemeClr w14:val="tx1"/>
                  </w14:solidFill>
                </w14:textFill>
              </w:rPr>
              <w:t>。</w:t>
            </w:r>
          </w:p>
          <w:p w14:paraId="56C45E7D">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w:t>
            </w:r>
            <w:r>
              <w:rPr>
                <w:rFonts w:hint="eastAsia"/>
                <w:bCs/>
                <w:color w:val="000000" w:themeColor="text1"/>
                <w:sz w:val="24"/>
                <w14:textFill>
                  <w14:solidFill>
                    <w14:schemeClr w14:val="tx1"/>
                  </w14:solidFill>
                </w14:textFill>
              </w:rPr>
              <w:t>前文计算</w:t>
            </w:r>
            <w:r>
              <w:rPr>
                <w:bCs/>
                <w:color w:val="000000" w:themeColor="text1"/>
                <w:sz w:val="24"/>
                <w14:textFill>
                  <w14:solidFill>
                    <w14:schemeClr w14:val="tx1"/>
                  </w14:solidFill>
                </w14:textFill>
              </w:rPr>
              <w:t>分析，项目建成运营期</w:t>
            </w:r>
            <w:r>
              <w:rPr>
                <w:rFonts w:hint="eastAsia"/>
                <w:bCs/>
                <w:color w:val="000000" w:themeColor="text1"/>
                <w:sz w:val="24"/>
                <w14:textFill>
                  <w14:solidFill>
                    <w14:schemeClr w14:val="tx1"/>
                  </w14:solidFill>
                </w14:textFill>
              </w:rPr>
              <w:t>进入</w:t>
            </w:r>
            <w:r>
              <w:rPr>
                <w:rFonts w:hint="eastAsia"/>
                <w:color w:val="000000" w:themeColor="text1"/>
                <w:sz w:val="24"/>
                <w14:textFill>
                  <w14:solidFill>
                    <w14:schemeClr w14:val="tx1"/>
                  </w14:solidFill>
                </w14:textFill>
              </w:rPr>
              <w:t>生产废水处理系统的水</w:t>
            </w:r>
            <w:r>
              <w:rPr>
                <w:bCs/>
                <w:color w:val="000000" w:themeColor="text1"/>
                <w:sz w:val="24"/>
                <w14:textFill>
                  <w14:solidFill>
                    <w14:schemeClr w14:val="tx1"/>
                  </w14:solidFill>
                </w14:textFill>
              </w:rPr>
              <w:t>量</w:t>
            </w:r>
            <w:r>
              <w:rPr>
                <w:rFonts w:hint="eastAsia"/>
                <w:bCs/>
                <w:color w:val="000000" w:themeColor="text1"/>
                <w:sz w:val="24"/>
                <w14:textFill>
                  <w14:solidFill>
                    <w14:schemeClr w14:val="tx1"/>
                  </w14:solidFill>
                </w14:textFill>
              </w:rPr>
              <w:t>704.64</w:t>
            </w:r>
            <w:r>
              <w:rPr>
                <w:bCs/>
                <w:color w:val="000000" w:themeColor="text1"/>
                <w:sz w:val="24"/>
                <w14:textFill>
                  <w14:solidFill>
                    <w14:schemeClr w14:val="tx1"/>
                  </w14:solidFill>
                </w14:textFill>
              </w:rPr>
              <w:t>m³/d，</w:t>
            </w:r>
            <w:r>
              <w:rPr>
                <w:color w:val="000000" w:themeColor="text1"/>
                <w:sz w:val="24"/>
                <w14:textFill>
                  <w14:solidFill>
                    <w14:schemeClr w14:val="tx1"/>
                  </w14:solidFill>
                </w14:textFill>
              </w:rPr>
              <w:t>项目采用的</w:t>
            </w:r>
            <w:r>
              <w:rPr>
                <w:rFonts w:hint="eastAsia"/>
                <w:color w:val="000000" w:themeColor="text1"/>
                <w:sz w:val="24"/>
                <w14:textFill>
                  <w14:solidFill>
                    <w14:schemeClr w14:val="tx1"/>
                  </w14:solidFill>
                </w14:textFill>
              </w:rPr>
              <w:t>废水处理系统</w:t>
            </w:r>
            <w:r>
              <w:rPr>
                <w:color w:val="000000" w:themeColor="text1"/>
                <w:sz w:val="24"/>
                <w14:textFill>
                  <w14:solidFill>
                    <w14:schemeClr w14:val="tx1"/>
                  </w14:solidFill>
                </w14:textFill>
              </w:rPr>
              <w:t>处理</w:t>
            </w:r>
            <w:r>
              <w:rPr>
                <w:rFonts w:hint="eastAsia"/>
                <w:color w:val="000000" w:themeColor="text1"/>
                <w:sz w:val="24"/>
                <w14:textFill>
                  <w14:solidFill>
                    <w14:schemeClr w14:val="tx1"/>
                  </w14:solidFill>
                </w14:textFill>
              </w:rPr>
              <w:t>规模900</w:t>
            </w:r>
            <w:r>
              <w:rPr>
                <w:color w:val="000000" w:themeColor="text1"/>
                <w:sz w:val="24"/>
                <w14:textFill>
                  <w14:solidFill>
                    <w14:schemeClr w14:val="tx1"/>
                  </w14:solidFill>
                </w14:textFill>
              </w:rPr>
              <w:t>m³/d，完全能够接纳处理</w:t>
            </w:r>
            <w:r>
              <w:rPr>
                <w:rFonts w:hint="eastAsia"/>
                <w:color w:val="000000" w:themeColor="text1"/>
                <w:sz w:val="24"/>
                <w14:textFill>
                  <w14:solidFill>
                    <w14:schemeClr w14:val="tx1"/>
                  </w14:solidFill>
                </w14:textFill>
              </w:rPr>
              <w:t>这部分废</w:t>
            </w:r>
            <w:r>
              <w:rPr>
                <w:color w:val="000000" w:themeColor="text1"/>
                <w:sz w:val="24"/>
                <w14:textFill>
                  <w14:solidFill>
                    <w14:schemeClr w14:val="tx1"/>
                  </w14:solidFill>
                </w14:textFill>
              </w:rPr>
              <w:t>水</w:t>
            </w:r>
            <w:r>
              <w:rPr>
                <w:rFonts w:hint="eastAsia"/>
                <w:color w:val="000000" w:themeColor="text1"/>
                <w:sz w:val="24"/>
                <w14:textFill>
                  <w14:solidFill>
                    <w14:schemeClr w14:val="tx1"/>
                  </w14:solidFill>
                </w14:textFill>
              </w:rPr>
              <w:t>，处理规模合理可行</w:t>
            </w:r>
            <w:r>
              <w:rPr>
                <w:color w:val="000000" w:themeColor="text1"/>
                <w:sz w:val="24"/>
                <w14:textFill>
                  <w14:solidFill>
                    <w14:schemeClr w14:val="tx1"/>
                  </w14:solidFill>
                </w14:textFill>
              </w:rPr>
              <w:t>。</w:t>
            </w:r>
          </w:p>
          <w:p w14:paraId="64350DD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bCs/>
                <w:color w:val="000000" w:themeColor="text1"/>
                <w:kern w:val="0"/>
                <w:sz w:val="24"/>
                <w14:textFill>
                  <w14:solidFill>
                    <w14:schemeClr w14:val="tx1"/>
                  </w14:solidFill>
                </w14:textFill>
              </w:rPr>
              <w:t>排污许可证申请与核发技术规范 磷肥、钾肥、复混钾肥、有机肥料及微生物肥料工业 HJ864.2-2018》表16。</w:t>
            </w:r>
            <w:r>
              <w:rPr>
                <w:rFonts w:hint="eastAsia"/>
                <w:color w:val="000000" w:themeColor="text1"/>
                <w:sz w:val="24"/>
                <w14:textFill>
                  <w14:solidFill>
                    <w14:schemeClr w14:val="tx1"/>
                  </w14:solidFill>
                </w14:textFill>
              </w:rPr>
              <w:t>生产废水处理系统处理工艺可行性分析见表4-1</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w:t>
            </w:r>
          </w:p>
          <w:p w14:paraId="21C335E0">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生产废水处理系统处理工艺可行性分析一览表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3252"/>
              <w:gridCol w:w="3287"/>
              <w:gridCol w:w="976"/>
            </w:tblGrid>
            <w:tr w14:paraId="4932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8" w:type="pct"/>
                  <w:gridSpan w:val="2"/>
                  <w:vAlign w:val="center"/>
                </w:tcPr>
                <w:p w14:paraId="76EEE501">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文件中废水处理可行技术</w:t>
                  </w:r>
                </w:p>
              </w:tc>
              <w:tc>
                <w:tcPr>
                  <w:tcW w:w="1883" w:type="pct"/>
                  <w:vAlign w:val="center"/>
                </w:tcPr>
                <w:p w14:paraId="6ECFD03D">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本项目废水处理技术</w:t>
                  </w:r>
                </w:p>
              </w:tc>
              <w:tc>
                <w:tcPr>
                  <w:tcW w:w="557" w:type="pct"/>
                  <w:vAlign w:val="center"/>
                </w:tcPr>
                <w:p w14:paraId="26334314">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可行性</w:t>
                  </w:r>
                </w:p>
              </w:tc>
            </w:tr>
            <w:tr w14:paraId="1187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95" w:type="pct"/>
                  <w:vAlign w:val="center"/>
                </w:tcPr>
                <w:p w14:paraId="0948DB3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工艺废水</w:t>
                  </w:r>
                </w:p>
              </w:tc>
              <w:tc>
                <w:tcPr>
                  <w:tcW w:w="1863" w:type="pct"/>
                  <w:vAlign w:val="center"/>
                </w:tcPr>
                <w:p w14:paraId="1F11BF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预处理、预处理+生化处理、预处理+生化处理+深度处理</w:t>
                  </w:r>
                </w:p>
                <w:p w14:paraId="096804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（预处理：中和、混凝等；生化处理：SBR、A/O 等；深度处</w:t>
                  </w:r>
                </w:p>
                <w:p w14:paraId="778BE3C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理：混凝、过滤、臭氧氧化、超滤（UF）、反渗透（RO）等）</w:t>
                  </w:r>
                </w:p>
              </w:tc>
              <w:tc>
                <w:tcPr>
                  <w:tcW w:w="1883" w:type="pct"/>
                  <w:vAlign w:val="center"/>
                </w:tcPr>
                <w:p w14:paraId="55B6009A">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采用固液分离—絮凝反应-臭氧强氧化—IC厌氧—水解酸化—接触氧化—混凝沉淀处理工艺</w:t>
                  </w:r>
                </w:p>
              </w:tc>
              <w:tc>
                <w:tcPr>
                  <w:tcW w:w="557" w:type="pct"/>
                  <w:vAlign w:val="center"/>
                </w:tcPr>
                <w:p w14:paraId="4B0D970A">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可行</w:t>
                  </w:r>
                </w:p>
              </w:tc>
            </w:tr>
            <w:tr w14:paraId="2DFB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000" w:type="pct"/>
                  <w:gridSpan w:val="4"/>
                  <w:vAlign w:val="center"/>
                </w:tcPr>
                <w:p w14:paraId="2B6E0028">
                  <w:pPr>
                    <w:tabs>
                      <w:tab w:val="left" w:pos="840"/>
                    </w:tabs>
                    <w:spacing w:line="360" w:lineRule="auto"/>
                    <w:rPr>
                      <w:b/>
                      <w:color w:val="000000" w:themeColor="text1"/>
                      <w:kern w:val="0"/>
                      <w:szCs w:val="21"/>
                      <w14:textFill>
                        <w14:solidFill>
                          <w14:schemeClr w14:val="tx1"/>
                        </w14:solidFill>
                      </w14:textFill>
                    </w:rPr>
                  </w:pPr>
                  <w:r>
                    <w:rPr>
                      <w:rFonts w:hint="eastAsia"/>
                      <w:b/>
                      <w:color w:val="000000" w:themeColor="text1"/>
                      <w:szCs w:val="21"/>
                      <w14:textFill>
                        <w14:solidFill>
                          <w14:schemeClr w14:val="tx1"/>
                        </w14:solidFill>
                      </w14:textFill>
                    </w:rPr>
                    <w:t>现有污水处理工艺</w:t>
                  </w:r>
                </w:p>
                <w:p w14:paraId="52434A61">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w:t>
                  </w:r>
                  <w:r>
                    <w:rPr>
                      <w:b/>
                      <w:bCs/>
                      <w:color w:val="000000" w:themeColor="text1"/>
                      <w:kern w:val="0"/>
                      <w:szCs w:val="21"/>
                      <w14:textFill>
                        <w14:solidFill>
                          <w14:schemeClr w14:val="tx1"/>
                        </w14:solidFill>
                      </w14:textFill>
                    </w:rPr>
                    <w:t>固液分离</w:t>
                  </w:r>
                </w:p>
                <w:p w14:paraId="71EB01B1">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废水首先进入车间收集池，然后由泵提升进入固液分离机，固液分离机可以大量去除水中的蔬菜纤维，固液分离机出水进入调节池，然后由泵提升进入叠螺机，对水中一些细小的植物纤维、悬浮物、</w:t>
                  </w:r>
                  <w:r>
                    <w:rPr>
                      <w:rFonts w:hint="eastAsia"/>
                      <w:color w:val="000000" w:themeColor="text1"/>
                      <w:kern w:val="0"/>
                      <w:szCs w:val="21"/>
                      <w14:textFill>
                        <w14:solidFill>
                          <w14:schemeClr w14:val="tx1"/>
                        </w14:solidFill>
                      </w14:textFill>
                    </w:rPr>
                    <w:t>漂浮物</w:t>
                  </w:r>
                  <w:r>
                    <w:rPr>
                      <w:color w:val="000000" w:themeColor="text1"/>
                      <w:kern w:val="0"/>
                      <w:szCs w:val="21"/>
                      <w14:textFill>
                        <w14:solidFill>
                          <w14:schemeClr w14:val="tx1"/>
                        </w14:solidFill>
                      </w14:textFill>
                    </w:rPr>
                    <w:t>等进行脱水，滤液进入中间池1，这时中间池1内的污水已经去除了大量蔬菜纤维，水中也</w:t>
                  </w:r>
                  <w:r>
                    <w:rPr>
                      <w:rFonts w:hint="eastAsia"/>
                      <w:color w:val="000000" w:themeColor="text1"/>
                      <w:kern w:val="0"/>
                      <w:szCs w:val="21"/>
                      <w14:textFill>
                        <w14:solidFill>
                          <w14:schemeClr w14:val="tx1"/>
                        </w14:solidFill>
                      </w14:textFill>
                    </w:rPr>
                    <w:t>不再</w:t>
                  </w:r>
                  <w:r>
                    <w:rPr>
                      <w:color w:val="000000" w:themeColor="text1"/>
                      <w:kern w:val="0"/>
                      <w:szCs w:val="21"/>
                      <w14:textFill>
                        <w14:solidFill>
                          <w14:schemeClr w14:val="tx1"/>
                        </w14:solidFill>
                      </w14:textFill>
                    </w:rPr>
                    <w:t>呈现明显的绿色，可进入后续处理。</w:t>
                  </w:r>
                </w:p>
                <w:p w14:paraId="1CEB60C2">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w:t>
                  </w:r>
                  <w:r>
                    <w:rPr>
                      <w:b/>
                      <w:bCs/>
                      <w:color w:val="000000" w:themeColor="text1"/>
                      <w:kern w:val="0"/>
                      <w:szCs w:val="21"/>
                      <w14:textFill>
                        <w14:solidFill>
                          <w14:schemeClr w14:val="tx1"/>
                        </w14:solidFill>
                      </w14:textFill>
                    </w:rPr>
                    <w:t>絮凝反应、臭氧强氧化</w:t>
                  </w:r>
                </w:p>
                <w:p w14:paraId="6B146699">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中间池1出水由污水泵提升进入臭氧反应器，在臭氧反应器内充入臭氧，通过强氧化气浮一体机对污水进行强氧化反应，同时加入PAC、PAM进行絮凝反应，然后出水进入中间池2，然后进入IC厌氧塔。</w:t>
                  </w:r>
                </w:p>
                <w:p w14:paraId="5529963F">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3、</w:t>
                  </w:r>
                  <w:r>
                    <w:rPr>
                      <w:b/>
                      <w:bCs/>
                      <w:color w:val="000000" w:themeColor="text1"/>
                      <w:kern w:val="0"/>
                      <w:szCs w:val="21"/>
                      <w14:textFill>
                        <w14:solidFill>
                          <w14:schemeClr w14:val="tx1"/>
                        </w14:solidFill>
                      </w14:textFill>
                    </w:rPr>
                    <w:t>IC厌氧</w:t>
                  </w:r>
                </w:p>
                <w:p w14:paraId="6F0A7715">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间池2出水由污水提升泵提升进入IC厌氧塔，进行废水的厌氧发酵处理，在无分子氧的情况下，通过厌氧微生物的作用，将各种复杂的有机物分解成小分子有机物甲烷和二氧化碳。IC反应通过产生甲烷气体方式去除部分COD，同时将难生物降解的大分子有机物降解为小分子有机物。反应器由下而上共分为5个区：混合区、第1厌氧区、第2厌氧区、沉淀区和气液分离区。</w:t>
                  </w:r>
                </w:p>
                <w:p w14:paraId="1A007E74">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混合区：反应器底部进水、颗粒污泥和气液分离区回流的泥水混合物有效地在此区混合。</w:t>
                  </w:r>
                </w:p>
                <w:p w14:paraId="7B077AE2">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1厌氧区：混合区形成的泥水混合物进入该区，在高浓度污泥作用下，大部分有机物转化为沼气，厌氧环节产生的沼气由管道引至二级烘干热风炉作为燃料燃烧，不设沼气储罐。混合液上升流和沼气的剧烈扰动使该反应区内污泥呈膨胀和流化状态，加强了泥水表面接触，污泥由此而保持着高的活性。随着沼气产量的增多，一部分泥水混合物被沼气提升至顶部的气液分离区。</w:t>
                  </w:r>
                </w:p>
                <w:p w14:paraId="0F711CF3">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气液分离区：被提升的混合物中的沼气在此与泥水分离并导出处理系统，泥水混合物则沿着回流管返回到最下端的混合区，与反应器底部的污泥和进水充分混合，实现了混合液的内部循环。</w:t>
                  </w:r>
                </w:p>
                <w:p w14:paraId="40F9BE88">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2厌氧区：经第1厌氧区处理后的废水，除一部分被沼气提升外，其余的都通过三相分离器进入第2厌氧区。该区污泥浓度较低，且废水中大部分有机物已在第1厌氧区被降解，因此沼气产生量较少。沼气通过沼气管导入气液分离区，对第2厌氧区的扰动很小，这为污泥的停留提供了有利条件。</w:t>
                  </w:r>
                </w:p>
                <w:p w14:paraId="67590A60">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沉淀区：第2厌氧区的泥水混合物在沉淀区进行固液分离，上清液由出水管排走，沉淀的颗粒污泥返回第2厌氧区污泥床。</w:t>
                  </w:r>
                </w:p>
                <w:p w14:paraId="7BB7C2F5">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从IC反应器工作原理中可见，反应器通过2层三相分离器来实现高污泥浓度；通过大量沼气和内循环的剧烈扰动，使泥水充分接触，获得良好的传质效果。</w:t>
                  </w:r>
                </w:p>
                <w:p w14:paraId="5538C7CC">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4、</w:t>
                  </w:r>
                  <w:r>
                    <w:rPr>
                      <w:b/>
                      <w:bCs/>
                      <w:color w:val="000000" w:themeColor="text1"/>
                      <w:kern w:val="0"/>
                      <w:szCs w:val="21"/>
                      <w14:textFill>
                        <w14:solidFill>
                          <w14:schemeClr w14:val="tx1"/>
                        </w14:solidFill>
                      </w14:textFill>
                    </w:rPr>
                    <w:t>水解酸化、接触氧化</w:t>
                  </w:r>
                </w:p>
                <w:p w14:paraId="1EF0B5B7">
                  <w:pPr>
                    <w:tabs>
                      <w:tab w:val="left" w:pos="840"/>
                    </w:tabs>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IC厌氧塔出水进入水解酸化池，在水解酸化池内将大分子有机物分解成小分子有机物，有利于后续好氧工艺的处理，水解酸化池出水进入生物接触氧化池，生物法工作过程为：通过驯化培养而聚集的优势微生物群体，在生长过程中利用周围环境中的营养物质即水中的有机污染物质进行新陈代谢，达到降解污染物、净化水质的目的，出水进入沉淀池。</w:t>
                  </w:r>
                </w:p>
                <w:p w14:paraId="69D4A9AD">
                  <w:pPr>
                    <w:tabs>
                      <w:tab w:val="left" w:pos="840"/>
                    </w:tabs>
                    <w:spacing w:line="360" w:lineRule="auto"/>
                    <w:ind w:firstLine="422" w:firstLineChars="200"/>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5、</w:t>
                  </w:r>
                  <w:r>
                    <w:rPr>
                      <w:b/>
                      <w:bCs/>
                      <w:color w:val="000000" w:themeColor="text1"/>
                      <w:kern w:val="0"/>
                      <w:szCs w:val="21"/>
                      <w14:textFill>
                        <w14:solidFill>
                          <w14:schemeClr w14:val="tx1"/>
                        </w14:solidFill>
                      </w14:textFill>
                    </w:rPr>
                    <w:t>混凝沉淀、排放</w:t>
                  </w:r>
                </w:p>
                <w:p w14:paraId="6F1F06F7">
                  <w:pPr>
                    <w:tabs>
                      <w:tab w:val="left" w:pos="840"/>
                    </w:tabs>
                    <w:spacing w:line="360" w:lineRule="auto"/>
                    <w:ind w:firstLine="420" w:firstLineChars="200"/>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沉淀池出水进入反应池，在反应池内投加粉末活性炭净化水质，出水由污水泵提升进入微气泡反应沉淀一体机，加入PAC、PAM进行混凝反应，出水进入清水池，出水达标排放。</w:t>
                  </w:r>
                </w:p>
              </w:tc>
            </w:tr>
          </w:tbl>
          <w:p w14:paraId="14F3017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因此生产废水经处理后，排放浓度可以达到</w:t>
            </w:r>
            <w:r>
              <w:rPr>
                <w:color w:val="000000" w:themeColor="text1"/>
                <w:kern w:val="0"/>
                <w:sz w:val="24"/>
                <w:lang w:bidi="ar"/>
                <w14:textFill>
                  <w14:solidFill>
                    <w14:schemeClr w14:val="tx1"/>
                  </w14:solidFill>
                </w14:textFill>
              </w:rPr>
              <w:t>《污水排入城镇下水道水质标准》（GB/T31962-2015）表1中A级标准限值</w:t>
            </w:r>
            <w:r>
              <w:rPr>
                <w:rFonts w:hint="eastAsia"/>
                <w:color w:val="000000" w:themeColor="text1"/>
                <w:kern w:val="0"/>
                <w:sz w:val="24"/>
                <w:lang w:bidi="ar"/>
                <w14:textFill>
                  <w14:solidFill>
                    <w14:schemeClr w14:val="tx1"/>
                  </w14:solidFill>
                </w14:textFill>
              </w:rPr>
              <w:t>，处理工艺合理可行。</w:t>
            </w:r>
          </w:p>
          <w:p w14:paraId="280922AB">
            <w:pPr>
              <w:spacing w:line="360" w:lineRule="auto"/>
              <w:ind w:left="420" w:left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项目废水排入寻甸县污水处理厂可行性分析</w:t>
            </w:r>
          </w:p>
          <w:p w14:paraId="1A251107">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次改扩建主要通过优化生产工艺、提升水资源循环利用率等措施减少了废水排放量，其废水水质特征与原有项目基本一致，且排放去向仍为寻甸县污水处理厂，排放路径及方式均未发生改变。鉴于原有环评文件已对该排放路线的合理性、排放方式的环境可行性进行过详细论证，因此无需对该部分内容进行重复细化分析。</w:t>
            </w:r>
          </w:p>
          <w:p w14:paraId="449825AF">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5、</w:t>
            </w:r>
            <w:r>
              <w:rPr>
                <w:b/>
                <w:color w:val="000000" w:themeColor="text1"/>
                <w:kern w:val="0"/>
                <w:sz w:val="24"/>
                <w14:textFill>
                  <w14:solidFill>
                    <w14:schemeClr w14:val="tx1"/>
                  </w14:solidFill>
                </w14:textFill>
              </w:rPr>
              <w:t>地表水环境影响结论</w:t>
            </w:r>
          </w:p>
          <w:p w14:paraId="7B0F6E2B">
            <w:pPr>
              <w:spacing w:line="360" w:lineRule="auto"/>
              <w:ind w:firstLine="480" w:firstLineChars="200"/>
              <w:rPr>
                <w:iCs/>
                <w:color w:val="000000" w:themeColor="text1"/>
                <w:kern w:val="0"/>
                <w:sz w:val="24"/>
                <w14:textFill>
                  <w14:solidFill>
                    <w14:schemeClr w14:val="tx1"/>
                  </w14:solidFill>
                </w14:textFill>
              </w:rPr>
            </w:pPr>
            <w:r>
              <w:rPr>
                <w:rFonts w:hint="eastAsia"/>
                <w:iCs/>
                <w:color w:val="000000" w:themeColor="text1"/>
                <w:kern w:val="0"/>
                <w:sz w:val="24"/>
                <w14:textFill>
                  <w14:solidFill>
                    <w14:schemeClr w14:val="tx1"/>
                  </w14:solidFill>
                </w14:textFill>
              </w:rPr>
              <w:t>项目周边主要的地表水体为东侧</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14:textFill>
                  <w14:solidFill>
                    <w14:schemeClr w14:val="tx1"/>
                  </w14:solidFill>
                </w14:textFill>
              </w:rPr>
              <w:t>km处的牛栏江</w:t>
            </w:r>
            <w:r>
              <w:rPr>
                <w:rFonts w:hint="eastAsia"/>
                <w:iCs/>
                <w:color w:val="000000" w:themeColor="text1"/>
                <w:kern w:val="0"/>
                <w:sz w:val="24"/>
                <w14:textFill>
                  <w14:solidFill>
                    <w14:schemeClr w14:val="tx1"/>
                  </w14:solidFill>
                </w14:textFill>
              </w:rPr>
              <w:t>，项目生产过程废水、生活污水经化粪池预处理后进入</w:t>
            </w:r>
            <w:r>
              <w:rPr>
                <w:rFonts w:hint="eastAsia"/>
                <w:color w:val="000000" w:themeColor="text1"/>
                <w:kern w:val="0"/>
                <w:sz w:val="24"/>
                <w14:textFill>
                  <w14:solidFill>
                    <w14:schemeClr w14:val="tx1"/>
                  </w14:solidFill>
                </w14:textFill>
              </w:rPr>
              <w:t>厂内污水处理站</w:t>
            </w:r>
            <w:r>
              <w:rPr>
                <w:rFonts w:hint="eastAsia"/>
                <w:iCs/>
                <w:color w:val="000000" w:themeColor="text1"/>
                <w:kern w:val="0"/>
                <w:sz w:val="24"/>
                <w14:textFill>
                  <w14:solidFill>
                    <w14:schemeClr w14:val="tx1"/>
                  </w14:solidFill>
                </w14:textFill>
              </w:rPr>
              <w:t>进行处理，处理达标后通过DW001废水总排放口排入寻甸县污水处理厂，经污水处理厂进一步处理达到《城镇污水处理厂污染物排放标准》（GB18918-2002）一级A标准后，最终排入牛栏江支流。由于项目废水需经过厂内污水处理系统和市政污水处理厂两级深度处理，COD、氨氮、总磷等主要污染物排放量已得到大幅削减，且项目废水排放口距离牛栏江主河道约</w:t>
            </w:r>
            <w:r>
              <w:rPr>
                <w:rFonts w:hint="eastAsia"/>
                <w:iCs/>
                <w:color w:val="000000" w:themeColor="text1"/>
                <w:kern w:val="0"/>
                <w:sz w:val="24"/>
                <w:lang w:val="en-US" w:eastAsia="zh-CN"/>
                <w14:textFill>
                  <w14:solidFill>
                    <w14:schemeClr w14:val="tx1"/>
                  </w14:solidFill>
                </w14:textFill>
              </w:rPr>
              <w:t>2</w:t>
            </w:r>
            <w:r>
              <w:rPr>
                <w:rFonts w:hint="eastAsia"/>
                <w:iCs/>
                <w:color w:val="000000" w:themeColor="text1"/>
                <w:kern w:val="0"/>
                <w:sz w:val="24"/>
                <w14:textFill>
                  <w14:solidFill>
                    <w14:schemeClr w14:val="tx1"/>
                  </w14:solidFill>
                </w14:textFill>
              </w:rPr>
              <w:t>km，废水在输送至污水处理厂的过程中采用密闭管道，无泄漏风险，因此对牛栏江地表水环境质量不会造成明显负面影响。此外，项目已制定完善的废水排放监测计划，定期对排放口水质进行采样检测，确保各项污染物稳定达标排放，地表水环境影响处于可控范围内。</w:t>
            </w:r>
          </w:p>
          <w:p w14:paraId="6C38F4E8">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6、自行监测要求</w:t>
            </w:r>
          </w:p>
          <w:p w14:paraId="71BAE1C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项目废水自行监测计划参照</w:t>
            </w:r>
            <w:r>
              <w:rPr>
                <w:color w:val="000000" w:themeColor="text1"/>
                <w:kern w:val="0"/>
                <w:sz w:val="24"/>
                <w14:textFill>
                  <w14:solidFill>
                    <w14:schemeClr w14:val="tx1"/>
                  </w14:solidFill>
                </w14:textFill>
              </w:rPr>
              <w:t>《排污单位自行监测技术指南 磷肥、钾肥、复混肥料、有机肥料和微生物肥料》</w:t>
            </w:r>
            <w:r>
              <w:rPr>
                <w:rFonts w:hint="eastAsia"/>
                <w:color w:val="000000" w:themeColor="text1"/>
                <w:kern w:val="0"/>
                <w:sz w:val="24"/>
                <w14:textFill>
                  <w14:solidFill>
                    <w14:schemeClr w14:val="tx1"/>
                  </w14:solidFill>
                </w14:textFill>
              </w:rPr>
              <w:t>（HJ1088-2020）及公司现有</w:t>
            </w:r>
            <w:r>
              <w:rPr>
                <w:color w:val="000000" w:themeColor="text1"/>
                <w:kern w:val="0"/>
                <w:sz w:val="24"/>
                <w:lang w:bidi="ar"/>
                <w14:textFill>
                  <w14:solidFill>
                    <w14:schemeClr w14:val="tx1"/>
                  </w14:solidFill>
                </w14:textFill>
              </w:rPr>
              <w:t>废水监测要求</w:t>
            </w:r>
            <w:r>
              <w:rPr>
                <w:rFonts w:hint="eastAsia"/>
                <w:color w:val="000000" w:themeColor="text1"/>
                <w:kern w:val="0"/>
                <w:sz w:val="24"/>
                <w14:textFill>
                  <w14:solidFill>
                    <w14:schemeClr w14:val="tx1"/>
                  </w14:solidFill>
                </w14:textFill>
              </w:rPr>
              <w:t>制定。项目废水自行监测方案见表4-1</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w:t>
            </w:r>
          </w:p>
          <w:p w14:paraId="75687A9A">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 xml:space="preserve">  废水自行</w:t>
            </w:r>
            <w:r>
              <w:rPr>
                <w:b/>
                <w:bCs/>
                <w:color w:val="000000" w:themeColor="text1"/>
                <w:szCs w:val="21"/>
                <w14:textFill>
                  <w14:solidFill>
                    <w14:schemeClr w14:val="tx1"/>
                  </w14:solidFill>
                </w14:textFill>
              </w:rPr>
              <w:t>监测计划</w:t>
            </w:r>
            <w:r>
              <w:rPr>
                <w:rFonts w:hint="eastAsia"/>
                <w:b/>
                <w:bCs/>
                <w:color w:val="000000" w:themeColor="text1"/>
                <w:szCs w:val="21"/>
                <w14:textFill>
                  <w14:solidFill>
                    <w14:schemeClr w14:val="tx1"/>
                  </w14:solidFill>
                </w14:textFill>
              </w:rPr>
              <w:t>方案</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0"/>
              <w:gridCol w:w="1245"/>
              <w:gridCol w:w="1942"/>
              <w:gridCol w:w="1044"/>
              <w:gridCol w:w="2816"/>
              <w:gridCol w:w="1101"/>
            </w:tblGrid>
            <w:tr w14:paraId="5D42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Align w:val="center"/>
                </w:tcPr>
                <w:p w14:paraId="1BC1A3DE">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w:t>
                  </w:r>
                </w:p>
              </w:tc>
              <w:tc>
                <w:tcPr>
                  <w:tcW w:w="713" w:type="pct"/>
                  <w:vAlign w:val="center"/>
                </w:tcPr>
                <w:p w14:paraId="4FD9A35F">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1112" w:type="pct"/>
                  <w:vAlign w:val="center"/>
                </w:tcPr>
                <w:p w14:paraId="799EE50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598" w:type="pct"/>
                  <w:vAlign w:val="center"/>
                </w:tcPr>
                <w:p w14:paraId="4EFF53D8">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c>
                <w:tcPr>
                  <w:tcW w:w="1612" w:type="pct"/>
                  <w:vAlign w:val="center"/>
                </w:tcPr>
                <w:p w14:paraId="0A79FF8C">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630" w:type="pct"/>
                  <w:vAlign w:val="center"/>
                </w:tcPr>
                <w:p w14:paraId="27EE21D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监测方法</w:t>
                  </w:r>
                </w:p>
              </w:tc>
            </w:tr>
            <w:tr w14:paraId="62A6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Merge w:val="restart"/>
                  <w:vAlign w:val="center"/>
                </w:tcPr>
                <w:p w14:paraId="78BB8B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713" w:type="pct"/>
                  <w:vMerge w:val="restart"/>
                  <w:vAlign w:val="center"/>
                </w:tcPr>
                <w:p w14:paraId="65127D8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厂区废水总</w:t>
                  </w:r>
                </w:p>
                <w:p w14:paraId="72355A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p w14:paraId="7F3213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1112" w:type="pct"/>
                  <w:vAlign w:val="center"/>
                </w:tcPr>
                <w:p w14:paraId="1D6625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流量、</w:t>
                  </w:r>
                  <w:r>
                    <w:rPr>
                      <w:color w:val="000000" w:themeColor="text1"/>
                      <w:szCs w:val="21"/>
                      <w14:textFill>
                        <w14:solidFill>
                          <w14:schemeClr w14:val="tx1"/>
                        </w14:solidFill>
                      </w14:textFill>
                    </w:rPr>
                    <w:t>COD、</w:t>
                  </w:r>
                  <w:r>
                    <w:rPr>
                      <w:rFonts w:hint="eastAsia"/>
                      <w:color w:val="000000" w:themeColor="text1"/>
                      <w:szCs w:val="21"/>
                      <w14:textFill>
                        <w14:solidFill>
                          <w14:schemeClr w14:val="tx1"/>
                        </w14:solidFill>
                      </w14:textFill>
                    </w:rPr>
                    <w:t>氨</w:t>
                  </w:r>
                  <w:r>
                    <w:rPr>
                      <w:color w:val="000000" w:themeColor="text1"/>
                      <w:szCs w:val="21"/>
                      <w14:textFill>
                        <w14:solidFill>
                          <w14:schemeClr w14:val="tx1"/>
                        </w14:solidFill>
                      </w14:textFill>
                    </w:rPr>
                    <w:t>氮</w:t>
                  </w:r>
                </w:p>
              </w:tc>
              <w:tc>
                <w:tcPr>
                  <w:tcW w:w="598" w:type="pct"/>
                  <w:vAlign w:val="center"/>
                </w:tcPr>
                <w:p w14:paraId="29F57B32">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1次/季度</w:t>
                  </w:r>
                </w:p>
              </w:tc>
              <w:tc>
                <w:tcPr>
                  <w:tcW w:w="1612" w:type="pct"/>
                  <w:vAlign w:val="center"/>
                </w:tcPr>
                <w:p w14:paraId="0660E1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《污水排入城镇下水道水质标准》（GB/T31962 -2015）表1中A级标准</w:t>
                  </w:r>
                </w:p>
              </w:tc>
              <w:tc>
                <w:tcPr>
                  <w:tcW w:w="630" w:type="pct"/>
                  <w:vAlign w:val="center"/>
                </w:tcPr>
                <w:p w14:paraId="42A5CC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按国家标准 方法进行</w:t>
                  </w:r>
                </w:p>
              </w:tc>
            </w:tr>
            <w:tr w14:paraId="56FA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2" w:type="pct"/>
                  <w:vMerge w:val="continue"/>
                  <w:vAlign w:val="center"/>
                </w:tcPr>
                <w:p w14:paraId="5BEC6EF6">
                  <w:pPr>
                    <w:jc w:val="center"/>
                    <w:rPr>
                      <w:color w:val="000000" w:themeColor="text1"/>
                      <w:szCs w:val="21"/>
                      <w14:textFill>
                        <w14:solidFill>
                          <w14:schemeClr w14:val="tx1"/>
                        </w14:solidFill>
                      </w14:textFill>
                    </w:rPr>
                  </w:pPr>
                </w:p>
              </w:tc>
              <w:tc>
                <w:tcPr>
                  <w:tcW w:w="713" w:type="pct"/>
                  <w:vMerge w:val="continue"/>
                  <w:vAlign w:val="center"/>
                </w:tcPr>
                <w:p w14:paraId="09191095">
                  <w:pPr>
                    <w:jc w:val="center"/>
                    <w:rPr>
                      <w:color w:val="000000" w:themeColor="text1"/>
                      <w:szCs w:val="21"/>
                      <w14:textFill>
                        <w14:solidFill>
                          <w14:schemeClr w14:val="tx1"/>
                        </w14:solidFill>
                      </w14:textFill>
                    </w:rPr>
                  </w:pPr>
                </w:p>
              </w:tc>
              <w:tc>
                <w:tcPr>
                  <w:tcW w:w="1112" w:type="pct"/>
                  <w:vAlign w:val="center"/>
                </w:tcPr>
                <w:p w14:paraId="76FA66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、总氮、总磷</w:t>
                  </w:r>
                </w:p>
              </w:tc>
              <w:tc>
                <w:tcPr>
                  <w:tcW w:w="598" w:type="pct"/>
                  <w:vAlign w:val="center"/>
                </w:tcPr>
                <w:p w14:paraId="1D20FCD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1次/半年</w:t>
                  </w:r>
                </w:p>
              </w:tc>
              <w:tc>
                <w:tcPr>
                  <w:tcW w:w="1612" w:type="pct"/>
                  <w:vAlign w:val="center"/>
                </w:tcPr>
                <w:p w14:paraId="2DE166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《污水排入城镇下水道水质标准》（GB/T31962 -2015）表1中A级标准</w:t>
                  </w:r>
                </w:p>
              </w:tc>
              <w:tc>
                <w:tcPr>
                  <w:tcW w:w="630" w:type="pct"/>
                  <w:vAlign w:val="center"/>
                </w:tcPr>
                <w:p w14:paraId="1EC6B69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按国家标准 方法进行</w:t>
                  </w:r>
                </w:p>
              </w:tc>
            </w:tr>
          </w:tbl>
          <w:p w14:paraId="568857D8">
            <w:pPr>
              <w:spacing w:before="120" w:beforeLines="50"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四、运营期声环境影响及保护</w:t>
            </w:r>
            <w:r>
              <w:rPr>
                <w:b/>
                <w:bCs/>
                <w:color w:val="000000" w:themeColor="text1"/>
                <w:kern w:val="0"/>
                <w:sz w:val="24"/>
                <w14:textFill>
                  <w14:solidFill>
                    <w14:schemeClr w14:val="tx1"/>
                  </w14:solidFill>
                </w14:textFill>
              </w:rPr>
              <w:t>措施</w:t>
            </w:r>
          </w:p>
          <w:p w14:paraId="3CE06F6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项目扩建后与蔬菜干饲料共用部分生产车间。建成后蔬菜干饲料项目噪声源强也为本项目贡献，因此，本次环评以公司整个厂界为预测边界。</w:t>
            </w:r>
          </w:p>
          <w:p w14:paraId="28A90734">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1、噪声源强</w:t>
            </w:r>
            <w:r>
              <w:rPr>
                <w:b/>
                <w:bCs/>
                <w:color w:val="000000" w:themeColor="text1"/>
                <w:kern w:val="0"/>
                <w:sz w:val="24"/>
                <w:szCs w:val="20"/>
                <w14:textFill>
                  <w14:solidFill>
                    <w14:schemeClr w14:val="tx1"/>
                  </w14:solidFill>
                </w14:textFill>
              </w:rPr>
              <w:t>分析</w:t>
            </w:r>
          </w:p>
          <w:p w14:paraId="1AF9A25C">
            <w:pPr>
              <w:spacing w:line="360" w:lineRule="auto"/>
              <w:ind w:firstLine="480" w:firstLineChars="200"/>
              <w:rPr>
                <w:color w:val="000000" w:themeColor="text1"/>
                <w:kern w:val="0"/>
                <w:sz w:val="24"/>
                <w:szCs w:val="20"/>
                <w14:textFill>
                  <w14:solidFill>
                    <w14:schemeClr w14:val="tx1"/>
                  </w14:solidFill>
                </w14:textFill>
              </w:rPr>
            </w:pPr>
            <w:r>
              <w:rPr>
                <w:rFonts w:hint="eastAsia"/>
                <w:bCs/>
                <w:color w:val="000000" w:themeColor="text1"/>
                <w:kern w:val="0"/>
                <w:sz w:val="24"/>
                <w14:textFill>
                  <w14:solidFill>
                    <w14:schemeClr w14:val="tx1"/>
                  </w14:solidFill>
                </w14:textFill>
              </w:rPr>
              <w:t>本次评价结合项目生产工艺及设备布局，识别主要噪声源为蔬菜干饲料生产线的风机、破碎机、振动筛、传送带等设备，以及本项目新增的破碎机、风机、打包机等，各设备噪声源强范围为75~95dB(A)。项目</w:t>
            </w:r>
            <w:r>
              <w:rPr>
                <w:bCs/>
                <w:color w:val="000000" w:themeColor="text1"/>
                <w:kern w:val="0"/>
                <w:sz w:val="24"/>
                <w14:textFill>
                  <w14:solidFill>
                    <w14:schemeClr w14:val="tx1"/>
                  </w14:solidFill>
                </w14:textFill>
              </w:rPr>
              <w:t>主要噪声设备源强及治理措施见表4-</w:t>
            </w:r>
            <w:r>
              <w:rPr>
                <w:rFonts w:hint="eastAsia"/>
                <w:bCs/>
                <w:color w:val="000000" w:themeColor="text1"/>
                <w:kern w:val="0"/>
                <w:sz w:val="24"/>
                <w:lang w:val="en-US" w:eastAsia="zh-CN"/>
                <w14:textFill>
                  <w14:solidFill>
                    <w14:schemeClr w14:val="tx1"/>
                  </w14:solidFill>
                </w14:textFill>
              </w:rPr>
              <w:t>14</w:t>
            </w:r>
            <w:r>
              <w:rPr>
                <w:rFonts w:hint="eastAsia"/>
                <w:bCs/>
                <w:color w:val="000000" w:themeColor="text1"/>
                <w:kern w:val="0"/>
                <w:sz w:val="24"/>
                <w14:textFill>
                  <w14:solidFill>
                    <w14:schemeClr w14:val="tx1"/>
                  </w14:solidFill>
                </w14:textFill>
              </w:rPr>
              <w:t>。</w:t>
            </w:r>
          </w:p>
          <w:p w14:paraId="5DFD4BC9">
            <w:pPr>
              <w:ind w:firstLine="422" w:firstLineChars="200"/>
              <w:jc w:val="center"/>
              <w:rPr>
                <w:b/>
                <w:bCs/>
                <w:color w:val="000000" w:themeColor="text1"/>
                <w:szCs w:val="21"/>
                <w14:textFill>
                  <w14:solidFill>
                    <w14:schemeClr w14:val="tx1"/>
                  </w14:solidFill>
                </w14:textFill>
              </w:rPr>
            </w:pPr>
          </w:p>
          <w:p w14:paraId="5BCD5F98">
            <w:pPr>
              <w:ind w:firstLine="422" w:firstLineChars="200"/>
              <w:jc w:val="center"/>
              <w:rPr>
                <w:b/>
                <w:bCs/>
                <w:color w:val="000000" w:themeColor="text1"/>
                <w:szCs w:val="21"/>
                <w14:textFill>
                  <w14:solidFill>
                    <w14:schemeClr w14:val="tx1"/>
                  </w14:solidFill>
                </w14:textFill>
              </w:rPr>
            </w:pPr>
          </w:p>
          <w:p w14:paraId="437C7AC1">
            <w:pPr>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4</w:t>
            </w:r>
            <w:r>
              <w:rPr>
                <w:rFonts w:hint="eastAsia"/>
                <w:b/>
                <w:bCs/>
                <w:color w:val="000000" w:themeColor="text1"/>
                <w:szCs w:val="21"/>
                <w14:textFill>
                  <w14:solidFill>
                    <w14:schemeClr w14:val="tx1"/>
                  </w14:solidFill>
                </w14:textFill>
              </w:rPr>
              <w:t xml:space="preserve">  项目主要噪声设备声源调查一览表（室内）</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397"/>
              <w:gridCol w:w="602"/>
              <w:gridCol w:w="687"/>
              <w:gridCol w:w="903"/>
              <w:gridCol w:w="771"/>
              <w:gridCol w:w="771"/>
              <w:gridCol w:w="445"/>
              <w:gridCol w:w="728"/>
              <w:gridCol w:w="621"/>
              <w:gridCol w:w="576"/>
              <w:gridCol w:w="687"/>
              <w:gridCol w:w="687"/>
              <w:gridCol w:w="447"/>
            </w:tblGrid>
            <w:tr w14:paraId="0D43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28" w:type="pct"/>
                  <w:vMerge w:val="restart"/>
                  <w:vAlign w:val="center"/>
                </w:tcPr>
                <w:p w14:paraId="06D234A9">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编号</w:t>
                  </w:r>
                </w:p>
              </w:tc>
              <w:tc>
                <w:tcPr>
                  <w:tcW w:w="228" w:type="pct"/>
                  <w:vMerge w:val="restart"/>
                  <w:vAlign w:val="center"/>
                </w:tcPr>
                <w:p w14:paraId="0091729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建筑物名称</w:t>
                  </w:r>
                </w:p>
              </w:tc>
              <w:tc>
                <w:tcPr>
                  <w:tcW w:w="355" w:type="pct"/>
                  <w:vMerge w:val="restart"/>
                  <w:vAlign w:val="center"/>
                </w:tcPr>
                <w:p w14:paraId="1F5F2A07">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声源</w:t>
                  </w:r>
                  <w:r>
                    <w:rPr>
                      <w:b/>
                      <w:bCs/>
                      <w:color w:val="000000" w:themeColor="text1"/>
                      <w:sz w:val="18"/>
                      <w:szCs w:val="18"/>
                      <w14:textFill>
                        <w14:solidFill>
                          <w14:schemeClr w14:val="tx1"/>
                        </w14:solidFill>
                      </w14:textFill>
                    </w:rPr>
                    <w:t>名称</w:t>
                  </w:r>
                </w:p>
              </w:tc>
              <w:tc>
                <w:tcPr>
                  <w:tcW w:w="394" w:type="pct"/>
                  <w:vMerge w:val="restart"/>
                  <w:vAlign w:val="center"/>
                </w:tcPr>
                <w:p w14:paraId="30AEAD0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声源源强</w:t>
                  </w:r>
                </w:p>
                <w:p w14:paraId="75939969">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声功率级</w:t>
                  </w:r>
                </w:p>
                <w:p w14:paraId="2FBB07F1">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525" w:type="pct"/>
                  <w:vMerge w:val="restart"/>
                  <w:vAlign w:val="center"/>
                </w:tcPr>
                <w:p w14:paraId="728C6CF4">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降噪措施</w:t>
                  </w:r>
                </w:p>
              </w:tc>
              <w:tc>
                <w:tcPr>
                  <w:tcW w:w="1113" w:type="pct"/>
                  <w:gridSpan w:val="3"/>
                  <w:vAlign w:val="center"/>
                </w:tcPr>
                <w:p w14:paraId="070ABAFF">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空间</w:t>
                  </w:r>
                  <w:r>
                    <w:rPr>
                      <w:b/>
                      <w:bCs/>
                      <w:color w:val="000000" w:themeColor="text1"/>
                      <w:sz w:val="18"/>
                      <w:szCs w:val="18"/>
                      <w14:textFill>
                        <w14:solidFill>
                          <w14:schemeClr w14:val="tx1"/>
                        </w14:solidFill>
                      </w14:textFill>
                    </w:rPr>
                    <w:t>相对位置</w:t>
                  </w:r>
                </w:p>
              </w:tc>
              <w:tc>
                <w:tcPr>
                  <w:tcW w:w="418" w:type="pct"/>
                  <w:vMerge w:val="restart"/>
                  <w:vAlign w:val="center"/>
                </w:tcPr>
                <w:p w14:paraId="693EDFD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距室内</w:t>
                  </w:r>
                </w:p>
                <w:p w14:paraId="396AD35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边界距离</w:t>
                  </w:r>
                </w:p>
                <w:p w14:paraId="75F1FCA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（m）</w:t>
                  </w:r>
                </w:p>
              </w:tc>
              <w:tc>
                <w:tcPr>
                  <w:tcW w:w="356" w:type="pct"/>
                  <w:vMerge w:val="restart"/>
                  <w:vAlign w:val="center"/>
                </w:tcPr>
                <w:p w14:paraId="2334E9A1">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室内边</w:t>
                  </w:r>
                </w:p>
                <w:p w14:paraId="066B3928">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界声级</w:t>
                  </w:r>
                </w:p>
                <w:p w14:paraId="1767A3B9">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w:t>
                  </w:r>
                </w:p>
              </w:tc>
              <w:tc>
                <w:tcPr>
                  <w:tcW w:w="331" w:type="pct"/>
                  <w:vMerge w:val="restart"/>
                  <w:vAlign w:val="center"/>
                </w:tcPr>
                <w:p w14:paraId="6666B0F6">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运行时段</w:t>
                  </w:r>
                </w:p>
              </w:tc>
              <w:tc>
                <w:tcPr>
                  <w:tcW w:w="395" w:type="pct"/>
                  <w:vMerge w:val="restart"/>
                  <w:vAlign w:val="center"/>
                </w:tcPr>
                <w:p w14:paraId="5F86E7C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w:t>
                  </w:r>
                </w:p>
                <w:p w14:paraId="07AC6C10">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插入</w:t>
                  </w:r>
                </w:p>
                <w:p w14:paraId="2E5E6CD2">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损失</w:t>
                  </w:r>
                </w:p>
                <w:p w14:paraId="6CFF3C5E">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652" w:type="pct"/>
                  <w:gridSpan w:val="2"/>
                  <w:vAlign w:val="center"/>
                </w:tcPr>
                <w:p w14:paraId="68DC909F">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建筑物外</w:t>
                  </w:r>
                  <w:r>
                    <w:rPr>
                      <w:rFonts w:hint="eastAsia"/>
                      <w:b/>
                      <w:bCs/>
                      <w:color w:val="000000" w:themeColor="text1"/>
                      <w:sz w:val="18"/>
                      <w:szCs w:val="18"/>
                      <w14:textFill>
                        <w14:solidFill>
                          <w14:schemeClr w14:val="tx1"/>
                        </w14:solidFill>
                      </w14:textFill>
                    </w:rPr>
                    <w:t>噪声</w:t>
                  </w:r>
                </w:p>
              </w:tc>
            </w:tr>
            <w:tr w14:paraId="4157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228" w:type="pct"/>
                  <w:vMerge w:val="continue"/>
                  <w:vAlign w:val="center"/>
                </w:tcPr>
                <w:p w14:paraId="6AA8E3CE">
                  <w:pPr>
                    <w:jc w:val="center"/>
                    <w:rPr>
                      <w:b/>
                      <w:bCs/>
                      <w:color w:val="000000" w:themeColor="text1"/>
                      <w:sz w:val="18"/>
                      <w:szCs w:val="18"/>
                      <w14:textFill>
                        <w14:solidFill>
                          <w14:schemeClr w14:val="tx1"/>
                        </w14:solidFill>
                      </w14:textFill>
                    </w:rPr>
                  </w:pPr>
                </w:p>
              </w:tc>
              <w:tc>
                <w:tcPr>
                  <w:tcW w:w="228" w:type="pct"/>
                  <w:vMerge w:val="continue"/>
                  <w:vAlign w:val="center"/>
                </w:tcPr>
                <w:p w14:paraId="3458FC03">
                  <w:pPr>
                    <w:jc w:val="center"/>
                    <w:rPr>
                      <w:b/>
                      <w:bCs/>
                      <w:color w:val="000000" w:themeColor="text1"/>
                      <w:sz w:val="18"/>
                      <w:szCs w:val="18"/>
                      <w14:textFill>
                        <w14:solidFill>
                          <w14:schemeClr w14:val="tx1"/>
                        </w14:solidFill>
                      </w14:textFill>
                    </w:rPr>
                  </w:pPr>
                </w:p>
              </w:tc>
              <w:tc>
                <w:tcPr>
                  <w:tcW w:w="355" w:type="pct"/>
                  <w:vMerge w:val="continue"/>
                  <w:vAlign w:val="center"/>
                </w:tcPr>
                <w:p w14:paraId="7C3C787D">
                  <w:pPr>
                    <w:jc w:val="center"/>
                    <w:rPr>
                      <w:b/>
                      <w:bCs/>
                      <w:color w:val="000000" w:themeColor="text1"/>
                      <w:sz w:val="18"/>
                      <w:szCs w:val="18"/>
                      <w14:textFill>
                        <w14:solidFill>
                          <w14:schemeClr w14:val="tx1"/>
                        </w14:solidFill>
                      </w14:textFill>
                    </w:rPr>
                  </w:pPr>
                </w:p>
              </w:tc>
              <w:tc>
                <w:tcPr>
                  <w:tcW w:w="394" w:type="pct"/>
                  <w:vMerge w:val="continue"/>
                  <w:vAlign w:val="center"/>
                </w:tcPr>
                <w:p w14:paraId="049CBC57">
                  <w:pPr>
                    <w:jc w:val="center"/>
                    <w:rPr>
                      <w:b/>
                      <w:bCs/>
                      <w:color w:val="000000" w:themeColor="text1"/>
                      <w:sz w:val="18"/>
                      <w:szCs w:val="18"/>
                      <w14:textFill>
                        <w14:solidFill>
                          <w14:schemeClr w14:val="tx1"/>
                        </w14:solidFill>
                      </w14:textFill>
                    </w:rPr>
                  </w:pPr>
                </w:p>
              </w:tc>
              <w:tc>
                <w:tcPr>
                  <w:tcW w:w="525" w:type="pct"/>
                  <w:vMerge w:val="continue"/>
                  <w:vAlign w:val="center"/>
                </w:tcPr>
                <w:p w14:paraId="306C501C">
                  <w:pPr>
                    <w:jc w:val="center"/>
                    <w:rPr>
                      <w:b/>
                      <w:bCs/>
                      <w:color w:val="000000" w:themeColor="text1"/>
                      <w:sz w:val="18"/>
                      <w:szCs w:val="18"/>
                      <w14:textFill>
                        <w14:solidFill>
                          <w14:schemeClr w14:val="tx1"/>
                        </w14:solidFill>
                      </w14:textFill>
                    </w:rPr>
                  </w:pPr>
                </w:p>
              </w:tc>
              <w:tc>
                <w:tcPr>
                  <w:tcW w:w="408" w:type="pct"/>
                  <w:vAlign w:val="center"/>
                </w:tcPr>
                <w:p w14:paraId="3116C3B8">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X</w:t>
                  </w:r>
                </w:p>
              </w:tc>
              <w:tc>
                <w:tcPr>
                  <w:tcW w:w="443" w:type="pct"/>
                  <w:vAlign w:val="center"/>
                </w:tcPr>
                <w:p w14:paraId="5246CDA5">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Y</w:t>
                  </w:r>
                </w:p>
              </w:tc>
              <w:tc>
                <w:tcPr>
                  <w:tcW w:w="261" w:type="pct"/>
                  <w:vAlign w:val="center"/>
                </w:tcPr>
                <w:p w14:paraId="5D435738">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Z</w:t>
                  </w:r>
                </w:p>
              </w:tc>
              <w:tc>
                <w:tcPr>
                  <w:tcW w:w="418" w:type="pct"/>
                  <w:vMerge w:val="continue"/>
                  <w:vAlign w:val="center"/>
                </w:tcPr>
                <w:p w14:paraId="0B83F1FC">
                  <w:pPr>
                    <w:jc w:val="center"/>
                    <w:rPr>
                      <w:b/>
                      <w:bCs/>
                      <w:color w:val="000000" w:themeColor="text1"/>
                      <w:sz w:val="18"/>
                      <w:szCs w:val="18"/>
                      <w14:textFill>
                        <w14:solidFill>
                          <w14:schemeClr w14:val="tx1"/>
                        </w14:solidFill>
                      </w14:textFill>
                    </w:rPr>
                  </w:pPr>
                </w:p>
              </w:tc>
              <w:tc>
                <w:tcPr>
                  <w:tcW w:w="356" w:type="pct"/>
                  <w:vMerge w:val="continue"/>
                  <w:vAlign w:val="center"/>
                </w:tcPr>
                <w:p w14:paraId="0A8B3986">
                  <w:pPr>
                    <w:jc w:val="center"/>
                    <w:rPr>
                      <w:b/>
                      <w:bCs/>
                      <w:color w:val="000000" w:themeColor="text1"/>
                      <w:sz w:val="18"/>
                      <w:szCs w:val="18"/>
                      <w14:textFill>
                        <w14:solidFill>
                          <w14:schemeClr w14:val="tx1"/>
                        </w14:solidFill>
                      </w14:textFill>
                    </w:rPr>
                  </w:pPr>
                </w:p>
              </w:tc>
              <w:tc>
                <w:tcPr>
                  <w:tcW w:w="331" w:type="pct"/>
                  <w:vMerge w:val="continue"/>
                  <w:vAlign w:val="center"/>
                </w:tcPr>
                <w:p w14:paraId="6734D3B0">
                  <w:pPr>
                    <w:jc w:val="center"/>
                    <w:rPr>
                      <w:b/>
                      <w:bCs/>
                      <w:color w:val="000000" w:themeColor="text1"/>
                      <w:sz w:val="18"/>
                      <w:szCs w:val="18"/>
                      <w14:textFill>
                        <w14:solidFill>
                          <w14:schemeClr w14:val="tx1"/>
                        </w14:solidFill>
                      </w14:textFill>
                    </w:rPr>
                  </w:pPr>
                </w:p>
              </w:tc>
              <w:tc>
                <w:tcPr>
                  <w:tcW w:w="395" w:type="pct"/>
                  <w:vMerge w:val="continue"/>
                  <w:vAlign w:val="center"/>
                </w:tcPr>
                <w:p w14:paraId="7B837D72">
                  <w:pPr>
                    <w:jc w:val="center"/>
                    <w:rPr>
                      <w:b/>
                      <w:bCs/>
                      <w:color w:val="000000" w:themeColor="text1"/>
                      <w:sz w:val="18"/>
                      <w:szCs w:val="18"/>
                      <w14:textFill>
                        <w14:solidFill>
                          <w14:schemeClr w14:val="tx1"/>
                        </w14:solidFill>
                      </w14:textFill>
                    </w:rPr>
                  </w:pPr>
                </w:p>
              </w:tc>
              <w:tc>
                <w:tcPr>
                  <w:tcW w:w="395" w:type="pct"/>
                  <w:vAlign w:val="center"/>
                </w:tcPr>
                <w:p w14:paraId="2566CBDA">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声压级</w:t>
                  </w:r>
                </w:p>
                <w:p w14:paraId="463EF38C">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dB(A)</w:t>
                  </w:r>
                </w:p>
              </w:tc>
              <w:tc>
                <w:tcPr>
                  <w:tcW w:w="257" w:type="pct"/>
                  <w:vAlign w:val="center"/>
                </w:tcPr>
                <w:p w14:paraId="5E8C60B7">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建筑物</w:t>
                  </w:r>
                </w:p>
                <w:p w14:paraId="13218B8C">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外距离</w:t>
                  </w:r>
                </w:p>
              </w:tc>
            </w:tr>
            <w:tr w14:paraId="1A38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4CF211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28" w:type="pct"/>
                  <w:vMerge w:val="restart"/>
                  <w:vAlign w:val="center"/>
                </w:tcPr>
                <w:p w14:paraId="133990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一级烘干车间</w:t>
                  </w:r>
                </w:p>
              </w:tc>
              <w:tc>
                <w:tcPr>
                  <w:tcW w:w="355" w:type="pct"/>
                  <w:vAlign w:val="center"/>
                </w:tcPr>
                <w:p w14:paraId="3FBE83F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破碎分选机</w:t>
                  </w:r>
                </w:p>
              </w:tc>
              <w:tc>
                <w:tcPr>
                  <w:tcW w:w="394" w:type="pct"/>
                  <w:vAlign w:val="center"/>
                </w:tcPr>
                <w:p w14:paraId="566DC4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925D3B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0758D3F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131.96</w:t>
                  </w:r>
                </w:p>
              </w:tc>
              <w:tc>
                <w:tcPr>
                  <w:tcW w:w="443" w:type="pct"/>
                  <w:vAlign w:val="center"/>
                </w:tcPr>
                <w:p w14:paraId="1FC688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93.6</w:t>
                  </w:r>
                </w:p>
              </w:tc>
              <w:tc>
                <w:tcPr>
                  <w:tcW w:w="261" w:type="pct"/>
                  <w:vAlign w:val="center"/>
                </w:tcPr>
                <w:p w14:paraId="6482AC4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86EEE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3.5m</w:t>
                  </w:r>
                </w:p>
              </w:tc>
              <w:tc>
                <w:tcPr>
                  <w:tcW w:w="356" w:type="pct"/>
                  <w:vAlign w:val="center"/>
                </w:tcPr>
                <w:p w14:paraId="6CDD2B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4B8DD6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F3283F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06710D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680D1A7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0FDA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EC106F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228" w:type="pct"/>
                  <w:vMerge w:val="continue"/>
                  <w:vAlign w:val="center"/>
                </w:tcPr>
                <w:p w14:paraId="36FC6C9F">
                  <w:pPr>
                    <w:jc w:val="center"/>
                    <w:rPr>
                      <w:color w:val="000000" w:themeColor="text1"/>
                      <w:sz w:val="18"/>
                      <w:szCs w:val="18"/>
                      <w14:textFill>
                        <w14:solidFill>
                          <w14:schemeClr w14:val="tx1"/>
                        </w14:solidFill>
                      </w14:textFill>
                    </w:rPr>
                  </w:pPr>
                </w:p>
              </w:tc>
              <w:tc>
                <w:tcPr>
                  <w:tcW w:w="355" w:type="pct"/>
                  <w:vAlign w:val="center"/>
                </w:tcPr>
                <w:p w14:paraId="1170E8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压榨机</w:t>
                  </w:r>
                </w:p>
              </w:tc>
              <w:tc>
                <w:tcPr>
                  <w:tcW w:w="394" w:type="pct"/>
                  <w:vAlign w:val="center"/>
                </w:tcPr>
                <w:p w14:paraId="01A938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3D3742B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444475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123.2</w:t>
                  </w:r>
                </w:p>
              </w:tc>
              <w:tc>
                <w:tcPr>
                  <w:tcW w:w="443" w:type="pct"/>
                  <w:vAlign w:val="center"/>
                </w:tcPr>
                <w:p w14:paraId="346B2E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95.9</w:t>
                  </w:r>
                </w:p>
              </w:tc>
              <w:tc>
                <w:tcPr>
                  <w:tcW w:w="261" w:type="pct"/>
                  <w:vAlign w:val="center"/>
                </w:tcPr>
                <w:p w14:paraId="12C4B9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7C3D0B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20D194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6BFE3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75A4A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6F6FFE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245CB2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7AA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E839F8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228" w:type="pct"/>
                  <w:vMerge w:val="continue"/>
                  <w:vAlign w:val="center"/>
                </w:tcPr>
                <w:p w14:paraId="25685303">
                  <w:pPr>
                    <w:jc w:val="center"/>
                    <w:rPr>
                      <w:color w:val="000000" w:themeColor="text1"/>
                      <w:sz w:val="18"/>
                      <w:szCs w:val="18"/>
                      <w14:textFill>
                        <w14:solidFill>
                          <w14:schemeClr w14:val="tx1"/>
                        </w14:solidFill>
                      </w14:textFill>
                    </w:rPr>
                  </w:pPr>
                </w:p>
              </w:tc>
              <w:tc>
                <w:tcPr>
                  <w:tcW w:w="355" w:type="pct"/>
                  <w:vAlign w:val="center"/>
                </w:tcPr>
                <w:p w14:paraId="1E8582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烘干机</w:t>
                  </w:r>
                </w:p>
              </w:tc>
              <w:tc>
                <w:tcPr>
                  <w:tcW w:w="394" w:type="pct"/>
                  <w:vAlign w:val="center"/>
                </w:tcPr>
                <w:p w14:paraId="4D8A91D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2EE3EBD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67F6B9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105.68</w:t>
                  </w:r>
                </w:p>
              </w:tc>
              <w:tc>
                <w:tcPr>
                  <w:tcW w:w="443" w:type="pct"/>
                  <w:vAlign w:val="center"/>
                </w:tcPr>
                <w:p w14:paraId="741C50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4372CD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674746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16m</w:t>
                  </w:r>
                </w:p>
              </w:tc>
              <w:tc>
                <w:tcPr>
                  <w:tcW w:w="356" w:type="pct"/>
                  <w:vAlign w:val="center"/>
                </w:tcPr>
                <w:p w14:paraId="6546BCF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0423E61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285CA6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0E41C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75D5D6F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651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C3AB48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228" w:type="pct"/>
                  <w:vMerge w:val="continue"/>
                  <w:vAlign w:val="center"/>
                </w:tcPr>
                <w:p w14:paraId="3D2E1B59">
                  <w:pPr>
                    <w:jc w:val="center"/>
                    <w:rPr>
                      <w:color w:val="000000" w:themeColor="text1"/>
                      <w:sz w:val="18"/>
                      <w:szCs w:val="18"/>
                      <w14:textFill>
                        <w14:solidFill>
                          <w14:schemeClr w14:val="tx1"/>
                        </w14:solidFill>
                      </w14:textFill>
                    </w:rPr>
                  </w:pPr>
                </w:p>
              </w:tc>
              <w:tc>
                <w:tcPr>
                  <w:tcW w:w="355" w:type="pct"/>
                  <w:vAlign w:val="center"/>
                </w:tcPr>
                <w:p w14:paraId="40EE06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0216166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7C096ED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2F453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112.59</w:t>
                  </w:r>
                </w:p>
              </w:tc>
              <w:tc>
                <w:tcPr>
                  <w:tcW w:w="443" w:type="pct"/>
                  <w:vAlign w:val="center"/>
                </w:tcPr>
                <w:p w14:paraId="6B3D2CC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3D3C83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0FB7C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3CE664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2F8955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5CF9D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F4CDD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515BDCB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029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F2168F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228" w:type="pct"/>
                  <w:vMerge w:val="restart"/>
                  <w:vAlign w:val="center"/>
                </w:tcPr>
                <w:p w14:paraId="47D71E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二级烘干粉碎车间</w:t>
                  </w:r>
                </w:p>
              </w:tc>
              <w:tc>
                <w:tcPr>
                  <w:tcW w:w="355" w:type="pct"/>
                  <w:vAlign w:val="center"/>
                </w:tcPr>
                <w:p w14:paraId="79027D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烘干箱</w:t>
                  </w:r>
                </w:p>
              </w:tc>
              <w:tc>
                <w:tcPr>
                  <w:tcW w:w="394" w:type="pct"/>
                  <w:vAlign w:val="center"/>
                </w:tcPr>
                <w:p w14:paraId="416D2B6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w:t>
                  </w:r>
                </w:p>
              </w:tc>
              <w:tc>
                <w:tcPr>
                  <w:tcW w:w="525" w:type="pct"/>
                  <w:vAlign w:val="center"/>
                </w:tcPr>
                <w:p w14:paraId="46653C9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2C0EE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105.68</w:t>
                  </w:r>
                </w:p>
              </w:tc>
              <w:tc>
                <w:tcPr>
                  <w:tcW w:w="443" w:type="pct"/>
                  <w:vAlign w:val="center"/>
                </w:tcPr>
                <w:p w14:paraId="1EA5EA5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96.82</w:t>
                  </w:r>
                </w:p>
              </w:tc>
              <w:tc>
                <w:tcPr>
                  <w:tcW w:w="261" w:type="pct"/>
                  <w:vAlign w:val="center"/>
                </w:tcPr>
                <w:p w14:paraId="05FC60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45CF0E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0BE358F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5F43AAB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02E5D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5CA7CE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4A1569E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E4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9E7AEB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228" w:type="pct"/>
                  <w:vMerge w:val="continue"/>
                  <w:vAlign w:val="center"/>
                </w:tcPr>
                <w:p w14:paraId="7B06F13D">
                  <w:pPr>
                    <w:jc w:val="center"/>
                    <w:rPr>
                      <w:color w:val="000000" w:themeColor="text1"/>
                      <w:sz w:val="18"/>
                      <w:szCs w:val="18"/>
                      <w14:textFill>
                        <w14:solidFill>
                          <w14:schemeClr w14:val="tx1"/>
                        </w14:solidFill>
                      </w14:textFill>
                    </w:rPr>
                  </w:pPr>
                </w:p>
              </w:tc>
              <w:tc>
                <w:tcPr>
                  <w:tcW w:w="355" w:type="pct"/>
                  <w:vAlign w:val="center"/>
                </w:tcPr>
                <w:p w14:paraId="637E56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4787487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95</w:t>
                  </w:r>
                </w:p>
              </w:tc>
              <w:tc>
                <w:tcPr>
                  <w:tcW w:w="525" w:type="pct"/>
                  <w:vAlign w:val="center"/>
                </w:tcPr>
                <w:p w14:paraId="7952326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4D3E05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112.5  9</w:t>
                  </w:r>
                </w:p>
              </w:tc>
              <w:tc>
                <w:tcPr>
                  <w:tcW w:w="443" w:type="pct"/>
                  <w:vAlign w:val="center"/>
                </w:tcPr>
                <w:p w14:paraId="7C0D37D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96. 82 </w:t>
                  </w:r>
                </w:p>
              </w:tc>
              <w:tc>
                <w:tcPr>
                  <w:tcW w:w="261" w:type="pct"/>
                  <w:vAlign w:val="center"/>
                </w:tcPr>
                <w:p w14:paraId="07A212C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8D53E9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3A9201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71.48</w:t>
                  </w:r>
                </w:p>
              </w:tc>
              <w:tc>
                <w:tcPr>
                  <w:tcW w:w="331" w:type="pct"/>
                  <w:vAlign w:val="center"/>
                </w:tcPr>
                <w:p w14:paraId="487981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E1CCE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4E629E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257" w:type="pct"/>
                  <w:vAlign w:val="center"/>
                </w:tcPr>
                <w:p w14:paraId="3561DA3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B64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708615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w:t>
                  </w:r>
                </w:p>
              </w:tc>
              <w:tc>
                <w:tcPr>
                  <w:tcW w:w="228" w:type="pct"/>
                  <w:vMerge w:val="continue"/>
                  <w:vAlign w:val="center"/>
                </w:tcPr>
                <w:p w14:paraId="0FB28C25">
                  <w:pPr>
                    <w:jc w:val="center"/>
                    <w:rPr>
                      <w:color w:val="000000" w:themeColor="text1"/>
                      <w:sz w:val="18"/>
                      <w:szCs w:val="18"/>
                      <w14:textFill>
                        <w14:solidFill>
                          <w14:schemeClr w14:val="tx1"/>
                        </w14:solidFill>
                      </w14:textFill>
                    </w:rPr>
                  </w:pPr>
                </w:p>
              </w:tc>
              <w:tc>
                <w:tcPr>
                  <w:tcW w:w="355" w:type="pct"/>
                  <w:vAlign w:val="center"/>
                </w:tcPr>
                <w:p w14:paraId="1A4E55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冷却风机</w:t>
                  </w:r>
                </w:p>
              </w:tc>
              <w:tc>
                <w:tcPr>
                  <w:tcW w:w="394" w:type="pct"/>
                  <w:vAlign w:val="center"/>
                </w:tcPr>
                <w:p w14:paraId="0B06242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65</w:t>
                  </w:r>
                </w:p>
              </w:tc>
              <w:tc>
                <w:tcPr>
                  <w:tcW w:w="525" w:type="pct"/>
                  <w:vAlign w:val="center"/>
                </w:tcPr>
                <w:p w14:paraId="04902F6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D0FC9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92.77</w:t>
                  </w:r>
                </w:p>
              </w:tc>
              <w:tc>
                <w:tcPr>
                  <w:tcW w:w="443" w:type="pct"/>
                  <w:vAlign w:val="center"/>
                </w:tcPr>
                <w:p w14:paraId="23F7ED7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56.71</w:t>
                  </w:r>
                </w:p>
              </w:tc>
              <w:tc>
                <w:tcPr>
                  <w:tcW w:w="261" w:type="pct"/>
                  <w:vAlign w:val="center"/>
                </w:tcPr>
                <w:p w14:paraId="54F0B4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2B851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16m</w:t>
                  </w:r>
                </w:p>
              </w:tc>
              <w:tc>
                <w:tcPr>
                  <w:tcW w:w="356" w:type="pct"/>
                  <w:vAlign w:val="center"/>
                </w:tcPr>
                <w:p w14:paraId="54335E2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331" w:type="pct"/>
                  <w:vAlign w:val="center"/>
                </w:tcPr>
                <w:p w14:paraId="688D2D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6E04BC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4EB56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26.48</w:t>
                  </w:r>
                </w:p>
              </w:tc>
              <w:tc>
                <w:tcPr>
                  <w:tcW w:w="257" w:type="pct"/>
                  <w:vAlign w:val="center"/>
                </w:tcPr>
                <w:p w14:paraId="3B67535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2D1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622CE7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228" w:type="pct"/>
                  <w:vMerge w:val="continue"/>
                  <w:vAlign w:val="center"/>
                </w:tcPr>
                <w:p w14:paraId="23F5F4F4">
                  <w:pPr>
                    <w:jc w:val="center"/>
                    <w:rPr>
                      <w:color w:val="000000" w:themeColor="text1"/>
                      <w:sz w:val="18"/>
                      <w:szCs w:val="18"/>
                      <w14:textFill>
                        <w14:solidFill>
                          <w14:schemeClr w14:val="tx1"/>
                        </w14:solidFill>
                      </w14:textFill>
                    </w:rPr>
                  </w:pPr>
                </w:p>
              </w:tc>
              <w:tc>
                <w:tcPr>
                  <w:tcW w:w="355" w:type="pct"/>
                  <w:vAlign w:val="center"/>
                </w:tcPr>
                <w:p w14:paraId="2ECAB7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粉碎机</w:t>
                  </w:r>
                </w:p>
              </w:tc>
              <w:tc>
                <w:tcPr>
                  <w:tcW w:w="394" w:type="pct"/>
                  <w:vAlign w:val="center"/>
                </w:tcPr>
                <w:p w14:paraId="3ED3A26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70</w:t>
                  </w:r>
                </w:p>
              </w:tc>
              <w:tc>
                <w:tcPr>
                  <w:tcW w:w="525" w:type="pct"/>
                  <w:vAlign w:val="center"/>
                </w:tcPr>
                <w:p w14:paraId="6436165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14A2DB6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82.92</w:t>
                  </w:r>
                </w:p>
              </w:tc>
              <w:tc>
                <w:tcPr>
                  <w:tcW w:w="443" w:type="pct"/>
                  <w:vAlign w:val="center"/>
                </w:tcPr>
                <w:p w14:paraId="0C9F31D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80.44</w:t>
                  </w:r>
                </w:p>
              </w:tc>
              <w:tc>
                <w:tcPr>
                  <w:tcW w:w="261" w:type="pct"/>
                  <w:vAlign w:val="center"/>
                </w:tcPr>
                <w:p w14:paraId="6BE15C3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316CDD2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18A497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331" w:type="pct"/>
                  <w:vAlign w:val="center"/>
                </w:tcPr>
                <w:p w14:paraId="22DB953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78A50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C5D58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31.48</w:t>
                  </w:r>
                </w:p>
              </w:tc>
              <w:tc>
                <w:tcPr>
                  <w:tcW w:w="257" w:type="pct"/>
                  <w:vAlign w:val="center"/>
                </w:tcPr>
                <w:p w14:paraId="2B61345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2C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3A5549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p>
              </w:tc>
              <w:tc>
                <w:tcPr>
                  <w:tcW w:w="228" w:type="pct"/>
                  <w:vMerge w:val="continue"/>
                  <w:vAlign w:val="center"/>
                </w:tcPr>
                <w:p w14:paraId="2B295612">
                  <w:pPr>
                    <w:jc w:val="center"/>
                    <w:rPr>
                      <w:color w:val="000000" w:themeColor="text1"/>
                      <w:sz w:val="18"/>
                      <w:szCs w:val="18"/>
                      <w14:textFill>
                        <w14:solidFill>
                          <w14:schemeClr w14:val="tx1"/>
                        </w14:solidFill>
                      </w14:textFill>
                    </w:rPr>
                  </w:pPr>
                </w:p>
              </w:tc>
              <w:tc>
                <w:tcPr>
                  <w:tcW w:w="355" w:type="pct"/>
                  <w:vAlign w:val="center"/>
                </w:tcPr>
                <w:p w14:paraId="4381D0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打包机</w:t>
                  </w:r>
                </w:p>
              </w:tc>
              <w:tc>
                <w:tcPr>
                  <w:tcW w:w="394" w:type="pct"/>
                  <w:vAlign w:val="center"/>
                </w:tcPr>
                <w:p w14:paraId="4FA691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43E33EE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48C2F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83.02</w:t>
                  </w:r>
                </w:p>
              </w:tc>
              <w:tc>
                <w:tcPr>
                  <w:tcW w:w="443" w:type="pct"/>
                  <w:vAlign w:val="center"/>
                </w:tcPr>
                <w:p w14:paraId="3AAA30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41.96</w:t>
                  </w:r>
                </w:p>
              </w:tc>
              <w:tc>
                <w:tcPr>
                  <w:tcW w:w="261" w:type="pct"/>
                  <w:vAlign w:val="center"/>
                </w:tcPr>
                <w:p w14:paraId="2BC850A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22AE92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228E60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58.48</w:t>
                  </w:r>
                </w:p>
              </w:tc>
              <w:tc>
                <w:tcPr>
                  <w:tcW w:w="331" w:type="pct"/>
                  <w:vAlign w:val="center"/>
                </w:tcPr>
                <w:p w14:paraId="19B7080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041C2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FAD4E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43.48</w:t>
                  </w:r>
                </w:p>
              </w:tc>
              <w:tc>
                <w:tcPr>
                  <w:tcW w:w="257" w:type="pct"/>
                  <w:vAlign w:val="center"/>
                </w:tcPr>
                <w:p w14:paraId="3E068F8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5609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51DD36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p>
              </w:tc>
              <w:tc>
                <w:tcPr>
                  <w:tcW w:w="228" w:type="pct"/>
                  <w:vMerge w:val="continue"/>
                  <w:vAlign w:val="center"/>
                </w:tcPr>
                <w:p w14:paraId="56B64BE7">
                  <w:pPr>
                    <w:jc w:val="center"/>
                    <w:rPr>
                      <w:color w:val="000000" w:themeColor="text1"/>
                      <w:sz w:val="18"/>
                      <w:szCs w:val="18"/>
                      <w14:textFill>
                        <w14:solidFill>
                          <w14:schemeClr w14:val="tx1"/>
                        </w14:solidFill>
                      </w14:textFill>
                    </w:rPr>
                  </w:pPr>
                </w:p>
              </w:tc>
              <w:tc>
                <w:tcPr>
                  <w:tcW w:w="355" w:type="pct"/>
                  <w:vAlign w:val="center"/>
                </w:tcPr>
                <w:p w14:paraId="34273E6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鼓风机</w:t>
                  </w:r>
                </w:p>
              </w:tc>
              <w:tc>
                <w:tcPr>
                  <w:tcW w:w="394" w:type="pct"/>
                  <w:vAlign w:val="center"/>
                </w:tcPr>
                <w:p w14:paraId="3566EAF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5E9BCD6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EDCF72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75.64</w:t>
                  </w:r>
                </w:p>
              </w:tc>
              <w:tc>
                <w:tcPr>
                  <w:tcW w:w="443" w:type="pct"/>
                  <w:vAlign w:val="center"/>
                </w:tcPr>
                <w:p w14:paraId="6AEB6D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35.51</w:t>
                  </w:r>
                </w:p>
              </w:tc>
              <w:tc>
                <w:tcPr>
                  <w:tcW w:w="261" w:type="pct"/>
                  <w:vAlign w:val="center"/>
                </w:tcPr>
                <w:p w14:paraId="76DEF0F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14DFE78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12m</w:t>
                  </w:r>
                </w:p>
              </w:tc>
              <w:tc>
                <w:tcPr>
                  <w:tcW w:w="356" w:type="pct"/>
                  <w:vAlign w:val="center"/>
                </w:tcPr>
                <w:p w14:paraId="243F75D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36C31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2A926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1386E2A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50AE86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5509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B5F832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w:t>
                  </w:r>
                </w:p>
              </w:tc>
              <w:tc>
                <w:tcPr>
                  <w:tcW w:w="228" w:type="pct"/>
                  <w:vMerge w:val="restart"/>
                  <w:vAlign w:val="center"/>
                </w:tcPr>
                <w:p w14:paraId="6D4DA2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污水处理站</w:t>
                  </w:r>
                </w:p>
              </w:tc>
              <w:tc>
                <w:tcPr>
                  <w:tcW w:w="355" w:type="pct"/>
                  <w:vAlign w:val="center"/>
                </w:tcPr>
                <w:p w14:paraId="6455B52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固液分离机</w:t>
                  </w:r>
                </w:p>
              </w:tc>
              <w:tc>
                <w:tcPr>
                  <w:tcW w:w="394" w:type="pct"/>
                  <w:vAlign w:val="center"/>
                </w:tcPr>
                <w:p w14:paraId="2C55FC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42DEBB5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37814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48.44</w:t>
                  </w:r>
                </w:p>
              </w:tc>
              <w:tc>
                <w:tcPr>
                  <w:tcW w:w="443" w:type="pct"/>
                  <w:vAlign w:val="center"/>
                </w:tcPr>
                <w:p w14:paraId="14533E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10.15</w:t>
                  </w:r>
                </w:p>
              </w:tc>
              <w:tc>
                <w:tcPr>
                  <w:tcW w:w="261" w:type="pct"/>
                  <w:vAlign w:val="center"/>
                </w:tcPr>
                <w:p w14:paraId="1B66444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7A0153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4611238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331" w:type="pct"/>
                  <w:vAlign w:val="center"/>
                </w:tcPr>
                <w:p w14:paraId="056B41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49476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75447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257" w:type="pct"/>
                  <w:vAlign w:val="center"/>
                </w:tcPr>
                <w:p w14:paraId="5446B16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084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62721A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228" w:type="pct"/>
                  <w:vMerge w:val="continue"/>
                  <w:vAlign w:val="center"/>
                </w:tcPr>
                <w:p w14:paraId="14ADC005">
                  <w:pPr>
                    <w:jc w:val="center"/>
                    <w:rPr>
                      <w:color w:val="000000" w:themeColor="text1"/>
                      <w:sz w:val="18"/>
                      <w:szCs w:val="18"/>
                      <w14:textFill>
                        <w14:solidFill>
                          <w14:schemeClr w14:val="tx1"/>
                        </w14:solidFill>
                      </w14:textFill>
                    </w:rPr>
                  </w:pPr>
                </w:p>
              </w:tc>
              <w:tc>
                <w:tcPr>
                  <w:tcW w:w="355" w:type="pct"/>
                  <w:vAlign w:val="center"/>
                </w:tcPr>
                <w:p w14:paraId="0ED4314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潜水搅拌机</w:t>
                  </w:r>
                </w:p>
              </w:tc>
              <w:tc>
                <w:tcPr>
                  <w:tcW w:w="394" w:type="pct"/>
                  <w:vAlign w:val="center"/>
                </w:tcPr>
                <w:p w14:paraId="63DDE1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1B46B35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0BD323F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41.07</w:t>
                  </w:r>
                </w:p>
              </w:tc>
              <w:tc>
                <w:tcPr>
                  <w:tcW w:w="443" w:type="pct"/>
                  <w:vAlign w:val="center"/>
                </w:tcPr>
                <w:p w14:paraId="5B21BA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4.16</w:t>
                  </w:r>
                </w:p>
              </w:tc>
              <w:tc>
                <w:tcPr>
                  <w:tcW w:w="261" w:type="pct"/>
                  <w:vAlign w:val="center"/>
                </w:tcPr>
                <w:p w14:paraId="42DAAB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59570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2m</w:t>
                  </w:r>
                </w:p>
              </w:tc>
              <w:tc>
                <w:tcPr>
                  <w:tcW w:w="356" w:type="pct"/>
                  <w:vAlign w:val="center"/>
                </w:tcPr>
                <w:p w14:paraId="720B18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790C60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48CD74D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4F1F6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27DB835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02C4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3F1023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w:t>
                  </w:r>
                </w:p>
              </w:tc>
              <w:tc>
                <w:tcPr>
                  <w:tcW w:w="228" w:type="pct"/>
                  <w:vMerge w:val="continue"/>
                  <w:vAlign w:val="center"/>
                </w:tcPr>
                <w:p w14:paraId="6A8E3601">
                  <w:pPr>
                    <w:jc w:val="center"/>
                    <w:rPr>
                      <w:color w:val="000000" w:themeColor="text1"/>
                      <w:sz w:val="18"/>
                      <w:szCs w:val="18"/>
                      <w14:textFill>
                        <w14:solidFill>
                          <w14:schemeClr w14:val="tx1"/>
                        </w14:solidFill>
                      </w14:textFill>
                    </w:rPr>
                  </w:pPr>
                </w:p>
              </w:tc>
              <w:tc>
                <w:tcPr>
                  <w:tcW w:w="355" w:type="pct"/>
                  <w:vAlign w:val="center"/>
                </w:tcPr>
                <w:p w14:paraId="0A39E7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气浮一体机</w:t>
                  </w:r>
                </w:p>
              </w:tc>
              <w:tc>
                <w:tcPr>
                  <w:tcW w:w="394" w:type="pct"/>
                  <w:vAlign w:val="center"/>
                </w:tcPr>
                <w:p w14:paraId="727956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74F1F2D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2C71B09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38.76</w:t>
                  </w:r>
                </w:p>
              </w:tc>
              <w:tc>
                <w:tcPr>
                  <w:tcW w:w="443" w:type="pct"/>
                  <w:vAlign w:val="center"/>
                </w:tcPr>
                <w:p w14:paraId="3B88F16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7.38</w:t>
                  </w:r>
                </w:p>
              </w:tc>
              <w:tc>
                <w:tcPr>
                  <w:tcW w:w="261" w:type="pct"/>
                  <w:vAlign w:val="center"/>
                </w:tcPr>
                <w:p w14:paraId="7F1686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250777A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4m</w:t>
                  </w:r>
                </w:p>
              </w:tc>
              <w:tc>
                <w:tcPr>
                  <w:tcW w:w="356" w:type="pct"/>
                  <w:vAlign w:val="center"/>
                </w:tcPr>
                <w:p w14:paraId="4F916B4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58.48</w:t>
                  </w:r>
                </w:p>
              </w:tc>
              <w:tc>
                <w:tcPr>
                  <w:tcW w:w="331" w:type="pct"/>
                  <w:vAlign w:val="center"/>
                </w:tcPr>
                <w:p w14:paraId="664D745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5C8717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253877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43.48</w:t>
                  </w:r>
                </w:p>
              </w:tc>
              <w:tc>
                <w:tcPr>
                  <w:tcW w:w="257" w:type="pct"/>
                  <w:vAlign w:val="center"/>
                </w:tcPr>
                <w:p w14:paraId="753C8CF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4FB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57E1FD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14</w:t>
                  </w:r>
                </w:p>
              </w:tc>
              <w:tc>
                <w:tcPr>
                  <w:tcW w:w="228" w:type="pct"/>
                  <w:vMerge w:val="continue"/>
                  <w:vAlign w:val="center"/>
                </w:tcPr>
                <w:p w14:paraId="45F06B9B">
                  <w:pPr>
                    <w:jc w:val="center"/>
                    <w:rPr>
                      <w:color w:val="000000" w:themeColor="text1"/>
                      <w:sz w:val="18"/>
                      <w:szCs w:val="18"/>
                      <w14:textFill>
                        <w14:solidFill>
                          <w14:schemeClr w14:val="tx1"/>
                        </w14:solidFill>
                      </w14:textFill>
                    </w:rPr>
                  </w:pPr>
                </w:p>
              </w:tc>
              <w:tc>
                <w:tcPr>
                  <w:tcW w:w="355" w:type="pct"/>
                  <w:vAlign w:val="center"/>
                </w:tcPr>
                <w:p w14:paraId="491140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污水提升泵</w:t>
                  </w:r>
                </w:p>
              </w:tc>
              <w:tc>
                <w:tcPr>
                  <w:tcW w:w="394" w:type="pct"/>
                  <w:vAlign w:val="center"/>
                </w:tcPr>
                <w:p w14:paraId="4E4BCBC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2904219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3D4EEAD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32.37</w:t>
                  </w:r>
                </w:p>
              </w:tc>
              <w:tc>
                <w:tcPr>
                  <w:tcW w:w="443" w:type="pct"/>
                  <w:vAlign w:val="center"/>
                </w:tcPr>
                <w:p w14:paraId="635BEE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-0.13</w:t>
                  </w:r>
                </w:p>
              </w:tc>
              <w:tc>
                <w:tcPr>
                  <w:tcW w:w="261" w:type="pct"/>
                  <w:vAlign w:val="center"/>
                </w:tcPr>
                <w:p w14:paraId="70ECD2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1322AA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708AB3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5BA0E7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1D97FC1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CD8BEC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6384581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278C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38E8DBF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c>
                <w:tcPr>
                  <w:tcW w:w="228" w:type="pct"/>
                  <w:vMerge w:val="continue"/>
                  <w:vAlign w:val="center"/>
                </w:tcPr>
                <w:p w14:paraId="511A2F26">
                  <w:pPr>
                    <w:jc w:val="center"/>
                    <w:rPr>
                      <w:color w:val="000000" w:themeColor="text1"/>
                      <w:sz w:val="18"/>
                      <w:szCs w:val="18"/>
                      <w14:textFill>
                        <w14:solidFill>
                          <w14:schemeClr w14:val="tx1"/>
                        </w14:solidFill>
                      </w14:textFill>
                    </w:rPr>
                  </w:pPr>
                </w:p>
              </w:tc>
              <w:tc>
                <w:tcPr>
                  <w:tcW w:w="355" w:type="pct"/>
                  <w:vAlign w:val="center"/>
                </w:tcPr>
                <w:p w14:paraId="22A0D63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污水提升泵2</w:t>
                  </w:r>
                </w:p>
              </w:tc>
              <w:tc>
                <w:tcPr>
                  <w:tcW w:w="394" w:type="pct"/>
                  <w:vAlign w:val="center"/>
                </w:tcPr>
                <w:p w14:paraId="0A58A18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2516FA3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79F12E5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29.8</w:t>
                  </w:r>
                </w:p>
              </w:tc>
              <w:tc>
                <w:tcPr>
                  <w:tcW w:w="443" w:type="pct"/>
                  <w:vAlign w:val="center"/>
                </w:tcPr>
                <w:p w14:paraId="7496032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-2.63</w:t>
                  </w:r>
                </w:p>
              </w:tc>
              <w:tc>
                <w:tcPr>
                  <w:tcW w:w="261" w:type="pct"/>
                  <w:vAlign w:val="center"/>
                </w:tcPr>
                <w:p w14:paraId="6384B3E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1BC471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5m</w:t>
                  </w:r>
                </w:p>
              </w:tc>
              <w:tc>
                <w:tcPr>
                  <w:tcW w:w="356" w:type="pct"/>
                  <w:vAlign w:val="center"/>
                </w:tcPr>
                <w:p w14:paraId="44C91DC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481535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605E4F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4576BB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2C1A769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81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E1483C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w:t>
                  </w:r>
                </w:p>
              </w:tc>
              <w:tc>
                <w:tcPr>
                  <w:tcW w:w="228" w:type="pct"/>
                  <w:vMerge w:val="continue"/>
                  <w:vAlign w:val="center"/>
                </w:tcPr>
                <w:p w14:paraId="1AE84938">
                  <w:pPr>
                    <w:jc w:val="center"/>
                    <w:rPr>
                      <w:color w:val="000000" w:themeColor="text1"/>
                      <w:sz w:val="18"/>
                      <w:szCs w:val="18"/>
                      <w14:textFill>
                        <w14:solidFill>
                          <w14:schemeClr w14:val="tx1"/>
                        </w14:solidFill>
                      </w14:textFill>
                    </w:rPr>
                  </w:pPr>
                </w:p>
              </w:tc>
              <w:tc>
                <w:tcPr>
                  <w:tcW w:w="355" w:type="pct"/>
                  <w:vAlign w:val="center"/>
                </w:tcPr>
                <w:p w14:paraId="190695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污泥回流泵</w:t>
                  </w:r>
                </w:p>
              </w:tc>
              <w:tc>
                <w:tcPr>
                  <w:tcW w:w="394" w:type="pct"/>
                  <w:vAlign w:val="center"/>
                </w:tcPr>
                <w:p w14:paraId="59FB399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38735D7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减震垫、建筑隔声</w:t>
                  </w:r>
                </w:p>
              </w:tc>
              <w:tc>
                <w:tcPr>
                  <w:tcW w:w="408" w:type="pct"/>
                  <w:vAlign w:val="center"/>
                </w:tcPr>
                <w:p w14:paraId="5A80205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24.87</w:t>
                  </w:r>
                </w:p>
              </w:tc>
              <w:tc>
                <w:tcPr>
                  <w:tcW w:w="443" w:type="pct"/>
                  <w:vAlign w:val="center"/>
                </w:tcPr>
                <w:p w14:paraId="713F86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-9.76</w:t>
                  </w:r>
                </w:p>
              </w:tc>
              <w:tc>
                <w:tcPr>
                  <w:tcW w:w="261" w:type="pct"/>
                  <w:vAlign w:val="center"/>
                </w:tcPr>
                <w:p w14:paraId="22CB92C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2A09C1A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5.5m</w:t>
                  </w:r>
                </w:p>
              </w:tc>
              <w:tc>
                <w:tcPr>
                  <w:tcW w:w="356" w:type="pct"/>
                  <w:vAlign w:val="center"/>
                </w:tcPr>
                <w:p w14:paraId="1674E14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66.48</w:t>
                  </w:r>
                </w:p>
              </w:tc>
              <w:tc>
                <w:tcPr>
                  <w:tcW w:w="331" w:type="pct"/>
                  <w:vAlign w:val="center"/>
                </w:tcPr>
                <w:p w14:paraId="25BB99D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318FA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042C812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51.48</w:t>
                  </w:r>
                </w:p>
              </w:tc>
              <w:tc>
                <w:tcPr>
                  <w:tcW w:w="257" w:type="pct"/>
                  <w:vAlign w:val="center"/>
                </w:tcPr>
                <w:p w14:paraId="0F61A1D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2BDF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7F7285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17</w:t>
                  </w:r>
                </w:p>
              </w:tc>
              <w:tc>
                <w:tcPr>
                  <w:tcW w:w="228" w:type="pct"/>
                  <w:vMerge w:val="continue"/>
                  <w:vAlign w:val="center"/>
                </w:tcPr>
                <w:p w14:paraId="23054733">
                  <w:pPr>
                    <w:jc w:val="center"/>
                    <w:rPr>
                      <w:color w:val="000000" w:themeColor="text1"/>
                      <w:sz w:val="18"/>
                      <w:szCs w:val="18"/>
                      <w14:textFill>
                        <w14:solidFill>
                          <w14:schemeClr w14:val="tx1"/>
                        </w14:solidFill>
                      </w14:textFill>
                    </w:rPr>
                  </w:pPr>
                </w:p>
              </w:tc>
              <w:tc>
                <w:tcPr>
                  <w:tcW w:w="355" w:type="pct"/>
                  <w:vAlign w:val="center"/>
                </w:tcPr>
                <w:p w14:paraId="440D7B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油烟净化器</w:t>
                  </w:r>
                </w:p>
              </w:tc>
              <w:tc>
                <w:tcPr>
                  <w:tcW w:w="394" w:type="pct"/>
                  <w:vAlign w:val="center"/>
                </w:tcPr>
                <w:p w14:paraId="66E08D5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w:t>
                  </w:r>
                </w:p>
              </w:tc>
              <w:tc>
                <w:tcPr>
                  <w:tcW w:w="525" w:type="pct"/>
                  <w:vAlign w:val="center"/>
                </w:tcPr>
                <w:p w14:paraId="607C297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165C40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8.23</w:t>
                  </w:r>
                </w:p>
              </w:tc>
              <w:tc>
                <w:tcPr>
                  <w:tcW w:w="443" w:type="pct"/>
                  <w:vAlign w:val="center"/>
                </w:tcPr>
                <w:p w14:paraId="2BB5396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-27.42</w:t>
                  </w:r>
                </w:p>
              </w:tc>
              <w:tc>
                <w:tcPr>
                  <w:tcW w:w="261" w:type="pct"/>
                  <w:vAlign w:val="center"/>
                </w:tcPr>
                <w:p w14:paraId="2900548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418" w:type="pct"/>
                  <w:vAlign w:val="center"/>
                </w:tcPr>
                <w:p w14:paraId="1CF5AD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5.3m</w:t>
                  </w:r>
                </w:p>
              </w:tc>
              <w:tc>
                <w:tcPr>
                  <w:tcW w:w="356" w:type="pct"/>
                  <w:vAlign w:val="center"/>
                </w:tcPr>
                <w:p w14:paraId="6A539AE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331" w:type="pct"/>
                  <w:vAlign w:val="center"/>
                </w:tcPr>
                <w:p w14:paraId="6D5C48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CFA74C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656CB3F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26.48</w:t>
                  </w:r>
                </w:p>
              </w:tc>
              <w:tc>
                <w:tcPr>
                  <w:tcW w:w="257" w:type="pct"/>
                  <w:vAlign w:val="center"/>
                </w:tcPr>
                <w:p w14:paraId="3CC4252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1CBD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060118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18</w:t>
                  </w:r>
                </w:p>
              </w:tc>
              <w:tc>
                <w:tcPr>
                  <w:tcW w:w="228" w:type="pct"/>
                  <w:vMerge w:val="continue"/>
                  <w:vAlign w:val="center"/>
                </w:tcPr>
                <w:p w14:paraId="10DE259A">
                  <w:pPr>
                    <w:jc w:val="center"/>
                    <w:rPr>
                      <w:color w:val="000000" w:themeColor="text1"/>
                      <w:sz w:val="18"/>
                      <w:szCs w:val="18"/>
                      <w14:textFill>
                        <w14:solidFill>
                          <w14:schemeClr w14:val="tx1"/>
                        </w14:solidFill>
                      </w14:textFill>
                    </w:rPr>
                  </w:pPr>
                </w:p>
              </w:tc>
              <w:tc>
                <w:tcPr>
                  <w:tcW w:w="355" w:type="pct"/>
                  <w:vAlign w:val="center"/>
                </w:tcPr>
                <w:p w14:paraId="115998A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叠螺机</w:t>
                  </w:r>
                </w:p>
              </w:tc>
              <w:tc>
                <w:tcPr>
                  <w:tcW w:w="394" w:type="pct"/>
                  <w:vAlign w:val="center"/>
                </w:tcPr>
                <w:p w14:paraId="3B4EEE9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8E40B9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76B1488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53.69</w:t>
                  </w:r>
                </w:p>
              </w:tc>
              <w:tc>
                <w:tcPr>
                  <w:tcW w:w="443" w:type="pct"/>
                  <w:vAlign w:val="center"/>
                </w:tcPr>
                <w:p w14:paraId="036A1E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12.3</w:t>
                  </w:r>
                </w:p>
              </w:tc>
              <w:tc>
                <w:tcPr>
                  <w:tcW w:w="261" w:type="pct"/>
                  <w:vAlign w:val="center"/>
                </w:tcPr>
                <w:p w14:paraId="0857ECB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224E37E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6m</w:t>
                  </w:r>
                </w:p>
              </w:tc>
              <w:tc>
                <w:tcPr>
                  <w:tcW w:w="356" w:type="pct"/>
                  <w:vAlign w:val="center"/>
                </w:tcPr>
                <w:p w14:paraId="4DB864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63161BF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EA83EC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35030D8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155116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43E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139976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19</w:t>
                  </w:r>
                </w:p>
              </w:tc>
              <w:tc>
                <w:tcPr>
                  <w:tcW w:w="228" w:type="pct"/>
                  <w:vMerge w:val="continue"/>
                  <w:vAlign w:val="center"/>
                </w:tcPr>
                <w:p w14:paraId="6CA9AB0F">
                  <w:pPr>
                    <w:jc w:val="center"/>
                    <w:rPr>
                      <w:color w:val="000000" w:themeColor="text1"/>
                      <w:sz w:val="18"/>
                      <w:szCs w:val="18"/>
                      <w14:textFill>
                        <w14:solidFill>
                          <w14:schemeClr w14:val="tx1"/>
                        </w14:solidFill>
                      </w14:textFill>
                    </w:rPr>
                  </w:pPr>
                </w:p>
              </w:tc>
              <w:tc>
                <w:tcPr>
                  <w:tcW w:w="355" w:type="pct"/>
                  <w:vAlign w:val="center"/>
                </w:tcPr>
                <w:p w14:paraId="35AAA88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叠螺机2</w:t>
                  </w:r>
                </w:p>
              </w:tc>
              <w:tc>
                <w:tcPr>
                  <w:tcW w:w="394" w:type="pct"/>
                  <w:vAlign w:val="center"/>
                </w:tcPr>
                <w:p w14:paraId="658FC2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7EA49F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51B65D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50.24</w:t>
                  </w:r>
                </w:p>
              </w:tc>
              <w:tc>
                <w:tcPr>
                  <w:tcW w:w="443" w:type="pct"/>
                  <w:vAlign w:val="center"/>
                </w:tcPr>
                <w:p w14:paraId="1AD7DD3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15.01</w:t>
                  </w:r>
                </w:p>
              </w:tc>
              <w:tc>
                <w:tcPr>
                  <w:tcW w:w="261" w:type="pct"/>
                  <w:vAlign w:val="center"/>
                </w:tcPr>
                <w:p w14:paraId="7C4B15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1DA75A4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2F3677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2FE854B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23AEDF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395" w:type="pct"/>
                  <w:vAlign w:val="center"/>
                </w:tcPr>
                <w:p w14:paraId="7006B93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1309FCF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A72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5E6BBFE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c>
              <w:tc>
                <w:tcPr>
                  <w:tcW w:w="228" w:type="pct"/>
                  <w:vMerge w:val="restart"/>
                  <w:vAlign w:val="center"/>
                </w:tcPr>
                <w:p w14:paraId="756F69A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液态水溶肥生产车间</w:t>
                  </w:r>
                </w:p>
              </w:tc>
              <w:tc>
                <w:tcPr>
                  <w:tcW w:w="355" w:type="pct"/>
                  <w:vAlign w:val="center"/>
                </w:tcPr>
                <w:p w14:paraId="6DB2D8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污水潜水泵</w:t>
                  </w:r>
                </w:p>
              </w:tc>
              <w:tc>
                <w:tcPr>
                  <w:tcW w:w="394" w:type="pct"/>
                  <w:vAlign w:val="center"/>
                </w:tcPr>
                <w:p w14:paraId="3C5796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07EC6E4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926908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51.64</w:t>
                  </w:r>
                </w:p>
              </w:tc>
              <w:tc>
                <w:tcPr>
                  <w:tcW w:w="443" w:type="pct"/>
                  <w:vAlign w:val="center"/>
                </w:tcPr>
                <w:p w14:paraId="7F2668A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58.68</w:t>
                  </w:r>
                </w:p>
              </w:tc>
              <w:tc>
                <w:tcPr>
                  <w:tcW w:w="261" w:type="pct"/>
                  <w:vAlign w:val="center"/>
                </w:tcPr>
                <w:p w14:paraId="5A49137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52184DD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14206CE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71.91</w:t>
                  </w:r>
                </w:p>
              </w:tc>
              <w:tc>
                <w:tcPr>
                  <w:tcW w:w="331" w:type="pct"/>
                  <w:vAlign w:val="center"/>
                </w:tcPr>
                <w:p w14:paraId="69165D5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2C3A8F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D3A332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56.91</w:t>
                  </w:r>
                </w:p>
              </w:tc>
              <w:tc>
                <w:tcPr>
                  <w:tcW w:w="257" w:type="pct"/>
                  <w:vAlign w:val="center"/>
                </w:tcPr>
                <w:p w14:paraId="4090562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5BF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1AC173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w:t>
                  </w:r>
                </w:p>
              </w:tc>
              <w:tc>
                <w:tcPr>
                  <w:tcW w:w="228" w:type="pct"/>
                  <w:vMerge w:val="continue"/>
                  <w:vAlign w:val="center"/>
                </w:tcPr>
                <w:p w14:paraId="4519FD3A">
                  <w:pPr>
                    <w:jc w:val="center"/>
                    <w:rPr>
                      <w:color w:val="000000" w:themeColor="text1"/>
                      <w:sz w:val="18"/>
                      <w:szCs w:val="18"/>
                      <w14:textFill>
                        <w14:solidFill>
                          <w14:schemeClr w14:val="tx1"/>
                        </w14:solidFill>
                      </w14:textFill>
                    </w:rPr>
                  </w:pPr>
                </w:p>
              </w:tc>
              <w:tc>
                <w:tcPr>
                  <w:tcW w:w="355" w:type="pct"/>
                  <w:vAlign w:val="center"/>
                </w:tcPr>
                <w:p w14:paraId="6A1F44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卧式多级离心泵</w:t>
                  </w:r>
                </w:p>
              </w:tc>
              <w:tc>
                <w:tcPr>
                  <w:tcW w:w="394" w:type="pct"/>
                  <w:vAlign w:val="center"/>
                </w:tcPr>
                <w:p w14:paraId="7F2A6BA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7FD6C2B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01FBEB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54.86</w:t>
                  </w:r>
                </w:p>
              </w:tc>
              <w:tc>
                <w:tcPr>
                  <w:tcW w:w="443" w:type="pct"/>
                  <w:vAlign w:val="center"/>
                </w:tcPr>
                <w:p w14:paraId="1282625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56.84</w:t>
                  </w:r>
                </w:p>
              </w:tc>
              <w:tc>
                <w:tcPr>
                  <w:tcW w:w="261" w:type="pct"/>
                  <w:vAlign w:val="center"/>
                </w:tcPr>
                <w:p w14:paraId="7A894B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E721F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13m</w:t>
                  </w:r>
                </w:p>
              </w:tc>
              <w:tc>
                <w:tcPr>
                  <w:tcW w:w="356" w:type="pct"/>
                  <w:vAlign w:val="center"/>
                </w:tcPr>
                <w:p w14:paraId="24491A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67.72</w:t>
                  </w:r>
                </w:p>
              </w:tc>
              <w:tc>
                <w:tcPr>
                  <w:tcW w:w="331" w:type="pct"/>
                  <w:vAlign w:val="center"/>
                </w:tcPr>
                <w:p w14:paraId="582786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0CC218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D9D5C3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52.72</w:t>
                  </w:r>
                </w:p>
              </w:tc>
              <w:tc>
                <w:tcPr>
                  <w:tcW w:w="257" w:type="pct"/>
                  <w:vAlign w:val="center"/>
                </w:tcPr>
                <w:p w14:paraId="5DE1751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93C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2BFF70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w:t>
                  </w:r>
                </w:p>
              </w:tc>
              <w:tc>
                <w:tcPr>
                  <w:tcW w:w="228" w:type="pct"/>
                  <w:vMerge w:val="continue"/>
                  <w:vAlign w:val="center"/>
                </w:tcPr>
                <w:p w14:paraId="5A9A0113">
                  <w:pPr>
                    <w:jc w:val="center"/>
                    <w:rPr>
                      <w:color w:val="000000" w:themeColor="text1"/>
                      <w:sz w:val="18"/>
                      <w:szCs w:val="18"/>
                      <w14:textFill>
                        <w14:solidFill>
                          <w14:schemeClr w14:val="tx1"/>
                        </w14:solidFill>
                      </w14:textFill>
                    </w:rPr>
                  </w:pPr>
                </w:p>
              </w:tc>
              <w:tc>
                <w:tcPr>
                  <w:tcW w:w="355" w:type="pct"/>
                  <w:vAlign w:val="center"/>
                </w:tcPr>
                <w:p w14:paraId="3113AF9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灌装机</w:t>
                  </w:r>
                </w:p>
              </w:tc>
              <w:tc>
                <w:tcPr>
                  <w:tcW w:w="394" w:type="pct"/>
                  <w:vAlign w:val="center"/>
                </w:tcPr>
                <w:p w14:paraId="5BAD1EC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032F890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470A2C5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77.5</w:t>
                  </w:r>
                </w:p>
              </w:tc>
              <w:tc>
                <w:tcPr>
                  <w:tcW w:w="443" w:type="pct"/>
                  <w:vAlign w:val="center"/>
                </w:tcPr>
                <w:p w14:paraId="6023CA3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84.38</w:t>
                  </w:r>
                </w:p>
              </w:tc>
              <w:tc>
                <w:tcPr>
                  <w:tcW w:w="261" w:type="pct"/>
                  <w:vAlign w:val="center"/>
                </w:tcPr>
                <w:p w14:paraId="0DAD95A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C15903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36D948F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56.48</w:t>
                  </w:r>
                </w:p>
              </w:tc>
              <w:tc>
                <w:tcPr>
                  <w:tcW w:w="331" w:type="pct"/>
                  <w:vAlign w:val="center"/>
                </w:tcPr>
                <w:p w14:paraId="19A4615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02B80EC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31216B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41.48</w:t>
                  </w:r>
                </w:p>
              </w:tc>
              <w:tc>
                <w:tcPr>
                  <w:tcW w:w="257" w:type="pct"/>
                  <w:vAlign w:val="center"/>
                </w:tcPr>
                <w:p w14:paraId="640A81E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7F5A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772901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w:t>
                  </w:r>
                </w:p>
              </w:tc>
              <w:tc>
                <w:tcPr>
                  <w:tcW w:w="228" w:type="pct"/>
                  <w:vMerge w:val="continue"/>
                  <w:vAlign w:val="center"/>
                </w:tcPr>
                <w:p w14:paraId="778BBC52">
                  <w:pPr>
                    <w:jc w:val="center"/>
                    <w:rPr>
                      <w:color w:val="000000" w:themeColor="text1"/>
                      <w:sz w:val="18"/>
                      <w:szCs w:val="18"/>
                      <w14:textFill>
                        <w14:solidFill>
                          <w14:schemeClr w14:val="tx1"/>
                        </w14:solidFill>
                      </w14:textFill>
                    </w:rPr>
                  </w:pPr>
                </w:p>
              </w:tc>
              <w:tc>
                <w:tcPr>
                  <w:tcW w:w="355" w:type="pct"/>
                  <w:vAlign w:val="center"/>
                </w:tcPr>
                <w:p w14:paraId="1597600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搅拌罐</w:t>
                  </w:r>
                </w:p>
              </w:tc>
              <w:tc>
                <w:tcPr>
                  <w:tcW w:w="394" w:type="pct"/>
                  <w:vAlign w:val="center"/>
                </w:tcPr>
                <w:p w14:paraId="2B98FBE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2FE1373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771898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73.81</w:t>
                  </w:r>
                </w:p>
              </w:tc>
              <w:tc>
                <w:tcPr>
                  <w:tcW w:w="443" w:type="pct"/>
                  <w:vAlign w:val="center"/>
                </w:tcPr>
                <w:p w14:paraId="150EF4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80.69</w:t>
                  </w:r>
                </w:p>
              </w:tc>
              <w:tc>
                <w:tcPr>
                  <w:tcW w:w="261" w:type="pct"/>
                  <w:vAlign w:val="center"/>
                </w:tcPr>
                <w:p w14:paraId="1F4A43F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E1302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15m</w:t>
                  </w:r>
                </w:p>
              </w:tc>
              <w:tc>
                <w:tcPr>
                  <w:tcW w:w="356" w:type="pct"/>
                  <w:vAlign w:val="center"/>
                </w:tcPr>
                <w:p w14:paraId="1CCF6AB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61.48</w:t>
                  </w:r>
                </w:p>
              </w:tc>
              <w:tc>
                <w:tcPr>
                  <w:tcW w:w="331" w:type="pct"/>
                  <w:vAlign w:val="center"/>
                </w:tcPr>
                <w:p w14:paraId="3F7D3E0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FB0FB7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678189A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46.48</w:t>
                  </w:r>
                </w:p>
              </w:tc>
              <w:tc>
                <w:tcPr>
                  <w:tcW w:w="257" w:type="pct"/>
                  <w:vAlign w:val="center"/>
                </w:tcPr>
                <w:p w14:paraId="339F31B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2873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4D111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24</w:t>
                  </w:r>
                </w:p>
              </w:tc>
              <w:tc>
                <w:tcPr>
                  <w:tcW w:w="228" w:type="pct"/>
                  <w:vMerge w:val="restart"/>
                  <w:vAlign w:val="center"/>
                </w:tcPr>
                <w:p w14:paraId="3471A3C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固态水溶肥生产车间</w:t>
                  </w:r>
                </w:p>
              </w:tc>
              <w:tc>
                <w:tcPr>
                  <w:tcW w:w="355" w:type="pct"/>
                  <w:vAlign w:val="center"/>
                </w:tcPr>
                <w:p w14:paraId="5A006C8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立式粉碎机</w:t>
                  </w:r>
                </w:p>
              </w:tc>
              <w:tc>
                <w:tcPr>
                  <w:tcW w:w="394" w:type="pct"/>
                  <w:vAlign w:val="center"/>
                </w:tcPr>
                <w:p w14:paraId="787EB4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4C2473C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E2E4F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82.92</w:t>
                  </w:r>
                </w:p>
              </w:tc>
              <w:tc>
                <w:tcPr>
                  <w:tcW w:w="443" w:type="pct"/>
                  <w:vAlign w:val="center"/>
                </w:tcPr>
                <w:p w14:paraId="7A45A03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80.44</w:t>
                  </w:r>
                </w:p>
              </w:tc>
              <w:tc>
                <w:tcPr>
                  <w:tcW w:w="261" w:type="pct"/>
                  <w:vAlign w:val="center"/>
                </w:tcPr>
                <w:p w14:paraId="47C3721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18" w:type="pct"/>
                  <w:vAlign w:val="center"/>
                </w:tcPr>
                <w:p w14:paraId="423780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356" w:type="pct"/>
                  <w:vAlign w:val="center"/>
                </w:tcPr>
                <w:p w14:paraId="5D580FB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w:t>
                  </w:r>
                </w:p>
              </w:tc>
              <w:tc>
                <w:tcPr>
                  <w:tcW w:w="331" w:type="pct"/>
                  <w:vAlign w:val="center"/>
                </w:tcPr>
                <w:p w14:paraId="319875E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57A2873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5FFF8D4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257" w:type="pct"/>
                  <w:vAlign w:val="center"/>
                </w:tcPr>
                <w:p w14:paraId="6B12377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51A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ABEB38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25</w:t>
                  </w:r>
                </w:p>
              </w:tc>
              <w:tc>
                <w:tcPr>
                  <w:tcW w:w="228" w:type="pct"/>
                  <w:vMerge w:val="continue"/>
                  <w:vAlign w:val="center"/>
                </w:tcPr>
                <w:p w14:paraId="6CFA7E1A">
                  <w:pPr>
                    <w:jc w:val="center"/>
                    <w:rPr>
                      <w:color w:val="000000" w:themeColor="text1"/>
                      <w:sz w:val="18"/>
                      <w:szCs w:val="18"/>
                      <w14:textFill>
                        <w14:solidFill>
                          <w14:schemeClr w14:val="tx1"/>
                        </w14:solidFill>
                      </w14:textFill>
                    </w:rPr>
                  </w:pPr>
                </w:p>
              </w:tc>
              <w:tc>
                <w:tcPr>
                  <w:tcW w:w="355" w:type="pct"/>
                  <w:vAlign w:val="center"/>
                </w:tcPr>
                <w:p w14:paraId="25E2EC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筛分机</w:t>
                  </w:r>
                </w:p>
              </w:tc>
              <w:tc>
                <w:tcPr>
                  <w:tcW w:w="394" w:type="pct"/>
                  <w:vAlign w:val="center"/>
                </w:tcPr>
                <w:p w14:paraId="1F1F13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5FA4CF0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3524B1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-83.59</w:t>
                  </w:r>
                </w:p>
              </w:tc>
              <w:tc>
                <w:tcPr>
                  <w:tcW w:w="443" w:type="pct"/>
                  <w:vAlign w:val="center"/>
                </w:tcPr>
                <w:p w14:paraId="0B17C3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-50.29</w:t>
                  </w:r>
                </w:p>
              </w:tc>
              <w:tc>
                <w:tcPr>
                  <w:tcW w:w="261" w:type="pct"/>
                  <w:vAlign w:val="center"/>
                </w:tcPr>
                <w:p w14:paraId="5ED7F3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36199C4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223B127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65.91</w:t>
                  </w:r>
                </w:p>
              </w:tc>
              <w:tc>
                <w:tcPr>
                  <w:tcW w:w="331" w:type="pct"/>
                  <w:vAlign w:val="center"/>
                </w:tcPr>
                <w:p w14:paraId="0DB683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3317B6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93CF7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50.91</w:t>
                  </w:r>
                </w:p>
              </w:tc>
              <w:tc>
                <w:tcPr>
                  <w:tcW w:w="257" w:type="pct"/>
                  <w:vAlign w:val="center"/>
                </w:tcPr>
                <w:p w14:paraId="320D42C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DF1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6A5BA7C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w:t>
                  </w:r>
                </w:p>
              </w:tc>
              <w:tc>
                <w:tcPr>
                  <w:tcW w:w="228" w:type="pct"/>
                  <w:vMerge w:val="continue"/>
                  <w:vAlign w:val="center"/>
                </w:tcPr>
                <w:p w14:paraId="2738B09C">
                  <w:pPr>
                    <w:jc w:val="center"/>
                    <w:rPr>
                      <w:color w:val="000000" w:themeColor="text1"/>
                      <w:sz w:val="18"/>
                      <w:szCs w:val="18"/>
                      <w14:textFill>
                        <w14:solidFill>
                          <w14:schemeClr w14:val="tx1"/>
                        </w14:solidFill>
                      </w14:textFill>
                    </w:rPr>
                  </w:pPr>
                </w:p>
              </w:tc>
              <w:tc>
                <w:tcPr>
                  <w:tcW w:w="355" w:type="pct"/>
                  <w:vAlign w:val="center"/>
                </w:tcPr>
                <w:p w14:paraId="3C9A5F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双轴搅拌机1</w:t>
                  </w:r>
                </w:p>
              </w:tc>
              <w:tc>
                <w:tcPr>
                  <w:tcW w:w="394" w:type="pct"/>
                  <w:vAlign w:val="center"/>
                </w:tcPr>
                <w:p w14:paraId="12BFED9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094A306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BA9F5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-108.34</w:t>
                  </w:r>
                </w:p>
              </w:tc>
              <w:tc>
                <w:tcPr>
                  <w:tcW w:w="443" w:type="pct"/>
                  <w:vAlign w:val="center"/>
                </w:tcPr>
                <w:p w14:paraId="750DDFA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-101.11</w:t>
                  </w:r>
                </w:p>
              </w:tc>
              <w:tc>
                <w:tcPr>
                  <w:tcW w:w="261" w:type="pct"/>
                  <w:vAlign w:val="center"/>
                </w:tcPr>
                <w:p w14:paraId="085963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18DB5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9m</w:t>
                  </w:r>
                </w:p>
              </w:tc>
              <w:tc>
                <w:tcPr>
                  <w:tcW w:w="356" w:type="pct"/>
                  <w:vAlign w:val="center"/>
                </w:tcPr>
                <w:p w14:paraId="5DD579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65.91</w:t>
                  </w:r>
                </w:p>
              </w:tc>
              <w:tc>
                <w:tcPr>
                  <w:tcW w:w="331" w:type="pct"/>
                  <w:vAlign w:val="center"/>
                </w:tcPr>
                <w:p w14:paraId="6D80AE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1D1F24C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42913D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50.91</w:t>
                  </w:r>
                </w:p>
              </w:tc>
              <w:tc>
                <w:tcPr>
                  <w:tcW w:w="257" w:type="pct"/>
                  <w:vAlign w:val="center"/>
                </w:tcPr>
                <w:p w14:paraId="00A9804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285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74FAF8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w:t>
                  </w:r>
                </w:p>
              </w:tc>
              <w:tc>
                <w:tcPr>
                  <w:tcW w:w="228" w:type="pct"/>
                  <w:vMerge w:val="continue"/>
                  <w:vAlign w:val="center"/>
                </w:tcPr>
                <w:p w14:paraId="276F605E">
                  <w:pPr>
                    <w:jc w:val="center"/>
                    <w:rPr>
                      <w:color w:val="000000" w:themeColor="text1"/>
                      <w:sz w:val="18"/>
                      <w:szCs w:val="18"/>
                      <w14:textFill>
                        <w14:solidFill>
                          <w14:schemeClr w14:val="tx1"/>
                        </w14:solidFill>
                      </w14:textFill>
                    </w:rPr>
                  </w:pPr>
                </w:p>
              </w:tc>
              <w:tc>
                <w:tcPr>
                  <w:tcW w:w="355" w:type="pct"/>
                  <w:vAlign w:val="center"/>
                </w:tcPr>
                <w:p w14:paraId="49C8F2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双轴搅拌机2</w:t>
                  </w:r>
                </w:p>
              </w:tc>
              <w:tc>
                <w:tcPr>
                  <w:tcW w:w="394" w:type="pct"/>
                  <w:vAlign w:val="center"/>
                </w:tcPr>
                <w:p w14:paraId="1E7DBA9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w:t>
                  </w:r>
                </w:p>
              </w:tc>
              <w:tc>
                <w:tcPr>
                  <w:tcW w:w="525" w:type="pct"/>
                  <w:vAlign w:val="center"/>
                </w:tcPr>
                <w:p w14:paraId="3BBE32B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131586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-85.96</w:t>
                  </w:r>
                </w:p>
              </w:tc>
              <w:tc>
                <w:tcPr>
                  <w:tcW w:w="443" w:type="pct"/>
                  <w:vAlign w:val="center"/>
                </w:tcPr>
                <w:p w14:paraId="149184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-53.19</w:t>
                  </w:r>
                </w:p>
              </w:tc>
              <w:tc>
                <w:tcPr>
                  <w:tcW w:w="261" w:type="pct"/>
                  <w:vAlign w:val="center"/>
                </w:tcPr>
                <w:p w14:paraId="3987DB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AFE6FE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8.6m</w:t>
                  </w:r>
                </w:p>
              </w:tc>
              <w:tc>
                <w:tcPr>
                  <w:tcW w:w="356" w:type="pct"/>
                  <w:vAlign w:val="center"/>
                </w:tcPr>
                <w:p w14:paraId="6A56681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66.31</w:t>
                  </w:r>
                </w:p>
              </w:tc>
              <w:tc>
                <w:tcPr>
                  <w:tcW w:w="331" w:type="pct"/>
                  <w:vAlign w:val="center"/>
                </w:tcPr>
                <w:p w14:paraId="535ECB0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D4AB5C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2020CC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51.31</w:t>
                  </w:r>
                </w:p>
              </w:tc>
              <w:tc>
                <w:tcPr>
                  <w:tcW w:w="257" w:type="pct"/>
                  <w:vAlign w:val="center"/>
                </w:tcPr>
                <w:p w14:paraId="00294BA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054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C6DB7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28</w:t>
                  </w:r>
                </w:p>
              </w:tc>
              <w:tc>
                <w:tcPr>
                  <w:tcW w:w="228" w:type="pct"/>
                  <w:vMerge w:val="continue"/>
                  <w:vAlign w:val="center"/>
                </w:tcPr>
                <w:p w14:paraId="14218D76">
                  <w:pPr>
                    <w:jc w:val="center"/>
                    <w:rPr>
                      <w:color w:val="000000" w:themeColor="text1"/>
                      <w:sz w:val="18"/>
                      <w:szCs w:val="18"/>
                      <w14:textFill>
                        <w14:solidFill>
                          <w14:schemeClr w14:val="tx1"/>
                        </w14:solidFill>
                      </w14:textFill>
                    </w:rPr>
                  </w:pPr>
                </w:p>
              </w:tc>
              <w:tc>
                <w:tcPr>
                  <w:tcW w:w="355" w:type="pct"/>
                  <w:vAlign w:val="center"/>
                </w:tcPr>
                <w:p w14:paraId="017005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扑粉机1</w:t>
                  </w:r>
                </w:p>
              </w:tc>
              <w:tc>
                <w:tcPr>
                  <w:tcW w:w="394" w:type="pct"/>
                  <w:vAlign w:val="center"/>
                </w:tcPr>
                <w:p w14:paraId="5DD65A0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33D96C7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0A6286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-108.85</w:t>
                  </w:r>
                </w:p>
              </w:tc>
              <w:tc>
                <w:tcPr>
                  <w:tcW w:w="443" w:type="pct"/>
                  <w:vAlign w:val="center"/>
                </w:tcPr>
                <w:p w14:paraId="700E9F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-102.75</w:t>
                  </w:r>
                </w:p>
              </w:tc>
              <w:tc>
                <w:tcPr>
                  <w:tcW w:w="261" w:type="pct"/>
                  <w:vAlign w:val="center"/>
                </w:tcPr>
                <w:p w14:paraId="17FE441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5161ED2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8.8m</w:t>
                  </w:r>
                </w:p>
              </w:tc>
              <w:tc>
                <w:tcPr>
                  <w:tcW w:w="356" w:type="pct"/>
                  <w:vAlign w:val="center"/>
                </w:tcPr>
                <w:p w14:paraId="71FD0E1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61.11</w:t>
                  </w:r>
                </w:p>
              </w:tc>
              <w:tc>
                <w:tcPr>
                  <w:tcW w:w="331" w:type="pct"/>
                  <w:vAlign w:val="center"/>
                </w:tcPr>
                <w:p w14:paraId="0A92B5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77AF999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49FFCD6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46.11</w:t>
                  </w:r>
                </w:p>
              </w:tc>
              <w:tc>
                <w:tcPr>
                  <w:tcW w:w="257" w:type="pct"/>
                  <w:vAlign w:val="center"/>
                </w:tcPr>
                <w:p w14:paraId="72F639B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3C80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01B9E91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29</w:t>
                  </w:r>
                </w:p>
              </w:tc>
              <w:tc>
                <w:tcPr>
                  <w:tcW w:w="228" w:type="pct"/>
                  <w:vMerge w:val="continue"/>
                  <w:vAlign w:val="center"/>
                </w:tcPr>
                <w:p w14:paraId="479AA763">
                  <w:pPr>
                    <w:jc w:val="center"/>
                    <w:rPr>
                      <w:color w:val="000000" w:themeColor="text1"/>
                      <w:sz w:val="18"/>
                      <w:szCs w:val="18"/>
                      <w14:textFill>
                        <w14:solidFill>
                          <w14:schemeClr w14:val="tx1"/>
                        </w14:solidFill>
                      </w14:textFill>
                    </w:rPr>
                  </w:pPr>
                </w:p>
              </w:tc>
              <w:tc>
                <w:tcPr>
                  <w:tcW w:w="355" w:type="pct"/>
                  <w:vAlign w:val="center"/>
                </w:tcPr>
                <w:p w14:paraId="3C81656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扑粉机2</w:t>
                  </w:r>
                </w:p>
              </w:tc>
              <w:tc>
                <w:tcPr>
                  <w:tcW w:w="394" w:type="pct"/>
                  <w:vAlign w:val="center"/>
                </w:tcPr>
                <w:p w14:paraId="6B0AA4C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525" w:type="pct"/>
                  <w:vAlign w:val="center"/>
                </w:tcPr>
                <w:p w14:paraId="60A76CA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23F4236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-86.35</w:t>
                  </w:r>
                </w:p>
              </w:tc>
              <w:tc>
                <w:tcPr>
                  <w:tcW w:w="443" w:type="pct"/>
                  <w:vAlign w:val="center"/>
                </w:tcPr>
                <w:p w14:paraId="6A2B55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-54.9</w:t>
                  </w:r>
                </w:p>
              </w:tc>
              <w:tc>
                <w:tcPr>
                  <w:tcW w:w="261" w:type="pct"/>
                  <w:vAlign w:val="center"/>
                </w:tcPr>
                <w:p w14:paraId="6E65417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4765834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9.5m</w:t>
                  </w:r>
                </w:p>
              </w:tc>
              <w:tc>
                <w:tcPr>
                  <w:tcW w:w="356" w:type="pct"/>
                  <w:vAlign w:val="center"/>
                </w:tcPr>
                <w:p w14:paraId="4700A8B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60.45</w:t>
                  </w:r>
                </w:p>
              </w:tc>
              <w:tc>
                <w:tcPr>
                  <w:tcW w:w="331" w:type="pct"/>
                  <w:vAlign w:val="center"/>
                </w:tcPr>
                <w:p w14:paraId="3BD2A3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2276B5E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3BA9EF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45.45</w:t>
                  </w:r>
                </w:p>
              </w:tc>
              <w:tc>
                <w:tcPr>
                  <w:tcW w:w="257" w:type="pct"/>
                  <w:vAlign w:val="center"/>
                </w:tcPr>
                <w:p w14:paraId="3E24EEA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r w14:paraId="7AA4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2ABB900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30</w:t>
                  </w:r>
                </w:p>
              </w:tc>
              <w:tc>
                <w:tcPr>
                  <w:tcW w:w="228" w:type="pct"/>
                  <w:vMerge w:val="continue"/>
                  <w:vAlign w:val="center"/>
                </w:tcPr>
                <w:p w14:paraId="6609AFA3">
                  <w:pPr>
                    <w:jc w:val="center"/>
                    <w:rPr>
                      <w:color w:val="000000" w:themeColor="text1"/>
                      <w:sz w:val="18"/>
                      <w:szCs w:val="18"/>
                      <w14:textFill>
                        <w14:solidFill>
                          <w14:schemeClr w14:val="tx1"/>
                        </w14:solidFill>
                      </w14:textFill>
                    </w:rPr>
                  </w:pPr>
                </w:p>
              </w:tc>
              <w:tc>
                <w:tcPr>
                  <w:tcW w:w="355" w:type="pct"/>
                  <w:vAlign w:val="center"/>
                </w:tcPr>
                <w:p w14:paraId="5441AC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引风机</w:t>
                  </w:r>
                </w:p>
              </w:tc>
              <w:tc>
                <w:tcPr>
                  <w:tcW w:w="394" w:type="pct"/>
                  <w:vAlign w:val="center"/>
                </w:tcPr>
                <w:p w14:paraId="713E9A2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93</w:t>
                  </w:r>
                </w:p>
              </w:tc>
              <w:tc>
                <w:tcPr>
                  <w:tcW w:w="525" w:type="pct"/>
                  <w:vAlign w:val="center"/>
                </w:tcPr>
                <w:p w14:paraId="2E327F6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5E5261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-82.91</w:t>
                  </w:r>
                </w:p>
              </w:tc>
              <w:tc>
                <w:tcPr>
                  <w:tcW w:w="443" w:type="pct"/>
                  <w:vAlign w:val="center"/>
                </w:tcPr>
                <w:p w14:paraId="089F34A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-49.18</w:t>
                  </w:r>
                </w:p>
              </w:tc>
              <w:tc>
                <w:tcPr>
                  <w:tcW w:w="261" w:type="pct"/>
                  <w:vAlign w:val="center"/>
                </w:tcPr>
                <w:p w14:paraId="799AEB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779DD3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8.2m</w:t>
                  </w:r>
                </w:p>
              </w:tc>
              <w:tc>
                <w:tcPr>
                  <w:tcW w:w="356" w:type="pct"/>
                  <w:vAlign w:val="center"/>
                </w:tcPr>
                <w:p w14:paraId="4A3E5A9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74.72</w:t>
                  </w:r>
                </w:p>
              </w:tc>
              <w:tc>
                <w:tcPr>
                  <w:tcW w:w="331" w:type="pct"/>
                  <w:vAlign w:val="center"/>
                </w:tcPr>
                <w:p w14:paraId="463D96B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昼间、夜间</w:t>
                  </w:r>
                </w:p>
              </w:tc>
              <w:tc>
                <w:tcPr>
                  <w:tcW w:w="395" w:type="pct"/>
                  <w:vAlign w:val="center"/>
                </w:tcPr>
                <w:p w14:paraId="34A6F0C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2035E0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59.72</w:t>
                  </w:r>
                </w:p>
              </w:tc>
              <w:tc>
                <w:tcPr>
                  <w:tcW w:w="257" w:type="pct"/>
                  <w:vAlign w:val="center"/>
                </w:tcPr>
                <w:p w14:paraId="60342C3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6A89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DEE109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w:t>
                  </w:r>
                </w:p>
              </w:tc>
              <w:tc>
                <w:tcPr>
                  <w:tcW w:w="228" w:type="pct"/>
                  <w:vMerge w:val="continue"/>
                  <w:vAlign w:val="center"/>
                </w:tcPr>
                <w:p w14:paraId="54E50701">
                  <w:pPr>
                    <w:jc w:val="center"/>
                    <w:rPr>
                      <w:color w:val="000000" w:themeColor="text1"/>
                      <w:sz w:val="18"/>
                      <w:szCs w:val="18"/>
                      <w14:textFill>
                        <w14:solidFill>
                          <w14:schemeClr w14:val="tx1"/>
                        </w14:solidFill>
                      </w14:textFill>
                    </w:rPr>
                  </w:pPr>
                </w:p>
              </w:tc>
              <w:tc>
                <w:tcPr>
                  <w:tcW w:w="355" w:type="pct"/>
                  <w:vAlign w:val="center"/>
                </w:tcPr>
                <w:p w14:paraId="1980643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打包机</w:t>
                  </w:r>
                </w:p>
              </w:tc>
              <w:tc>
                <w:tcPr>
                  <w:tcW w:w="394" w:type="pct"/>
                  <w:vAlign w:val="center"/>
                </w:tcPr>
                <w:p w14:paraId="5E00938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82</w:t>
                  </w:r>
                </w:p>
              </w:tc>
              <w:tc>
                <w:tcPr>
                  <w:tcW w:w="525" w:type="pct"/>
                  <w:vAlign w:val="center"/>
                </w:tcPr>
                <w:p w14:paraId="68081A0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6FA763E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-65.1</w:t>
                  </w:r>
                </w:p>
              </w:tc>
              <w:tc>
                <w:tcPr>
                  <w:tcW w:w="443" w:type="pct"/>
                  <w:vAlign w:val="center"/>
                </w:tcPr>
                <w:p w14:paraId="0E6591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-31.29</w:t>
                  </w:r>
                </w:p>
              </w:tc>
              <w:tc>
                <w:tcPr>
                  <w:tcW w:w="261" w:type="pct"/>
                  <w:vAlign w:val="center"/>
                </w:tcPr>
                <w:p w14:paraId="2AD67E0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18" w:type="pct"/>
                  <w:vAlign w:val="center"/>
                </w:tcPr>
                <w:p w14:paraId="0A7175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8.7m</w:t>
                  </w:r>
                </w:p>
              </w:tc>
              <w:tc>
                <w:tcPr>
                  <w:tcW w:w="356" w:type="pct"/>
                  <w:vAlign w:val="center"/>
                </w:tcPr>
                <w:p w14:paraId="29BE8F8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63.21</w:t>
                  </w:r>
                </w:p>
              </w:tc>
              <w:tc>
                <w:tcPr>
                  <w:tcW w:w="331" w:type="pct"/>
                  <w:vAlign w:val="center"/>
                </w:tcPr>
                <w:p w14:paraId="2BF873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77D3C7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A6A60C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48.21</w:t>
                  </w:r>
                </w:p>
              </w:tc>
              <w:tc>
                <w:tcPr>
                  <w:tcW w:w="257" w:type="pct"/>
                  <w:vAlign w:val="center"/>
                </w:tcPr>
                <w:p w14:paraId="745C067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1m</w:t>
                  </w:r>
                </w:p>
              </w:tc>
            </w:tr>
            <w:tr w14:paraId="43AE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14:paraId="4664348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w:t>
                  </w:r>
                </w:p>
              </w:tc>
              <w:tc>
                <w:tcPr>
                  <w:tcW w:w="228" w:type="pct"/>
                  <w:vMerge w:val="continue"/>
                  <w:vAlign w:val="center"/>
                </w:tcPr>
                <w:p w14:paraId="7E3C15AB">
                  <w:pPr>
                    <w:jc w:val="center"/>
                    <w:rPr>
                      <w:color w:val="000000" w:themeColor="text1"/>
                      <w:sz w:val="18"/>
                      <w:szCs w:val="18"/>
                      <w14:textFill>
                        <w14:solidFill>
                          <w14:schemeClr w14:val="tx1"/>
                        </w14:solidFill>
                      </w14:textFill>
                    </w:rPr>
                  </w:pPr>
                </w:p>
              </w:tc>
              <w:tc>
                <w:tcPr>
                  <w:tcW w:w="355" w:type="pct"/>
                  <w:vAlign w:val="center"/>
                </w:tcPr>
                <w:p w14:paraId="52C29B5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污水泵</w:t>
                  </w:r>
                </w:p>
              </w:tc>
              <w:tc>
                <w:tcPr>
                  <w:tcW w:w="394" w:type="pct"/>
                  <w:vAlign w:val="center"/>
                </w:tcPr>
                <w:p w14:paraId="43A61DE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w:t>
                  </w:r>
                </w:p>
              </w:tc>
              <w:tc>
                <w:tcPr>
                  <w:tcW w:w="525" w:type="pct"/>
                  <w:vAlign w:val="center"/>
                </w:tcPr>
                <w:p w14:paraId="30B4DC2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建筑隔声</w:t>
                  </w:r>
                </w:p>
              </w:tc>
              <w:tc>
                <w:tcPr>
                  <w:tcW w:w="408" w:type="pct"/>
                  <w:vAlign w:val="center"/>
                </w:tcPr>
                <w:p w14:paraId="4B98FA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-89.41</w:t>
                  </w:r>
                </w:p>
              </w:tc>
              <w:tc>
                <w:tcPr>
                  <w:tcW w:w="443" w:type="pct"/>
                  <w:vAlign w:val="center"/>
                </w:tcPr>
                <w:p w14:paraId="7B53E7E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-47.69</w:t>
                  </w:r>
                </w:p>
              </w:tc>
              <w:tc>
                <w:tcPr>
                  <w:tcW w:w="261" w:type="pct"/>
                  <w:vAlign w:val="center"/>
                </w:tcPr>
                <w:p w14:paraId="38A9912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18" w:type="pct"/>
                  <w:vAlign w:val="center"/>
                </w:tcPr>
                <w:p w14:paraId="05E59E1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8m</w:t>
                  </w:r>
                </w:p>
              </w:tc>
              <w:tc>
                <w:tcPr>
                  <w:tcW w:w="356" w:type="pct"/>
                  <w:vAlign w:val="center"/>
                </w:tcPr>
                <w:p w14:paraId="553E0F3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71.94</w:t>
                  </w:r>
                </w:p>
              </w:tc>
              <w:tc>
                <w:tcPr>
                  <w:tcW w:w="331" w:type="pct"/>
                  <w:vAlign w:val="center"/>
                </w:tcPr>
                <w:p w14:paraId="584C08C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昼间</w:t>
                  </w:r>
                </w:p>
              </w:tc>
              <w:tc>
                <w:tcPr>
                  <w:tcW w:w="395" w:type="pct"/>
                  <w:vAlign w:val="center"/>
                </w:tcPr>
                <w:p w14:paraId="5282BC0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688" w:type="dxa"/>
                  <w:vAlign w:val="center"/>
                </w:tcPr>
                <w:p w14:paraId="76035AB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56.94</w:t>
                  </w:r>
                </w:p>
              </w:tc>
              <w:tc>
                <w:tcPr>
                  <w:tcW w:w="257" w:type="pct"/>
                  <w:vAlign w:val="center"/>
                </w:tcPr>
                <w:p w14:paraId="4F8A58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1m</w:t>
                  </w:r>
                </w:p>
              </w:tc>
            </w:tr>
          </w:tbl>
          <w:p w14:paraId="1212548A">
            <w:pPr>
              <w:spacing w:before="120" w:beforeLines="50"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2、声环境影响预测</w:t>
            </w:r>
          </w:p>
          <w:p w14:paraId="57A9690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（1）预测模型</w:t>
            </w:r>
          </w:p>
          <w:p w14:paraId="3A8828C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室内声源采用等效室外声源声功率级法进行计算。设靠近开口处（或窗户）室内、室外某倍频带的声压级或A声级分别为</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和</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color w:val="000000" w:themeColor="text1"/>
                <w:kern w:val="0"/>
                <w:sz w:val="24"/>
                <w14:textFill>
                  <w14:solidFill>
                    <w14:schemeClr w14:val="tx1"/>
                  </w14:solidFill>
                </w14:textFill>
              </w:rPr>
              <w:t>，则室外的倍频带声压级计算公式：</w:t>
            </w:r>
          </w:p>
          <w:p w14:paraId="3089F385">
            <w:pPr>
              <w:spacing w:line="360" w:lineRule="auto"/>
              <w:jc w:val="center"/>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w:t>
            </w:r>
            <w:r>
              <w:rPr>
                <w:i/>
                <w:iCs/>
                <w:color w:val="000000" w:themeColor="text1"/>
                <w:kern w:val="0"/>
                <w:sz w:val="24"/>
                <w14:textFill>
                  <w14:solidFill>
                    <w14:schemeClr w14:val="tx1"/>
                  </w14:solidFill>
                </w14:textFill>
              </w:rPr>
              <w:t>TL</w:t>
            </w:r>
            <w:r>
              <w:rPr>
                <w:color w:val="000000" w:themeColor="text1"/>
                <w:kern w:val="0"/>
                <w:sz w:val="24"/>
                <w14:textFill>
                  <w14:solidFill>
                    <w14:schemeClr w14:val="tx1"/>
                  </w14:solidFill>
                </w14:textFill>
              </w:rPr>
              <w:t>+6）</w:t>
            </w:r>
          </w:p>
          <w:p w14:paraId="01C8FB3F">
            <w:pPr>
              <w:spacing w:line="360" w:lineRule="auto"/>
              <w:ind w:firstLine="240" w:firstLineChars="1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p1</w:t>
            </w:r>
            <w:r>
              <w:rPr>
                <w:color w:val="000000" w:themeColor="text1"/>
                <w:kern w:val="0"/>
                <w:sz w:val="24"/>
                <w14:textFill>
                  <w14:solidFill>
                    <w14:schemeClr w14:val="tx1"/>
                  </w14:solidFill>
                </w14:textFill>
              </w:rPr>
              <w:t>——靠近开口处（或窗户）室内某倍频带的声压级或A声级，dB；</w:t>
            </w:r>
          </w:p>
          <w:p w14:paraId="2C7D5A75">
            <w:pPr>
              <w:spacing w:line="360" w:lineRule="auto"/>
              <w:ind w:firstLine="960" w:firstLineChars="400"/>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p2</w:t>
            </w:r>
            <w:r>
              <w:rPr>
                <w:color w:val="000000" w:themeColor="text1"/>
                <w:kern w:val="0"/>
                <w:sz w:val="24"/>
                <w14:textFill>
                  <w14:solidFill>
                    <w14:schemeClr w14:val="tx1"/>
                  </w14:solidFill>
                </w14:textFill>
              </w:rPr>
              <w:t>——靠近开口处（或窗户）室外某倍频带的声压级或A声级，dB；</w:t>
            </w:r>
          </w:p>
          <w:p w14:paraId="623DDEE0">
            <w:pPr>
              <w:spacing w:line="360" w:lineRule="auto"/>
              <w:ind w:firstLine="960" w:firstLineChars="400"/>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TL</w:t>
            </w:r>
            <w:r>
              <w:rPr>
                <w:color w:val="000000" w:themeColor="text1"/>
                <w:kern w:val="0"/>
                <w:sz w:val="24"/>
                <w14:textFill>
                  <w14:solidFill>
                    <w14:schemeClr w14:val="tx1"/>
                  </w14:solidFill>
                </w14:textFill>
              </w:rPr>
              <w:t>——隔墙（或窗户）倍频带或A声级的隔声量。</w:t>
            </w:r>
          </w:p>
          <w:p w14:paraId="6A1B2467">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单个室外点声源在预测点产生的声级计算模式采用《环境影响评价技术导则 声环境》（HJ2.4-2021）中所推荐的点声源几何发散衰减的基本公式，计算如下：</w:t>
            </w:r>
          </w:p>
          <w:p w14:paraId="36F9B7C5">
            <w:pPr>
              <w:spacing w:line="360" w:lineRule="auto"/>
              <w:jc w:val="center"/>
              <w:rPr>
                <w:color w:val="000000" w:themeColor="text1"/>
                <w:kern w:val="0"/>
                <w:sz w:val="24"/>
                <w:szCs w:val="20"/>
                <w14:textFill>
                  <w14:solidFill>
                    <w14:schemeClr w14:val="tx1"/>
                  </w14:solidFill>
                </w14:textFill>
              </w:rPr>
            </w:pPr>
            <w:r>
              <w:rPr>
                <w:i/>
                <w:iCs/>
                <w:color w:val="000000" w:themeColor="text1"/>
                <w:kern w:val="0"/>
                <w:sz w:val="23"/>
                <w:szCs w:val="23"/>
                <w14:textFill>
                  <w14:solidFill>
                    <w14:schemeClr w14:val="tx1"/>
                  </w14:solidFill>
                </w14:textFill>
              </w:rPr>
              <w:t>L</w:t>
            </w:r>
            <w:r>
              <w:rPr>
                <w:color w:val="000000" w:themeColor="text1"/>
                <w:kern w:val="0"/>
                <w:sz w:val="23"/>
                <w:szCs w:val="23"/>
                <w14:textFill>
                  <w14:solidFill>
                    <w14:schemeClr w14:val="tx1"/>
                  </w14:solidFill>
                </w14:textFill>
              </w:rPr>
              <w:t>p（r）</w:t>
            </w:r>
            <w:r>
              <w:rPr>
                <w:rFonts w:hint="eastAsia"/>
                <w:color w:val="000000" w:themeColor="text1"/>
                <w:kern w:val="0"/>
                <w:sz w:val="23"/>
                <w:szCs w:val="23"/>
                <w14:textFill>
                  <w14:solidFill>
                    <w14:schemeClr w14:val="tx1"/>
                  </w14:solidFill>
                </w14:textFill>
              </w:rPr>
              <w:t>=</w:t>
            </w:r>
            <w:r>
              <w:rPr>
                <w:i/>
                <w:iCs/>
                <w:color w:val="000000" w:themeColor="text1"/>
                <w:kern w:val="0"/>
                <w:sz w:val="23"/>
                <w:szCs w:val="23"/>
                <w14:textFill>
                  <w14:solidFill>
                    <w14:schemeClr w14:val="tx1"/>
                  </w14:solidFill>
                </w14:textFill>
              </w:rPr>
              <w:t>L</w:t>
            </w:r>
            <w:r>
              <w:rPr>
                <w:color w:val="000000" w:themeColor="text1"/>
                <w:kern w:val="0"/>
                <w:sz w:val="23"/>
                <w:szCs w:val="23"/>
                <w14:textFill>
                  <w14:solidFill>
                    <w14:schemeClr w14:val="tx1"/>
                  </w14:solidFill>
                </w14:textFill>
              </w:rPr>
              <w:t>p（r</w:t>
            </w:r>
            <w:r>
              <w:rPr>
                <w:color w:val="000000" w:themeColor="text1"/>
                <w:kern w:val="0"/>
                <w:sz w:val="13"/>
                <w:szCs w:val="13"/>
                <w14:textFill>
                  <w14:solidFill>
                    <w14:schemeClr w14:val="tx1"/>
                  </w14:solidFill>
                </w14:textFill>
              </w:rPr>
              <w:t>0</w:t>
            </w:r>
            <w:r>
              <w:rPr>
                <w:color w:val="000000" w:themeColor="text1"/>
                <w:kern w:val="0"/>
                <w:sz w:val="23"/>
                <w:szCs w:val="23"/>
                <w14:textFill>
                  <w14:solidFill>
                    <w14:schemeClr w14:val="tx1"/>
                  </w14:solidFill>
                </w14:textFill>
              </w:rPr>
              <w:t>）</w:t>
            </w:r>
            <w:r>
              <w:rPr>
                <w:rFonts w:hint="eastAsia"/>
                <w:color w:val="000000" w:themeColor="text1"/>
                <w:kern w:val="0"/>
                <w:sz w:val="23"/>
                <w:szCs w:val="23"/>
                <w14:textFill>
                  <w14:solidFill>
                    <w14:schemeClr w14:val="tx1"/>
                  </w14:solidFill>
                </w14:textFill>
              </w:rPr>
              <w:t>—</w:t>
            </w:r>
            <w:r>
              <w:rPr>
                <w:color w:val="000000" w:themeColor="text1"/>
                <w:kern w:val="0"/>
                <w:sz w:val="23"/>
                <w:szCs w:val="23"/>
                <w14:textFill>
                  <w14:solidFill>
                    <w14:schemeClr w14:val="tx1"/>
                  </w14:solidFill>
                </w14:textFill>
              </w:rPr>
              <w:t>20lg（r/r</w:t>
            </w:r>
            <w:r>
              <w:rPr>
                <w:color w:val="000000" w:themeColor="text1"/>
                <w:kern w:val="0"/>
                <w:sz w:val="13"/>
                <w:szCs w:val="13"/>
                <w14:textFill>
                  <w14:solidFill>
                    <w14:schemeClr w14:val="tx1"/>
                  </w14:solidFill>
                </w14:textFill>
              </w:rPr>
              <w:t>0</w:t>
            </w:r>
            <w:r>
              <w:rPr>
                <w:color w:val="000000" w:themeColor="text1"/>
                <w:kern w:val="0"/>
                <w:sz w:val="23"/>
                <w:szCs w:val="23"/>
                <w14:textFill>
                  <w14:solidFill>
                    <w14:schemeClr w14:val="tx1"/>
                  </w14:solidFill>
                </w14:textFill>
              </w:rPr>
              <w:t>）</w:t>
            </w:r>
          </w:p>
          <w:p w14:paraId="167E1854">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式中：Lp（r）——预测点处声压级，dB；</w:t>
            </w:r>
          </w:p>
          <w:p w14:paraId="560547DF">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Lp（r</w:t>
            </w:r>
            <w:r>
              <w:rPr>
                <w:color w:val="000000" w:themeColor="text1"/>
                <w:kern w:val="0"/>
                <w:sz w:val="24"/>
                <w:szCs w:val="20"/>
                <w:vertAlign w:val="subscript"/>
                <w14:textFill>
                  <w14:solidFill>
                    <w14:schemeClr w14:val="tx1"/>
                  </w14:solidFill>
                </w14:textFill>
              </w:rPr>
              <w:t>0</w:t>
            </w:r>
            <w:r>
              <w:rPr>
                <w:color w:val="000000" w:themeColor="text1"/>
                <w:kern w:val="0"/>
                <w:sz w:val="24"/>
                <w:szCs w:val="20"/>
                <w14:textFill>
                  <w14:solidFill>
                    <w14:schemeClr w14:val="tx1"/>
                  </w14:solidFill>
                </w14:textFill>
              </w:rPr>
              <w:t>）——参考位置r0处的声压级，dB；</w:t>
            </w:r>
          </w:p>
          <w:p w14:paraId="2E2301FB">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r——预测点距声源的距离；</w:t>
            </w:r>
          </w:p>
          <w:p w14:paraId="4D356A91">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w:t>
            </w:r>
            <w:r>
              <w:rPr>
                <w:color w:val="000000" w:themeColor="text1"/>
                <w:kern w:val="0"/>
                <w:sz w:val="24"/>
                <w:szCs w:val="20"/>
                <w:vertAlign w:val="subscript"/>
                <w14:textFill>
                  <w14:solidFill>
                    <w14:schemeClr w14:val="tx1"/>
                  </w14:solidFill>
                </w14:textFill>
              </w:rPr>
              <w:t>0</w:t>
            </w:r>
            <w:r>
              <w:rPr>
                <w:color w:val="000000" w:themeColor="text1"/>
                <w:kern w:val="0"/>
                <w:sz w:val="24"/>
                <w:szCs w:val="20"/>
                <w14:textFill>
                  <w14:solidFill>
                    <w14:schemeClr w14:val="tx1"/>
                  </w14:solidFill>
                </w14:textFill>
              </w:rPr>
              <w:t>——参考位置距声源的距离。</w:t>
            </w:r>
          </w:p>
          <w:p w14:paraId="3E1DE137">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设第i个室外声源在预测点产生的A声级为L</w:t>
            </w:r>
            <w:r>
              <w:rPr>
                <w:color w:val="000000" w:themeColor="text1"/>
                <w:kern w:val="0"/>
                <w:sz w:val="24"/>
                <w:szCs w:val="20"/>
                <w:vertAlign w:val="subscript"/>
                <w14:textFill>
                  <w14:solidFill>
                    <w14:schemeClr w14:val="tx1"/>
                  </w14:solidFill>
                </w14:textFill>
              </w:rPr>
              <w:t>Ai</w:t>
            </w:r>
            <w:r>
              <w:rPr>
                <w:color w:val="000000" w:themeColor="text1"/>
                <w:kern w:val="0"/>
                <w:sz w:val="24"/>
                <w:szCs w:val="20"/>
                <w14:textFill>
                  <w14:solidFill>
                    <w14:schemeClr w14:val="tx1"/>
                  </w14:solidFill>
                </w14:textFill>
              </w:rPr>
              <w:t>，在T时间内该声源工作时间为t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；第j个等效室外声源在预测点产生的A声级为L</w:t>
            </w:r>
            <w:r>
              <w:rPr>
                <w:color w:val="000000" w:themeColor="text1"/>
                <w:kern w:val="0"/>
                <w:sz w:val="24"/>
                <w:szCs w:val="20"/>
                <w:vertAlign w:val="subscript"/>
                <w14:textFill>
                  <w14:solidFill>
                    <w14:schemeClr w14:val="tx1"/>
                  </w14:solidFill>
                </w14:textFill>
              </w:rPr>
              <w:t>Aj</w:t>
            </w:r>
            <w:r>
              <w:rPr>
                <w:color w:val="000000" w:themeColor="text1"/>
                <w:kern w:val="0"/>
                <w:sz w:val="24"/>
                <w:szCs w:val="20"/>
                <w14:textFill>
                  <w14:solidFill>
                    <w14:schemeClr w14:val="tx1"/>
                  </w14:solidFill>
                </w14:textFill>
              </w:rPr>
              <w:t>，在T时间内该声源工作时间为t</w:t>
            </w:r>
            <w:r>
              <w:rPr>
                <w:color w:val="000000" w:themeColor="text1"/>
                <w:kern w:val="0"/>
                <w:sz w:val="24"/>
                <w:szCs w:val="20"/>
                <w:vertAlign w:val="subscript"/>
                <w14:textFill>
                  <w14:solidFill>
                    <w14:schemeClr w14:val="tx1"/>
                  </w14:solidFill>
                </w14:textFill>
              </w:rPr>
              <w:t>j</w:t>
            </w:r>
            <w:r>
              <w:rPr>
                <w:color w:val="000000" w:themeColor="text1"/>
                <w:kern w:val="0"/>
                <w:sz w:val="24"/>
                <w:szCs w:val="20"/>
                <w14:textFill>
                  <w14:solidFill>
                    <w14:schemeClr w14:val="tx1"/>
                  </w14:solidFill>
                </w14:textFill>
              </w:rPr>
              <w:t>，则项目声源对预测点产生的贡献值（L</w:t>
            </w:r>
            <w:r>
              <w:rPr>
                <w:color w:val="000000" w:themeColor="text1"/>
                <w:kern w:val="0"/>
                <w:sz w:val="24"/>
                <w:szCs w:val="20"/>
                <w:vertAlign w:val="subscript"/>
                <w14:textFill>
                  <w14:solidFill>
                    <w14:schemeClr w14:val="tx1"/>
                  </w14:solidFill>
                </w14:textFill>
              </w:rPr>
              <w:t>eqg</w:t>
            </w:r>
            <w:r>
              <w:rPr>
                <w:color w:val="000000" w:themeColor="text1"/>
                <w:kern w:val="0"/>
                <w:sz w:val="24"/>
                <w:szCs w:val="20"/>
                <w14:textFill>
                  <w14:solidFill>
                    <w14:schemeClr w14:val="tx1"/>
                  </w14:solidFill>
                </w14:textFill>
              </w:rPr>
              <w:t>）为：</w:t>
            </w:r>
          </w:p>
          <w:p w14:paraId="4BA19D77">
            <w:pPr>
              <w:spacing w:line="360" w:lineRule="auto"/>
              <w:jc w:val="center"/>
              <w:rPr>
                <w:b/>
                <w:bCs/>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114300" distR="114300">
                  <wp:extent cx="2419350" cy="436245"/>
                  <wp:effectExtent l="0" t="0" r="381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3"/>
                          <a:stretch>
                            <a:fillRect/>
                          </a:stretch>
                        </pic:blipFill>
                        <pic:spPr>
                          <a:xfrm>
                            <a:off x="0" y="0"/>
                            <a:ext cx="2419350" cy="436245"/>
                          </a:xfrm>
                          <a:prstGeom prst="rect">
                            <a:avLst/>
                          </a:prstGeom>
                          <a:noFill/>
                          <a:ln>
                            <a:noFill/>
                          </a:ln>
                        </pic:spPr>
                      </pic:pic>
                    </a:graphicData>
                  </a:graphic>
                </wp:inline>
              </w:drawing>
            </w:r>
          </w:p>
          <w:p w14:paraId="6CBD4FDB">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w:t>
            </w:r>
            <w:r>
              <w:rPr>
                <w:color w:val="000000" w:themeColor="text1"/>
                <w:kern w:val="0"/>
                <w:sz w:val="24"/>
                <w:szCs w:val="20"/>
                <w:vertAlign w:val="subscript"/>
                <w14:textFill>
                  <w14:solidFill>
                    <w14:schemeClr w14:val="tx1"/>
                  </w14:solidFill>
                </w14:textFill>
              </w:rPr>
              <w:t>eqg</w:t>
            </w:r>
            <w:r>
              <w:rPr>
                <w:color w:val="000000" w:themeColor="text1"/>
                <w:kern w:val="0"/>
                <w:sz w:val="24"/>
                <w:szCs w:val="20"/>
                <w14:textFill>
                  <w14:solidFill>
                    <w14:schemeClr w14:val="tx1"/>
                  </w14:solidFill>
                </w14:textFill>
              </w:rPr>
              <w:t>——建设项目声源在预测点产生的噪声贡献值，dB；</w:t>
            </w:r>
          </w:p>
          <w:p w14:paraId="51B08884">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T——用于计算等效声级的时间，s；</w:t>
            </w:r>
          </w:p>
          <w:p w14:paraId="5329960B">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N——室外声源个数；</w:t>
            </w:r>
          </w:p>
          <w:p w14:paraId="217D589E">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——在T时间内i声源工作时间，s；</w:t>
            </w:r>
          </w:p>
          <w:p w14:paraId="2150C621">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M——等效室外声源个数；</w:t>
            </w:r>
          </w:p>
          <w:p w14:paraId="20356728">
            <w:pPr>
              <w:spacing w:line="360" w:lineRule="auto"/>
              <w:ind w:firstLine="480" w:firstLineChars="200"/>
              <w:jc w:val="left"/>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j</w:t>
            </w:r>
            <w:r>
              <w:rPr>
                <w:color w:val="000000" w:themeColor="text1"/>
                <w:kern w:val="0"/>
                <w:sz w:val="24"/>
                <w:szCs w:val="20"/>
                <w14:textFill>
                  <w14:solidFill>
                    <w14:schemeClr w14:val="tx1"/>
                  </w14:solidFill>
                </w14:textFill>
              </w:rPr>
              <w:t>——在T时间内j声源工作时间，s。</w:t>
            </w:r>
          </w:p>
          <w:p w14:paraId="2C2A0BF7">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（2）预测结果分析</w:t>
            </w:r>
          </w:p>
          <w:p w14:paraId="429197E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项目周边50m范围内无声环境保护目标，本次预测重点分析厂界噪声贡献值达标情况，设置各厂界线外1米，高1.5m处为预测范围，根据厂界布置情况，共计21条厂界线，100个厂界预测点。</w:t>
            </w:r>
          </w:p>
          <w:p w14:paraId="2702BB6E">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通过预测模型计算，预测范围内各厂界预测贡献值昼间见表4-18，夜间见表4-1</w:t>
            </w:r>
            <w:r>
              <w:rPr>
                <w:rFonts w:hint="eastAsia"/>
                <w:color w:val="000000" w:themeColor="text1"/>
                <w:kern w:val="0"/>
                <w:sz w:val="24"/>
                <w:szCs w:val="20"/>
                <w:lang w:val="en-US" w:eastAsia="zh-CN"/>
                <w14:textFill>
                  <w14:solidFill>
                    <w14:schemeClr w14:val="tx1"/>
                  </w14:solidFill>
                </w14:textFill>
              </w:rPr>
              <w:t>5</w:t>
            </w:r>
            <w:r>
              <w:rPr>
                <w:rFonts w:hint="eastAsia"/>
                <w:color w:val="000000" w:themeColor="text1"/>
                <w:kern w:val="0"/>
                <w:sz w:val="24"/>
                <w:szCs w:val="20"/>
                <w14:textFill>
                  <w14:solidFill>
                    <w14:schemeClr w14:val="tx1"/>
                  </w14:solidFill>
                </w14:textFill>
              </w:rPr>
              <w:t>。各预测点贡献值分布见图4-2，贡献值等声值线图见图4-3。</w:t>
            </w:r>
          </w:p>
          <w:p w14:paraId="09A945C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项目运营期厂界昼间噪声预测结果一览表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30"/>
              <w:gridCol w:w="1072"/>
              <w:gridCol w:w="1593"/>
              <w:gridCol w:w="1610"/>
              <w:gridCol w:w="1210"/>
              <w:gridCol w:w="1046"/>
              <w:gridCol w:w="1067"/>
            </w:tblGrid>
            <w:tr w14:paraId="3B3E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7" w:type="pct"/>
                  <w:vMerge w:val="restart"/>
                  <w:vAlign w:val="center"/>
                </w:tcPr>
                <w:p w14:paraId="6525189D">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14" w:type="pct"/>
                  <w:vMerge w:val="restart"/>
                  <w:vAlign w:val="center"/>
                </w:tcPr>
                <w:p w14:paraId="66220797">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场界方位</w:t>
                  </w:r>
                </w:p>
              </w:tc>
              <w:tc>
                <w:tcPr>
                  <w:tcW w:w="912" w:type="pct"/>
                  <w:vMerge w:val="restart"/>
                  <w:vAlign w:val="center"/>
                </w:tcPr>
                <w:p w14:paraId="1F540281">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预测点x坐标</w:t>
                  </w:r>
                </w:p>
              </w:tc>
              <w:tc>
                <w:tcPr>
                  <w:tcW w:w="922" w:type="pct"/>
                  <w:vMerge w:val="restart"/>
                  <w:vAlign w:val="center"/>
                </w:tcPr>
                <w:p w14:paraId="773B5713">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预测点y坐标</w:t>
                  </w:r>
                </w:p>
              </w:tc>
              <w:tc>
                <w:tcPr>
                  <w:tcW w:w="1903" w:type="pct"/>
                  <w:gridSpan w:val="3"/>
                  <w:vAlign w:val="center"/>
                </w:tcPr>
                <w:p w14:paraId="1A21A90F">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r>
            <w:tr w14:paraId="479D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continue"/>
                  <w:vAlign w:val="center"/>
                </w:tcPr>
                <w:p w14:paraId="0B540150">
                  <w:pPr>
                    <w:widowControl/>
                    <w:jc w:val="center"/>
                    <w:rPr>
                      <w:b/>
                      <w:bCs/>
                      <w:color w:val="000000" w:themeColor="text1"/>
                      <w:szCs w:val="21"/>
                      <w14:textFill>
                        <w14:solidFill>
                          <w14:schemeClr w14:val="tx1"/>
                        </w14:solidFill>
                      </w14:textFill>
                    </w:rPr>
                  </w:pPr>
                </w:p>
              </w:tc>
              <w:tc>
                <w:tcPr>
                  <w:tcW w:w="614" w:type="pct"/>
                  <w:vMerge w:val="continue"/>
                  <w:vAlign w:val="center"/>
                </w:tcPr>
                <w:p w14:paraId="2887D6BD">
                  <w:pPr>
                    <w:widowControl/>
                    <w:jc w:val="center"/>
                    <w:rPr>
                      <w:b/>
                      <w:bCs/>
                      <w:color w:val="000000" w:themeColor="text1"/>
                      <w:szCs w:val="21"/>
                      <w14:textFill>
                        <w14:solidFill>
                          <w14:schemeClr w14:val="tx1"/>
                        </w14:solidFill>
                      </w14:textFill>
                    </w:rPr>
                  </w:pPr>
                </w:p>
              </w:tc>
              <w:tc>
                <w:tcPr>
                  <w:tcW w:w="912" w:type="pct"/>
                  <w:vMerge w:val="continue"/>
                  <w:vAlign w:val="center"/>
                </w:tcPr>
                <w:p w14:paraId="782AC16C">
                  <w:pPr>
                    <w:widowControl/>
                    <w:jc w:val="center"/>
                    <w:rPr>
                      <w:b/>
                      <w:bCs/>
                      <w:color w:val="000000" w:themeColor="text1"/>
                      <w:szCs w:val="21"/>
                      <w14:textFill>
                        <w14:solidFill>
                          <w14:schemeClr w14:val="tx1"/>
                        </w14:solidFill>
                      </w14:textFill>
                    </w:rPr>
                  </w:pPr>
                </w:p>
              </w:tc>
              <w:tc>
                <w:tcPr>
                  <w:tcW w:w="922" w:type="pct"/>
                  <w:vMerge w:val="continue"/>
                  <w:vAlign w:val="center"/>
                </w:tcPr>
                <w:p w14:paraId="6E476BB9">
                  <w:pPr>
                    <w:widowControl/>
                    <w:jc w:val="center"/>
                    <w:rPr>
                      <w:b/>
                      <w:bCs/>
                      <w:color w:val="000000" w:themeColor="text1"/>
                      <w:szCs w:val="21"/>
                      <w14:textFill>
                        <w14:solidFill>
                          <w14:schemeClr w14:val="tx1"/>
                        </w14:solidFill>
                      </w14:textFill>
                    </w:rPr>
                  </w:pPr>
                </w:p>
              </w:tc>
              <w:tc>
                <w:tcPr>
                  <w:tcW w:w="693" w:type="pct"/>
                  <w:vAlign w:val="center"/>
                </w:tcPr>
                <w:p w14:paraId="4FBD49A7">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599" w:type="pct"/>
                  <w:vAlign w:val="center"/>
                </w:tcPr>
                <w:p w14:paraId="1E3CC54E">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610" w:type="pct"/>
                  <w:vAlign w:val="center"/>
                </w:tcPr>
                <w:p w14:paraId="42909C63">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683D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2FABF4D5">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14" w:type="pct"/>
                  <w:vAlign w:val="center"/>
                </w:tcPr>
                <w:p w14:paraId="27868BC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厂界</w:t>
                  </w:r>
                </w:p>
                <w:p w14:paraId="24648D6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282A625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607" w:type="dxa"/>
                  <w:vAlign w:val="center"/>
                </w:tcPr>
                <w:p w14:paraId="7DB8377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61.4</w:t>
                  </w:r>
                </w:p>
              </w:tc>
              <w:tc>
                <w:tcPr>
                  <w:tcW w:w="1208" w:type="dxa"/>
                  <w:vAlign w:val="center"/>
                </w:tcPr>
                <w:p w14:paraId="355C28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44.51</w:t>
                  </w:r>
                </w:p>
              </w:tc>
              <w:tc>
                <w:tcPr>
                  <w:tcW w:w="599" w:type="pct"/>
                  <w:vAlign w:val="center"/>
                </w:tcPr>
                <w:p w14:paraId="2330BC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6167EA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389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0672E69A">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14" w:type="pct"/>
                  <w:vAlign w:val="center"/>
                </w:tcPr>
                <w:p w14:paraId="6D25A18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厂界</w:t>
                  </w:r>
                </w:p>
                <w:p w14:paraId="5C3F2EF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4BF6E0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-104.57</w:t>
                  </w:r>
                </w:p>
              </w:tc>
              <w:tc>
                <w:tcPr>
                  <w:tcW w:w="1607" w:type="dxa"/>
                  <w:vAlign w:val="center"/>
                </w:tcPr>
                <w:p w14:paraId="032E38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-114.74</w:t>
                  </w:r>
                </w:p>
              </w:tc>
              <w:tc>
                <w:tcPr>
                  <w:tcW w:w="1208" w:type="dxa"/>
                  <w:vAlign w:val="center"/>
                </w:tcPr>
                <w:p w14:paraId="76F645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33.89</w:t>
                  </w:r>
                </w:p>
              </w:tc>
              <w:tc>
                <w:tcPr>
                  <w:tcW w:w="599" w:type="pct"/>
                  <w:vAlign w:val="center"/>
                </w:tcPr>
                <w:p w14:paraId="5528961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79E496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E81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23C255AC">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14" w:type="pct"/>
                  <w:vAlign w:val="center"/>
                </w:tcPr>
                <w:p w14:paraId="475C14F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厂界</w:t>
                  </w:r>
                </w:p>
                <w:p w14:paraId="6779D5F3">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1886C8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73.19</w:t>
                  </w:r>
                </w:p>
              </w:tc>
              <w:tc>
                <w:tcPr>
                  <w:tcW w:w="1607" w:type="dxa"/>
                  <w:vAlign w:val="center"/>
                </w:tcPr>
                <w:p w14:paraId="7ED6EE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15.89</w:t>
                  </w:r>
                </w:p>
              </w:tc>
              <w:tc>
                <w:tcPr>
                  <w:tcW w:w="1208" w:type="dxa"/>
                  <w:vAlign w:val="center"/>
                </w:tcPr>
                <w:p w14:paraId="28A65A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41.06</w:t>
                  </w:r>
                </w:p>
              </w:tc>
              <w:tc>
                <w:tcPr>
                  <w:tcW w:w="599" w:type="pct"/>
                  <w:vAlign w:val="center"/>
                </w:tcPr>
                <w:p w14:paraId="3B98BC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2B5240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AB2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331442E5">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14" w:type="pct"/>
                  <w:vAlign w:val="center"/>
                </w:tcPr>
                <w:p w14:paraId="7905F41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厂界</w:t>
                  </w:r>
                </w:p>
                <w:p w14:paraId="2EB104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209C3B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148.19</w:t>
                  </w:r>
                </w:p>
              </w:tc>
              <w:tc>
                <w:tcPr>
                  <w:tcW w:w="1607" w:type="dxa"/>
                  <w:vAlign w:val="center"/>
                </w:tcPr>
                <w:p w14:paraId="3FFC040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136.99</w:t>
                  </w:r>
                </w:p>
              </w:tc>
              <w:tc>
                <w:tcPr>
                  <w:tcW w:w="1208" w:type="dxa"/>
                  <w:vAlign w:val="center"/>
                </w:tcPr>
                <w:p w14:paraId="6A56395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40.8</w:t>
                  </w:r>
                </w:p>
              </w:tc>
              <w:tc>
                <w:tcPr>
                  <w:tcW w:w="599" w:type="pct"/>
                  <w:vAlign w:val="center"/>
                </w:tcPr>
                <w:p w14:paraId="177DC66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10" w:type="pct"/>
                  <w:vAlign w:val="center"/>
                </w:tcPr>
                <w:p w14:paraId="374350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56310AFC">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项目运营期厂界夜间噪声预测结果一览表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30"/>
              <w:gridCol w:w="1072"/>
              <w:gridCol w:w="1593"/>
              <w:gridCol w:w="1610"/>
              <w:gridCol w:w="1210"/>
              <w:gridCol w:w="1046"/>
              <w:gridCol w:w="1067"/>
            </w:tblGrid>
            <w:tr w14:paraId="4384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restart"/>
                  <w:vAlign w:val="center"/>
                </w:tcPr>
                <w:p w14:paraId="39452B46">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14" w:type="pct"/>
                  <w:vMerge w:val="restart"/>
                  <w:vAlign w:val="center"/>
                </w:tcPr>
                <w:p w14:paraId="4E5CFFA9">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场界方位</w:t>
                  </w:r>
                </w:p>
              </w:tc>
              <w:tc>
                <w:tcPr>
                  <w:tcW w:w="912" w:type="pct"/>
                  <w:vMerge w:val="restart"/>
                  <w:vAlign w:val="center"/>
                </w:tcPr>
                <w:p w14:paraId="504C9217">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预测点x坐标</w:t>
                  </w:r>
                </w:p>
              </w:tc>
              <w:tc>
                <w:tcPr>
                  <w:tcW w:w="922" w:type="pct"/>
                  <w:vMerge w:val="restart"/>
                  <w:vAlign w:val="center"/>
                </w:tcPr>
                <w:p w14:paraId="0C023BFA">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预测点y坐标</w:t>
                  </w:r>
                </w:p>
              </w:tc>
              <w:tc>
                <w:tcPr>
                  <w:tcW w:w="1903" w:type="pct"/>
                  <w:gridSpan w:val="3"/>
                  <w:vAlign w:val="center"/>
                </w:tcPr>
                <w:p w14:paraId="48CE7868">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14:paraId="76A6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Merge w:val="continue"/>
                  <w:vAlign w:val="center"/>
                </w:tcPr>
                <w:p w14:paraId="433797CB">
                  <w:pPr>
                    <w:widowControl/>
                    <w:jc w:val="center"/>
                    <w:rPr>
                      <w:b/>
                      <w:bCs/>
                      <w:color w:val="000000" w:themeColor="text1"/>
                      <w:szCs w:val="21"/>
                      <w14:textFill>
                        <w14:solidFill>
                          <w14:schemeClr w14:val="tx1"/>
                        </w14:solidFill>
                      </w14:textFill>
                    </w:rPr>
                  </w:pPr>
                </w:p>
              </w:tc>
              <w:tc>
                <w:tcPr>
                  <w:tcW w:w="614" w:type="pct"/>
                  <w:vMerge w:val="continue"/>
                  <w:vAlign w:val="center"/>
                </w:tcPr>
                <w:p w14:paraId="0B6AAC42">
                  <w:pPr>
                    <w:widowControl/>
                    <w:jc w:val="center"/>
                    <w:rPr>
                      <w:b/>
                      <w:bCs/>
                      <w:color w:val="000000" w:themeColor="text1"/>
                      <w:szCs w:val="21"/>
                      <w14:textFill>
                        <w14:solidFill>
                          <w14:schemeClr w14:val="tx1"/>
                        </w14:solidFill>
                      </w14:textFill>
                    </w:rPr>
                  </w:pPr>
                </w:p>
              </w:tc>
              <w:tc>
                <w:tcPr>
                  <w:tcW w:w="912" w:type="pct"/>
                  <w:vMerge w:val="continue"/>
                  <w:vAlign w:val="center"/>
                </w:tcPr>
                <w:p w14:paraId="562969CA">
                  <w:pPr>
                    <w:widowControl/>
                    <w:jc w:val="center"/>
                    <w:rPr>
                      <w:b/>
                      <w:bCs/>
                      <w:color w:val="000000" w:themeColor="text1"/>
                      <w:szCs w:val="21"/>
                      <w14:textFill>
                        <w14:solidFill>
                          <w14:schemeClr w14:val="tx1"/>
                        </w14:solidFill>
                      </w14:textFill>
                    </w:rPr>
                  </w:pPr>
                </w:p>
              </w:tc>
              <w:tc>
                <w:tcPr>
                  <w:tcW w:w="922" w:type="pct"/>
                  <w:vMerge w:val="continue"/>
                  <w:vAlign w:val="center"/>
                </w:tcPr>
                <w:p w14:paraId="70E92401">
                  <w:pPr>
                    <w:widowControl/>
                    <w:jc w:val="center"/>
                    <w:rPr>
                      <w:b/>
                      <w:bCs/>
                      <w:color w:val="000000" w:themeColor="text1"/>
                      <w:szCs w:val="21"/>
                      <w14:textFill>
                        <w14:solidFill>
                          <w14:schemeClr w14:val="tx1"/>
                        </w14:solidFill>
                      </w14:textFill>
                    </w:rPr>
                  </w:pPr>
                </w:p>
              </w:tc>
              <w:tc>
                <w:tcPr>
                  <w:tcW w:w="693" w:type="pct"/>
                  <w:vAlign w:val="center"/>
                </w:tcPr>
                <w:p w14:paraId="0A4508DE">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599" w:type="pct"/>
                  <w:vAlign w:val="center"/>
                </w:tcPr>
                <w:p w14:paraId="619F38D5">
                  <w:pPr>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tc>
              <w:tc>
                <w:tcPr>
                  <w:tcW w:w="610" w:type="pct"/>
                  <w:vAlign w:val="center"/>
                </w:tcPr>
                <w:p w14:paraId="5E174DC5">
                  <w:pPr>
                    <w:widowControl/>
                    <w:autoSpaceDE w:val="0"/>
                    <w:autoSpaceDN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7EA6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580DA184">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14" w:type="pct"/>
                  <w:vAlign w:val="center"/>
                </w:tcPr>
                <w:p w14:paraId="5429386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厂界</w:t>
                  </w:r>
                </w:p>
                <w:p w14:paraId="0B237BF8">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1CB8DB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607" w:type="dxa"/>
                  <w:vAlign w:val="center"/>
                </w:tcPr>
                <w:p w14:paraId="6BECBF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61.4</w:t>
                  </w:r>
                </w:p>
              </w:tc>
              <w:tc>
                <w:tcPr>
                  <w:tcW w:w="1208" w:type="dxa"/>
                  <w:vAlign w:val="center"/>
                </w:tcPr>
                <w:p w14:paraId="61F543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39.77</w:t>
                  </w:r>
                </w:p>
              </w:tc>
              <w:tc>
                <w:tcPr>
                  <w:tcW w:w="599" w:type="pct"/>
                  <w:vAlign w:val="center"/>
                </w:tcPr>
                <w:p w14:paraId="5F078E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7CCC7F1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99B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34308DAA">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14" w:type="pct"/>
                  <w:vAlign w:val="center"/>
                </w:tcPr>
                <w:p w14:paraId="15528AE3">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厂界</w:t>
                  </w:r>
                </w:p>
                <w:p w14:paraId="5F25571A">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04F0068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-104.57</w:t>
                  </w:r>
                </w:p>
              </w:tc>
              <w:tc>
                <w:tcPr>
                  <w:tcW w:w="1607" w:type="dxa"/>
                  <w:vAlign w:val="center"/>
                </w:tcPr>
                <w:p w14:paraId="254FDE0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-114.74</w:t>
                  </w:r>
                </w:p>
              </w:tc>
              <w:tc>
                <w:tcPr>
                  <w:tcW w:w="1208" w:type="dxa"/>
                  <w:vAlign w:val="center"/>
                </w:tcPr>
                <w:p w14:paraId="65020D0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33.47</w:t>
                  </w:r>
                </w:p>
              </w:tc>
              <w:tc>
                <w:tcPr>
                  <w:tcW w:w="599" w:type="pct"/>
                  <w:vAlign w:val="center"/>
                </w:tcPr>
                <w:p w14:paraId="05F12B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01FE43E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77AC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1C65CD59">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14" w:type="pct"/>
                  <w:vAlign w:val="center"/>
                </w:tcPr>
                <w:p w14:paraId="4C77AE90">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厂界</w:t>
                  </w:r>
                </w:p>
                <w:p w14:paraId="7A039494">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694654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73.19</w:t>
                  </w:r>
                </w:p>
              </w:tc>
              <w:tc>
                <w:tcPr>
                  <w:tcW w:w="1607" w:type="dxa"/>
                  <w:vAlign w:val="center"/>
                </w:tcPr>
                <w:p w14:paraId="33ED3B5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15.89</w:t>
                  </w:r>
                </w:p>
              </w:tc>
              <w:tc>
                <w:tcPr>
                  <w:tcW w:w="1208" w:type="dxa"/>
                  <w:vAlign w:val="center"/>
                </w:tcPr>
                <w:p w14:paraId="473E19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37.78</w:t>
                  </w:r>
                </w:p>
              </w:tc>
              <w:tc>
                <w:tcPr>
                  <w:tcW w:w="599" w:type="pct"/>
                  <w:vAlign w:val="center"/>
                </w:tcPr>
                <w:p w14:paraId="707524E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2B1022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785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7" w:type="pct"/>
                  <w:vAlign w:val="center"/>
                </w:tcPr>
                <w:p w14:paraId="4772E1B4">
                  <w:pPr>
                    <w:widowControl/>
                    <w:autoSpaceDE w:val="0"/>
                    <w:autoSpaceDN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614" w:type="pct"/>
                  <w:vAlign w:val="center"/>
                </w:tcPr>
                <w:p w14:paraId="02EB85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厂界</w:t>
                  </w:r>
                </w:p>
                <w:p w14:paraId="1F0CE0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最大值</w:t>
                  </w:r>
                </w:p>
              </w:tc>
              <w:tc>
                <w:tcPr>
                  <w:tcW w:w="1589" w:type="dxa"/>
                  <w:vAlign w:val="center"/>
                </w:tcPr>
                <w:p w14:paraId="04EC12B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148.19</w:t>
                  </w:r>
                </w:p>
              </w:tc>
              <w:tc>
                <w:tcPr>
                  <w:tcW w:w="1607" w:type="dxa"/>
                  <w:vAlign w:val="center"/>
                </w:tcPr>
                <w:p w14:paraId="1156C3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136.99</w:t>
                  </w:r>
                </w:p>
              </w:tc>
              <w:tc>
                <w:tcPr>
                  <w:tcW w:w="1208" w:type="dxa"/>
                  <w:vAlign w:val="center"/>
                </w:tcPr>
                <w:p w14:paraId="7A7A6BD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39.77</w:t>
                  </w:r>
                </w:p>
              </w:tc>
              <w:tc>
                <w:tcPr>
                  <w:tcW w:w="599" w:type="pct"/>
                  <w:vAlign w:val="center"/>
                </w:tcPr>
                <w:p w14:paraId="3B41AC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10" w:type="pct"/>
                  <w:vAlign w:val="center"/>
                </w:tcPr>
                <w:p w14:paraId="43BD2B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2BF80022">
            <w:pPr>
              <w:spacing w:before="120" w:beforeLines="5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drawing>
                <wp:inline distT="0" distB="0" distL="114300" distR="114300">
                  <wp:extent cx="5535295" cy="3899535"/>
                  <wp:effectExtent l="0" t="0" r="12065" b="1905"/>
                  <wp:docPr id="55" name="图片 55" descr="4ef432a8-4ef2-463c-8873-9b77f3058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ef432a8-4ef2-463c-8873-9b77f30583f9"/>
                          <pic:cNvPicPr>
                            <a:picLocks noChangeAspect="1"/>
                          </pic:cNvPicPr>
                        </pic:nvPicPr>
                        <pic:blipFill>
                          <a:blip r:embed="rId24"/>
                          <a:stretch>
                            <a:fillRect/>
                          </a:stretch>
                        </pic:blipFill>
                        <pic:spPr>
                          <a:xfrm>
                            <a:off x="0" y="0"/>
                            <a:ext cx="5535295" cy="3899535"/>
                          </a:xfrm>
                          <a:prstGeom prst="rect">
                            <a:avLst/>
                          </a:prstGeom>
                        </pic:spPr>
                      </pic:pic>
                    </a:graphicData>
                  </a:graphic>
                </wp:inline>
              </w:drawing>
            </w:r>
          </w:p>
          <w:p w14:paraId="647F0B72">
            <w:pPr>
              <w:jc w:val="center"/>
              <w:rPr>
                <w:rFonts w:eastAsiaTheme="majorEastAsia"/>
                <w:b/>
                <w:bCs/>
                <w:color w:val="000000" w:themeColor="text1"/>
                <w:kern w:val="0"/>
                <w:szCs w:val="16"/>
                <w14:textFill>
                  <w14:solidFill>
                    <w14:schemeClr w14:val="tx1"/>
                  </w14:solidFill>
                </w14:textFill>
              </w:rPr>
            </w:pPr>
            <w:r>
              <w:rPr>
                <w:rFonts w:hint="eastAsia" w:eastAsiaTheme="majorEastAsia"/>
                <w:b/>
                <w:bCs/>
                <w:color w:val="000000" w:themeColor="text1"/>
                <w:kern w:val="0"/>
                <w:szCs w:val="16"/>
                <w14:textFill>
                  <w14:solidFill>
                    <w14:schemeClr w14:val="tx1"/>
                  </w14:solidFill>
                </w14:textFill>
              </w:rPr>
              <w:t>图4-3  贡献值等声值线图（昼间）</w:t>
            </w:r>
          </w:p>
          <w:p w14:paraId="4ECCE0DA">
            <w:pPr>
              <w:jc w:val="center"/>
              <w:rPr>
                <w:rFonts w:hint="eastAsia" w:ascii="黑体" w:hAnsi="黑体" w:eastAsia="黑体" w:cs="黑体"/>
                <w:color w:val="000000" w:themeColor="text1"/>
                <w:kern w:val="0"/>
                <w:szCs w:val="16"/>
                <w14:textFill>
                  <w14:solidFill>
                    <w14:schemeClr w14:val="tx1"/>
                  </w14:solidFill>
                </w14:textFill>
              </w:rPr>
            </w:pPr>
            <w:r>
              <w:rPr>
                <w:rFonts w:ascii="黑体" w:hAnsi="黑体" w:eastAsia="黑体" w:cs="黑体"/>
                <w:color w:val="000000" w:themeColor="text1"/>
                <w:kern w:val="0"/>
                <w:szCs w:val="16"/>
                <w14:textFill>
                  <w14:solidFill>
                    <w14:schemeClr w14:val="tx1"/>
                  </w14:solidFill>
                </w14:textFill>
              </w:rPr>
              <w:drawing>
                <wp:inline distT="0" distB="0" distL="114300" distR="114300">
                  <wp:extent cx="5530850" cy="3903345"/>
                  <wp:effectExtent l="0" t="0" r="1270" b="13335"/>
                  <wp:docPr id="60" name="图片 60" descr="5566cfca-5a1c-4388-b560-a727eb9c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66cfca-5a1c-4388-b560-a727eb9c9833"/>
                          <pic:cNvPicPr>
                            <a:picLocks noChangeAspect="1"/>
                          </pic:cNvPicPr>
                        </pic:nvPicPr>
                        <pic:blipFill>
                          <a:blip r:embed="rId25"/>
                          <a:stretch>
                            <a:fillRect/>
                          </a:stretch>
                        </pic:blipFill>
                        <pic:spPr>
                          <a:xfrm>
                            <a:off x="0" y="0"/>
                            <a:ext cx="5530850" cy="3903345"/>
                          </a:xfrm>
                          <a:prstGeom prst="rect">
                            <a:avLst/>
                          </a:prstGeom>
                        </pic:spPr>
                      </pic:pic>
                    </a:graphicData>
                  </a:graphic>
                </wp:inline>
              </w:drawing>
            </w:r>
          </w:p>
          <w:p w14:paraId="3B6E0BE0">
            <w:pPr>
              <w:jc w:val="center"/>
              <w:rPr>
                <w:rFonts w:eastAsiaTheme="majorEastAsia"/>
                <w:b/>
                <w:bCs/>
                <w:color w:val="000000" w:themeColor="text1"/>
                <w:kern w:val="0"/>
                <w:szCs w:val="16"/>
                <w14:textFill>
                  <w14:solidFill>
                    <w14:schemeClr w14:val="tx1"/>
                  </w14:solidFill>
                </w14:textFill>
              </w:rPr>
            </w:pPr>
            <w:r>
              <w:rPr>
                <w:rFonts w:eastAsiaTheme="majorEastAsia"/>
                <w:b/>
                <w:bCs/>
                <w:color w:val="000000" w:themeColor="text1"/>
                <w:kern w:val="0"/>
                <w:szCs w:val="16"/>
                <w14:textFill>
                  <w14:solidFill>
                    <w14:schemeClr w14:val="tx1"/>
                  </w14:solidFill>
                </w14:textFill>
              </w:rPr>
              <w:t>图4-4  贡献值等声值线图（夜间）</w:t>
            </w:r>
          </w:p>
          <w:p w14:paraId="10420922">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根据预测结果，各厂界预测点昼间噪声贡献值范围为33.47~44.5dB（A），项目厂界昼间噪声贡献值满足《工业企业厂界环境噪声排放标准》（GB12348-2008）2类标准，即昼间噪声≤60dB（A），夜间≤50dB（A）。项目运营期噪声可达标排放。项目周边50m范围内无声环境保护目标，项目运营期对区域声环境影响较小。</w:t>
            </w:r>
          </w:p>
          <w:p w14:paraId="7D6D6086">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3、</w:t>
            </w:r>
            <w:r>
              <w:rPr>
                <w:b/>
                <w:bCs/>
                <w:color w:val="000000" w:themeColor="text1"/>
                <w:kern w:val="0"/>
                <w:sz w:val="24"/>
                <w:szCs w:val="20"/>
                <w14:textFill>
                  <w14:solidFill>
                    <w14:schemeClr w14:val="tx1"/>
                  </w14:solidFill>
                </w14:textFill>
              </w:rPr>
              <w:t>噪声防治措施</w:t>
            </w:r>
          </w:p>
          <w:p w14:paraId="244268A4">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为减小项目噪声对环境的影响，环评提出项目采取的噪声控制措施如下：</w:t>
            </w:r>
          </w:p>
          <w:p w14:paraId="45CA5F55">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（1）选用低噪声设备；</w:t>
            </w:r>
          </w:p>
          <w:p w14:paraId="36940ABA">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（2）对各生产设备采取减振措施；</w:t>
            </w:r>
          </w:p>
          <w:p w14:paraId="06440BE9">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（3）加强设备维护，避免带病运行。</w:t>
            </w:r>
          </w:p>
          <w:p w14:paraId="377E6141">
            <w:pPr>
              <w:spacing w:line="360" w:lineRule="auto"/>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4、</w:t>
            </w:r>
            <w:r>
              <w:rPr>
                <w:b/>
                <w:bCs/>
                <w:color w:val="000000" w:themeColor="text1"/>
                <w:kern w:val="0"/>
                <w:sz w:val="24"/>
                <w:szCs w:val="20"/>
                <w14:textFill>
                  <w14:solidFill>
                    <w14:schemeClr w14:val="tx1"/>
                  </w14:solidFill>
                </w14:textFill>
              </w:rPr>
              <w:t>噪声环境影响分析</w:t>
            </w:r>
          </w:p>
          <w:p w14:paraId="1460D6BB">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项目</w:t>
            </w:r>
            <w:r>
              <w:rPr>
                <w:rFonts w:hint="eastAsia"/>
                <w:color w:val="000000" w:themeColor="text1"/>
                <w:kern w:val="0"/>
                <w:sz w:val="24"/>
                <w:szCs w:val="20"/>
                <w14:textFill>
                  <w14:solidFill>
                    <w14:schemeClr w14:val="tx1"/>
                  </w14:solidFill>
                </w14:textFill>
              </w:rPr>
              <w:t>已</w:t>
            </w:r>
            <w:r>
              <w:rPr>
                <w:color w:val="000000" w:themeColor="text1"/>
                <w:kern w:val="0"/>
                <w:sz w:val="24"/>
                <w:szCs w:val="20"/>
                <w14:textFill>
                  <w14:solidFill>
                    <w14:schemeClr w14:val="tx1"/>
                  </w14:solidFill>
                </w14:textFill>
              </w:rPr>
              <w:t>采取的噪声防治措施主要是</w:t>
            </w:r>
            <w:r>
              <w:rPr>
                <w:rFonts w:hint="eastAsia"/>
                <w:color w:val="000000" w:themeColor="text1"/>
                <w:kern w:val="0"/>
                <w:sz w:val="24"/>
                <w:szCs w:val="20"/>
                <w14:textFill>
                  <w14:solidFill>
                    <w14:schemeClr w14:val="tx1"/>
                  </w14:solidFill>
                </w14:textFill>
              </w:rPr>
              <w:t>声源</w:t>
            </w:r>
            <w:r>
              <w:rPr>
                <w:color w:val="000000" w:themeColor="text1"/>
                <w:kern w:val="0"/>
                <w:sz w:val="24"/>
                <w:szCs w:val="20"/>
                <w14:textFill>
                  <w14:solidFill>
                    <w14:schemeClr w14:val="tx1"/>
                  </w14:solidFill>
                </w14:textFill>
              </w:rPr>
              <w:t>控制措施及噪声隔声措施，在做好措施后，可有效降低噪声值。本次评价厂界噪声排放执行《工业企业厂界环境噪声排放标准》（GB12348-2008）中</w:t>
            </w: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类标准，在采取了本次评价提出噪声防治措施后，项目厂界噪声</w:t>
            </w:r>
            <w:r>
              <w:rPr>
                <w:rFonts w:hint="eastAsia"/>
                <w:color w:val="000000" w:themeColor="text1"/>
                <w:kern w:val="0"/>
                <w:sz w:val="24"/>
                <w:szCs w:val="20"/>
                <w14:textFill>
                  <w14:solidFill>
                    <w14:schemeClr w14:val="tx1"/>
                  </w14:solidFill>
                </w14:textFill>
              </w:rPr>
              <w:t>可达标</w:t>
            </w:r>
            <w:r>
              <w:rPr>
                <w:color w:val="000000" w:themeColor="text1"/>
                <w:kern w:val="0"/>
                <w:sz w:val="24"/>
                <w:szCs w:val="20"/>
                <w14:textFill>
                  <w14:solidFill>
                    <w14:schemeClr w14:val="tx1"/>
                  </w14:solidFill>
                </w14:textFill>
              </w:rPr>
              <w:t>排放</w:t>
            </w:r>
            <w:r>
              <w:rPr>
                <w:rFonts w:hint="eastAsia"/>
                <w:color w:val="000000" w:themeColor="text1"/>
                <w:kern w:val="0"/>
                <w:sz w:val="24"/>
                <w:szCs w:val="20"/>
                <w14:textFill>
                  <w14:solidFill>
                    <w14:schemeClr w14:val="tx1"/>
                  </w14:solidFill>
                </w14:textFill>
              </w:rPr>
              <w:t>。</w:t>
            </w:r>
          </w:p>
          <w:p w14:paraId="53214F7D">
            <w:pPr>
              <w:spacing w:line="360" w:lineRule="auto"/>
              <w:ind w:firstLine="48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5、监测计划</w:t>
            </w:r>
          </w:p>
          <w:p w14:paraId="47CC54E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环评根据《排污单位自行监测技术指南 磷肥、钾肥、复混肥料、有机肥料和微生物肥料》（HJ1088—2020）制定噪声自行监测计划。</w:t>
            </w:r>
          </w:p>
          <w:p w14:paraId="3908C25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w:t>
            </w:r>
            <w:r>
              <w:rPr>
                <w:rFonts w:hint="eastAsia"/>
                <w:b/>
                <w:color w:val="000000" w:themeColor="text1"/>
                <w:szCs w:val="21"/>
                <w:lang w:val="en-US" w:eastAsia="zh-CN"/>
                <w14:textFill>
                  <w14:solidFill>
                    <w14:schemeClr w14:val="tx1"/>
                  </w14:solidFill>
                </w14:textFill>
              </w:rPr>
              <w:t>17</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噪声监测计划表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2269"/>
              <w:gridCol w:w="1504"/>
              <w:gridCol w:w="1713"/>
              <w:gridCol w:w="2100"/>
            </w:tblGrid>
            <w:tr w14:paraId="2674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Merge w:val="restart"/>
                  <w:vAlign w:val="center"/>
                </w:tcPr>
                <w:p w14:paraId="64DE51A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监测因子</w:t>
                  </w:r>
                </w:p>
              </w:tc>
              <w:tc>
                <w:tcPr>
                  <w:tcW w:w="1299" w:type="pct"/>
                  <w:vMerge w:val="restart"/>
                  <w:vAlign w:val="center"/>
                </w:tcPr>
                <w:p w14:paraId="4C62F31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监测点位</w:t>
                  </w:r>
                </w:p>
              </w:tc>
              <w:tc>
                <w:tcPr>
                  <w:tcW w:w="861" w:type="pct"/>
                  <w:vMerge w:val="restart"/>
                  <w:vAlign w:val="center"/>
                </w:tcPr>
                <w:p w14:paraId="17AECEE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监测频率</w:t>
                  </w:r>
                </w:p>
              </w:tc>
              <w:tc>
                <w:tcPr>
                  <w:tcW w:w="2183" w:type="pct"/>
                  <w:gridSpan w:val="2"/>
                  <w:vAlign w:val="center"/>
                </w:tcPr>
                <w:p w14:paraId="22FB6ECE">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《工业企业厂界环境噪声排放标准》</w:t>
                  </w:r>
                </w:p>
              </w:tc>
            </w:tr>
            <w:tr w14:paraId="7030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Merge w:val="continue"/>
                  <w:vAlign w:val="center"/>
                </w:tcPr>
                <w:p w14:paraId="5E13BBDB">
                  <w:pPr>
                    <w:jc w:val="center"/>
                    <w:rPr>
                      <w:b/>
                      <w:bCs/>
                      <w:color w:val="000000" w:themeColor="text1"/>
                      <w:kern w:val="0"/>
                      <w:szCs w:val="21"/>
                      <w14:textFill>
                        <w14:solidFill>
                          <w14:schemeClr w14:val="tx1"/>
                        </w14:solidFill>
                      </w14:textFill>
                    </w:rPr>
                  </w:pPr>
                </w:p>
              </w:tc>
              <w:tc>
                <w:tcPr>
                  <w:tcW w:w="1299" w:type="pct"/>
                  <w:vMerge w:val="continue"/>
                  <w:vAlign w:val="center"/>
                </w:tcPr>
                <w:p w14:paraId="0C7C985B">
                  <w:pPr>
                    <w:jc w:val="center"/>
                    <w:rPr>
                      <w:b/>
                      <w:bCs/>
                      <w:color w:val="000000" w:themeColor="text1"/>
                      <w:kern w:val="0"/>
                      <w:szCs w:val="21"/>
                      <w14:textFill>
                        <w14:solidFill>
                          <w14:schemeClr w14:val="tx1"/>
                        </w14:solidFill>
                      </w14:textFill>
                    </w:rPr>
                  </w:pPr>
                </w:p>
              </w:tc>
              <w:tc>
                <w:tcPr>
                  <w:tcW w:w="861" w:type="pct"/>
                  <w:vMerge w:val="continue"/>
                  <w:vAlign w:val="center"/>
                </w:tcPr>
                <w:p w14:paraId="6E76F878">
                  <w:pPr>
                    <w:jc w:val="center"/>
                    <w:rPr>
                      <w:b/>
                      <w:bCs/>
                      <w:color w:val="000000" w:themeColor="text1"/>
                      <w:kern w:val="0"/>
                      <w:szCs w:val="21"/>
                      <w14:textFill>
                        <w14:solidFill>
                          <w14:schemeClr w14:val="tx1"/>
                        </w14:solidFill>
                      </w14:textFill>
                    </w:rPr>
                  </w:pPr>
                </w:p>
              </w:tc>
              <w:tc>
                <w:tcPr>
                  <w:tcW w:w="981" w:type="pct"/>
                  <w:vAlign w:val="center"/>
                </w:tcPr>
                <w:p w14:paraId="656709F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执行标准</w:t>
                  </w:r>
                </w:p>
              </w:tc>
              <w:tc>
                <w:tcPr>
                  <w:tcW w:w="1201" w:type="pct"/>
                  <w:vAlign w:val="center"/>
                </w:tcPr>
                <w:p w14:paraId="550B1264">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限值</w:t>
                  </w:r>
                </w:p>
              </w:tc>
            </w:tr>
            <w:tr w14:paraId="0F03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pct"/>
                  <w:vAlign w:val="center"/>
                </w:tcPr>
                <w:p w14:paraId="5B99A1E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1299" w:type="pct"/>
                  <w:vAlign w:val="center"/>
                </w:tcPr>
                <w:p w14:paraId="339F5C7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厂界东、南、西、北侧外1m处</w:t>
                  </w:r>
                </w:p>
              </w:tc>
              <w:tc>
                <w:tcPr>
                  <w:tcW w:w="861" w:type="pct"/>
                  <w:vAlign w:val="center"/>
                </w:tcPr>
                <w:p w14:paraId="2292EE0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1次/季度</w:t>
                  </w:r>
                </w:p>
              </w:tc>
              <w:tc>
                <w:tcPr>
                  <w:tcW w:w="981" w:type="pct"/>
                  <w:vAlign w:val="center"/>
                </w:tcPr>
                <w:p w14:paraId="4B7A458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类标准</w:t>
                  </w:r>
                </w:p>
              </w:tc>
              <w:tc>
                <w:tcPr>
                  <w:tcW w:w="1201" w:type="pct"/>
                  <w:vAlign w:val="center"/>
                </w:tcPr>
                <w:p w14:paraId="32C0A4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昼间≤6</w:t>
                  </w: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dB（A）</w:t>
                  </w:r>
                </w:p>
                <w:p w14:paraId="134E7C1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50</w:t>
                  </w:r>
                  <w:r>
                    <w:rPr>
                      <w:color w:val="000000" w:themeColor="text1"/>
                      <w:kern w:val="0"/>
                      <w:szCs w:val="21"/>
                      <w14:textFill>
                        <w14:solidFill>
                          <w14:schemeClr w14:val="tx1"/>
                        </w14:solidFill>
                      </w14:textFill>
                    </w:rPr>
                    <w:t>dB（A）</w:t>
                  </w:r>
                </w:p>
              </w:tc>
            </w:tr>
          </w:tbl>
          <w:p w14:paraId="4A0A21E9">
            <w:pPr>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五、固体废物</w:t>
            </w:r>
          </w:p>
          <w:p w14:paraId="6C3211D9">
            <w:pPr>
              <w:pStyle w:val="69"/>
              <w:snapToGrid/>
              <w:ind w:firstLine="482" w:firstLineChars="200"/>
              <w:jc w:val="both"/>
              <w:rPr>
                <w:b/>
                <w:color w:val="000000" w:themeColor="text1"/>
                <w:spacing w:val="0"/>
                <w:kern w:val="0"/>
                <w:sz w:val="24"/>
                <w:lang w:val="en-US"/>
                <w14:textFill>
                  <w14:solidFill>
                    <w14:schemeClr w14:val="tx1"/>
                  </w14:solidFill>
                </w14:textFill>
              </w:rPr>
            </w:pPr>
            <w:r>
              <w:rPr>
                <w:rFonts w:hint="eastAsia"/>
                <w:b/>
                <w:color w:val="000000" w:themeColor="text1"/>
                <w:spacing w:val="0"/>
                <w:kern w:val="0"/>
                <w:sz w:val="24"/>
                <w:lang w:val="en-US"/>
                <w14:textFill>
                  <w14:solidFill>
                    <w14:schemeClr w14:val="tx1"/>
                  </w14:solidFill>
                </w14:textFill>
              </w:rPr>
              <w:t>1、固废产生情况</w:t>
            </w:r>
          </w:p>
          <w:p w14:paraId="3E66FF08">
            <w:pPr>
              <w:pStyle w:val="69"/>
              <w:snapToGrid/>
              <w:ind w:firstLine="480" w:firstLineChars="200"/>
              <w:jc w:val="both"/>
              <w:rPr>
                <w:bCs/>
                <w:color w:val="000000" w:themeColor="text1"/>
                <w:spacing w:val="0"/>
                <w:kern w:val="0"/>
                <w:sz w:val="24"/>
                <w:lang w:val="en-US"/>
                <w14:textFill>
                  <w14:solidFill>
                    <w14:schemeClr w14:val="tx1"/>
                  </w14:solidFill>
                </w14:textFill>
              </w:rPr>
            </w:pPr>
            <w:r>
              <w:rPr>
                <w:bCs/>
                <w:color w:val="000000" w:themeColor="text1"/>
                <w:spacing w:val="0"/>
                <w:kern w:val="0"/>
                <w:sz w:val="24"/>
                <w:lang w:val="en-US"/>
                <w14:textFill>
                  <w14:solidFill>
                    <w14:schemeClr w14:val="tx1"/>
                  </w14:solidFill>
                </w14:textFill>
              </w:rPr>
              <w:t>本项目产生固体废物主要为生活垃圾、一般固体废物、危险废物。</w:t>
            </w:r>
          </w:p>
          <w:p w14:paraId="75848722">
            <w:pPr>
              <w:pStyle w:val="69"/>
              <w:snapToGrid/>
              <w:ind w:firstLine="482" w:firstLineChars="200"/>
              <w:jc w:val="both"/>
              <w:rPr>
                <w:b/>
                <w:bCs/>
                <w:color w:val="000000" w:themeColor="text1"/>
                <w:spacing w:val="0"/>
                <w:kern w:val="0"/>
                <w:sz w:val="24"/>
                <w14:textFill>
                  <w14:solidFill>
                    <w14:schemeClr w14:val="tx1"/>
                  </w14:solidFill>
                </w14:textFill>
              </w:rPr>
            </w:pPr>
            <w:r>
              <w:rPr>
                <w:rFonts w:hint="eastAsia"/>
                <w:b/>
                <w:bCs/>
                <w:color w:val="000000" w:themeColor="text1"/>
                <w:spacing w:val="0"/>
                <w:kern w:val="0"/>
                <w:sz w:val="24"/>
                <w14:textFill>
                  <w14:solidFill>
                    <w14:schemeClr w14:val="tx1"/>
                  </w14:solidFill>
                </w14:textFill>
              </w:rPr>
              <w:t>1.1生活垃圾（900-099-S64）</w:t>
            </w:r>
          </w:p>
          <w:p w14:paraId="0DF2EE99">
            <w:pPr>
              <w:pStyle w:val="69"/>
              <w:snapToGrid/>
              <w:ind w:firstLine="496" w:firstLineChars="2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val="en-US" w:bidi="ar"/>
                <w14:textFill>
                  <w14:solidFill>
                    <w14:schemeClr w14:val="tx1"/>
                  </w14:solidFill>
                </w14:textFill>
              </w:rPr>
              <w:t>目前</w:t>
            </w:r>
            <w:r>
              <w:rPr>
                <w:color w:val="000000" w:themeColor="text1"/>
                <w:kern w:val="0"/>
                <w:sz w:val="24"/>
                <w:lang w:bidi="ar"/>
                <w14:textFill>
                  <w14:solidFill>
                    <w14:schemeClr w14:val="tx1"/>
                  </w14:solidFill>
                </w14:textFill>
              </w:rPr>
              <w:t>生活垃圾产生量约20kg/d，6.67t/a</w:t>
            </w:r>
            <w:r>
              <w:rPr>
                <w:rFonts w:hint="eastAsia"/>
                <w:color w:val="000000" w:themeColor="text1"/>
                <w:kern w:val="0"/>
                <w:sz w:val="24"/>
                <w:lang w:bidi="ar"/>
                <w14:textFill>
                  <w14:solidFill>
                    <w14:schemeClr w14:val="tx1"/>
                  </w14:solidFill>
                </w14:textFill>
              </w:rPr>
              <w:t>。</w:t>
            </w:r>
          </w:p>
          <w:p w14:paraId="1D207010">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14:textFill>
                  <w14:solidFill>
                    <w14:schemeClr w14:val="tx1"/>
                  </w14:solidFill>
                </w14:textFill>
              </w:rPr>
              <w:t>项目新增定员</w:t>
            </w:r>
            <w:r>
              <w:rPr>
                <w:rFonts w:hint="eastAsia"/>
                <w:color w:val="000000" w:themeColor="text1"/>
                <w:spacing w:val="0"/>
                <w:kern w:val="0"/>
                <w:sz w:val="24"/>
                <w:lang w:val="en-US"/>
                <w14:textFill>
                  <w14:solidFill>
                    <w14:schemeClr w14:val="tx1"/>
                  </w14:solidFill>
                </w14:textFill>
              </w:rPr>
              <w:t>6</w:t>
            </w:r>
            <w:r>
              <w:rPr>
                <w:rFonts w:hint="eastAsia"/>
                <w:color w:val="000000" w:themeColor="text1"/>
                <w:spacing w:val="0"/>
                <w:kern w:val="0"/>
                <w:sz w:val="24"/>
                <w14:textFill>
                  <w14:solidFill>
                    <w14:schemeClr w14:val="tx1"/>
                  </w14:solidFill>
                </w14:textFill>
              </w:rPr>
              <w:t>人，运营期员工生活垃圾产生量按0.5kg/人.d计，年工作约333天，则生活垃圾</w:t>
            </w:r>
            <w:r>
              <w:rPr>
                <w:rFonts w:hint="eastAsia"/>
                <w:color w:val="000000" w:themeColor="text1"/>
                <w:spacing w:val="0"/>
                <w:kern w:val="0"/>
                <w:sz w:val="24"/>
                <w:lang w:val="en-US"/>
                <w14:textFill>
                  <w14:solidFill>
                    <w14:schemeClr w14:val="tx1"/>
                  </w14:solidFill>
                </w14:textFill>
              </w:rPr>
              <w:t>新增</w:t>
            </w:r>
            <w:r>
              <w:rPr>
                <w:rFonts w:hint="eastAsia"/>
                <w:color w:val="000000" w:themeColor="text1"/>
                <w:spacing w:val="0"/>
                <w:kern w:val="0"/>
                <w:sz w:val="24"/>
                <w14:textFill>
                  <w14:solidFill>
                    <w14:schemeClr w14:val="tx1"/>
                  </w14:solidFill>
                </w14:textFill>
              </w:rPr>
              <w:t>产生量约</w:t>
            </w:r>
            <w:r>
              <w:rPr>
                <w:rFonts w:hint="eastAsia"/>
                <w:color w:val="000000" w:themeColor="text1"/>
                <w:spacing w:val="0"/>
                <w:kern w:val="0"/>
                <w:sz w:val="24"/>
                <w:lang w:val="en-US"/>
                <w14:textFill>
                  <w14:solidFill>
                    <w14:schemeClr w14:val="tx1"/>
                  </w14:solidFill>
                </w14:textFill>
              </w:rPr>
              <w:t>3</w:t>
            </w:r>
            <w:r>
              <w:rPr>
                <w:rFonts w:hint="eastAsia"/>
                <w:color w:val="000000" w:themeColor="text1"/>
                <w:spacing w:val="0"/>
                <w:kern w:val="0"/>
                <w:sz w:val="24"/>
                <w14:textFill>
                  <w14:solidFill>
                    <w14:schemeClr w14:val="tx1"/>
                  </w14:solidFill>
                </w14:textFill>
              </w:rPr>
              <w:t>kg/d，</w:t>
            </w:r>
            <w:r>
              <w:rPr>
                <w:rFonts w:hint="eastAsia"/>
                <w:color w:val="000000" w:themeColor="text1"/>
                <w:spacing w:val="0"/>
                <w:kern w:val="0"/>
                <w:sz w:val="24"/>
                <w:lang w:val="en-US"/>
                <w14:textFill>
                  <w14:solidFill>
                    <w14:schemeClr w14:val="tx1"/>
                  </w14:solidFill>
                </w14:textFill>
              </w:rPr>
              <w:t>0.999</w:t>
            </w:r>
            <w:r>
              <w:rPr>
                <w:rFonts w:hint="eastAsia"/>
                <w:color w:val="000000" w:themeColor="text1"/>
                <w:spacing w:val="0"/>
                <w:kern w:val="0"/>
                <w:sz w:val="24"/>
                <w14:textFill>
                  <w14:solidFill>
                    <w14:schemeClr w14:val="tx1"/>
                  </w14:solidFill>
                </w14:textFill>
              </w:rPr>
              <w:t>t/a；</w:t>
            </w:r>
            <w:r>
              <w:rPr>
                <w:rFonts w:hint="eastAsia"/>
                <w:color w:val="000000" w:themeColor="text1"/>
                <w:spacing w:val="0"/>
                <w:kern w:val="0"/>
                <w:sz w:val="24"/>
                <w:lang w:val="en-US"/>
                <w14:textFill>
                  <w14:solidFill>
                    <w14:schemeClr w14:val="tx1"/>
                  </w14:solidFill>
                </w14:textFill>
              </w:rPr>
              <w:t>全厂生活垃圾产生量约为23kg/d，7.669t/a。</w:t>
            </w:r>
            <w:r>
              <w:rPr>
                <w:rFonts w:hint="eastAsia"/>
                <w:color w:val="000000" w:themeColor="text1"/>
                <w:spacing w:val="0"/>
                <w:kern w:val="0"/>
                <w:sz w:val="24"/>
                <w14:textFill>
                  <w14:solidFill>
                    <w14:schemeClr w14:val="tx1"/>
                  </w14:solidFill>
                </w14:textFill>
              </w:rPr>
              <w:t>收集于垃圾桶内，定期委托环卫部门清运处置。</w:t>
            </w:r>
          </w:p>
          <w:p w14:paraId="05535424">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1.2</w:t>
            </w:r>
            <w:r>
              <w:rPr>
                <w:b/>
                <w:bCs/>
                <w:color w:val="000000" w:themeColor="text1"/>
                <w:kern w:val="0"/>
                <w:sz w:val="24"/>
                <w:lang w:bidi="ar"/>
                <w14:textFill>
                  <w14:solidFill>
                    <w14:schemeClr w14:val="tx1"/>
                  </w14:solidFill>
                </w14:textFill>
              </w:rPr>
              <w:t>厨房废水隔油</w:t>
            </w:r>
            <w:r>
              <w:rPr>
                <w:rFonts w:hint="eastAsia"/>
                <w:b/>
                <w:bCs/>
                <w:color w:val="000000" w:themeColor="text1"/>
                <w:kern w:val="0"/>
                <w:sz w:val="24"/>
                <w:lang w:bidi="ar"/>
                <w14:textFill>
                  <w14:solidFill>
                    <w14:schemeClr w14:val="tx1"/>
                  </w14:solidFill>
                </w14:textFill>
              </w:rPr>
              <w:t>器</w:t>
            </w:r>
            <w:r>
              <w:rPr>
                <w:b/>
                <w:bCs/>
                <w:color w:val="000000" w:themeColor="text1"/>
                <w:kern w:val="0"/>
                <w:sz w:val="24"/>
                <w:lang w:bidi="ar"/>
                <w14:textFill>
                  <w14:solidFill>
                    <w14:schemeClr w14:val="tx1"/>
                  </w14:solidFill>
                </w14:textFill>
              </w:rPr>
              <w:t>废油</w:t>
            </w:r>
            <w:r>
              <w:rPr>
                <w:rFonts w:hint="eastAsia"/>
                <w:b/>
                <w:bCs/>
                <w:color w:val="000000" w:themeColor="text1"/>
                <w:kern w:val="0"/>
                <w:sz w:val="24"/>
                <w:lang w:bidi="ar"/>
                <w14:textFill>
                  <w14:solidFill>
                    <w14:schemeClr w14:val="tx1"/>
                  </w14:solidFill>
                </w14:textFill>
              </w:rPr>
              <w:t>（900-099-S64）</w:t>
            </w:r>
          </w:p>
          <w:p w14:paraId="7C8C7A55">
            <w:pPr>
              <w:pStyle w:val="105"/>
              <w:spacing w:line="360" w:lineRule="auto"/>
              <w:ind w:firstLine="464" w:firstLineChars="200"/>
              <w:rPr>
                <w:rFonts w:ascii="Times New Roman" w:cs="Times New Roman"/>
                <w:color w:val="000000" w:themeColor="text1"/>
                <w:spacing w:val="-4"/>
                <w14:textFill>
                  <w14:solidFill>
                    <w14:schemeClr w14:val="tx1"/>
                  </w14:solidFill>
                </w14:textFill>
              </w:rPr>
            </w:pPr>
            <w:r>
              <w:rPr>
                <w:rFonts w:ascii="Times New Roman"/>
                <w:color w:val="000000" w:themeColor="text1"/>
                <w:spacing w:val="-4"/>
                <w14:textFill>
                  <w14:solidFill>
                    <w14:schemeClr w14:val="tx1"/>
                  </w14:solidFill>
                </w14:textFill>
              </w:rPr>
              <w:t>根据实际运行情况，</w:t>
            </w:r>
            <w:r>
              <w:rPr>
                <w:rFonts w:hint="eastAsia" w:ascii="Times New Roman"/>
                <w:color w:val="000000" w:themeColor="text1"/>
                <w:spacing w:val="-4"/>
                <w14:textFill>
                  <w14:solidFill>
                    <w14:schemeClr w14:val="tx1"/>
                  </w14:solidFill>
                </w14:textFill>
              </w:rPr>
              <w:t>目前</w:t>
            </w:r>
            <w:r>
              <w:rPr>
                <w:rFonts w:ascii="Times New Roman"/>
                <w:color w:val="000000" w:themeColor="text1"/>
                <w:spacing w:val="-4"/>
                <w14:textFill>
                  <w14:solidFill>
                    <w14:schemeClr w14:val="tx1"/>
                  </w14:solidFill>
                </w14:textFill>
              </w:rPr>
              <w:t>隔油箱</w:t>
            </w:r>
            <w:r>
              <w:rPr>
                <w:rFonts w:ascii="Times New Roman"/>
                <w:color w:val="000000" w:themeColor="text1"/>
                <w:spacing w:val="-5"/>
                <w14:textFill>
                  <w14:solidFill>
                    <w14:schemeClr w14:val="tx1"/>
                  </w14:solidFill>
                </w14:textFill>
              </w:rPr>
              <w:t>预处理废油</w:t>
            </w:r>
            <w:r>
              <w:rPr>
                <w:rFonts w:ascii="Times New Roman"/>
                <w:color w:val="000000" w:themeColor="text1"/>
                <w:spacing w:val="-4"/>
                <w14:textFill>
                  <w14:solidFill>
                    <w14:schemeClr w14:val="tx1"/>
                  </w14:solidFill>
                </w14:textFill>
              </w:rPr>
              <w:t>为0.10</w:t>
            </w:r>
            <w:r>
              <w:rPr>
                <w:rFonts w:ascii="Times New Roman" w:eastAsia="Times New Roman"/>
                <w:color w:val="000000" w:themeColor="text1"/>
                <w:spacing w:val="-4"/>
                <w14:textFill>
                  <w14:solidFill>
                    <w14:schemeClr w14:val="tx1"/>
                  </w14:solidFill>
                </w14:textFill>
              </w:rPr>
              <w:t>kg/</w:t>
            </w:r>
            <w:r>
              <w:rPr>
                <w:rFonts w:ascii="Times New Roman" w:eastAsia="Times New Roman"/>
                <w:color w:val="000000" w:themeColor="text1"/>
                <w:spacing w:val="-5"/>
                <w14:textFill>
                  <w14:solidFill>
                    <w14:schemeClr w14:val="tx1"/>
                  </w14:solidFill>
                </w14:textFill>
              </w:rPr>
              <w:t>d</w:t>
            </w:r>
            <w:r>
              <w:rPr>
                <w:rFonts w:ascii="Times New Roman" w:eastAsia="Times New Roman"/>
                <w:color w:val="000000" w:themeColor="text1"/>
                <w:spacing w:val="-32"/>
                <w14:textFill>
                  <w14:solidFill>
                    <w14:schemeClr w14:val="tx1"/>
                  </w14:solidFill>
                </w14:textFill>
              </w:rPr>
              <w:t xml:space="preserve"> </w:t>
            </w:r>
            <w:r>
              <w:rPr>
                <w:rFonts w:ascii="Times New Roman"/>
                <w:color w:val="000000" w:themeColor="text1"/>
                <w:spacing w:val="-32"/>
                <w14:textFill>
                  <w14:solidFill>
                    <w14:schemeClr w14:val="tx1"/>
                  </w14:solidFill>
                </w14:textFill>
              </w:rPr>
              <w:t>，</w:t>
            </w:r>
            <w:r>
              <w:rPr>
                <w:rFonts w:ascii="Times New Roman"/>
                <w:color w:val="000000" w:themeColor="text1"/>
                <w:spacing w:val="-5"/>
                <w14:textFill>
                  <w14:solidFill>
                    <w14:schemeClr w14:val="tx1"/>
                  </w14:solidFill>
                </w14:textFill>
              </w:rPr>
              <w:t>0.03</w:t>
            </w:r>
            <w:r>
              <w:rPr>
                <w:rFonts w:ascii="Times New Roman" w:eastAsia="Times New Roman"/>
                <w:color w:val="000000" w:themeColor="text1"/>
                <w:spacing w:val="-5"/>
                <w14:textFill>
                  <w14:solidFill>
                    <w14:schemeClr w14:val="tx1"/>
                  </w14:solidFill>
                </w14:textFill>
              </w:rPr>
              <w:t>t/a</w:t>
            </w:r>
            <w:r>
              <w:rPr>
                <w:rFonts w:ascii="Times New Roman" w:eastAsia="Times New Roman"/>
                <w:color w:val="000000" w:themeColor="text1"/>
                <w:spacing w:val="-35"/>
                <w14:textFill>
                  <w14:solidFill>
                    <w14:schemeClr w14:val="tx1"/>
                  </w14:solidFill>
                </w14:textFill>
              </w:rPr>
              <w:t xml:space="preserve"> </w:t>
            </w:r>
            <w:r>
              <w:rPr>
                <w:rFonts w:ascii="Times New Roman"/>
                <w:color w:val="000000" w:themeColor="text1"/>
                <w:spacing w:val="3"/>
                <w14:textFill>
                  <w14:solidFill>
                    <w14:schemeClr w14:val="tx1"/>
                  </w14:solidFill>
                </w14:textFill>
              </w:rPr>
              <w:t>。</w:t>
            </w:r>
          </w:p>
          <w:p w14:paraId="2B8A7FD2">
            <w:pPr>
              <w:pStyle w:val="105"/>
              <w:spacing w:line="360" w:lineRule="auto"/>
              <w:ind w:firstLine="460" w:firstLineChars="200"/>
              <w:rPr>
                <w:rFonts w:ascii="Times New Roman" w:cs="Times New Roman"/>
                <w:color w:val="000000" w:themeColor="text1"/>
                <w:kern w:val="0"/>
                <w:lang w:bidi="ar"/>
                <w14:textFill>
                  <w14:solidFill>
                    <w14:schemeClr w14:val="tx1"/>
                  </w14:solidFill>
                </w14:textFill>
              </w:rPr>
            </w:pPr>
            <w:r>
              <w:rPr>
                <w:rFonts w:ascii="Times New Roman" w:cs="Times New Roman"/>
                <w:color w:val="000000" w:themeColor="text1"/>
                <w:spacing w:val="-5"/>
                <w14:textFill>
                  <w14:solidFill>
                    <w14:schemeClr w14:val="tx1"/>
                  </w14:solidFill>
                </w14:textFill>
              </w:rPr>
              <w:t>本项目职工食堂</w:t>
            </w:r>
            <w:r>
              <w:rPr>
                <w:rFonts w:hint="eastAsia" w:ascii="Times New Roman" w:cs="Times New Roman"/>
                <w:color w:val="000000" w:themeColor="text1"/>
                <w:spacing w:val="-5"/>
                <w14:textFill>
                  <w14:solidFill>
                    <w14:schemeClr w14:val="tx1"/>
                  </w14:solidFill>
                </w14:textFill>
              </w:rPr>
              <w:t>新增6</w:t>
            </w:r>
            <w:r>
              <w:rPr>
                <w:rFonts w:ascii="Times New Roman" w:cs="Times New Roman"/>
                <w:color w:val="000000" w:themeColor="text1"/>
                <w:spacing w:val="-5"/>
                <w14:textFill>
                  <w14:solidFill>
                    <w14:schemeClr w14:val="tx1"/>
                  </w14:solidFill>
                </w14:textFill>
              </w:rPr>
              <w:t>人次就餐</w:t>
            </w:r>
            <w:r>
              <w:rPr>
                <w:rFonts w:hint="eastAsia" w:ascii="Times New Roman" w:cs="Times New Roman"/>
                <w:color w:val="000000" w:themeColor="text1"/>
                <w:spacing w:val="-5"/>
                <w14:textFill>
                  <w14:solidFill>
                    <w14:schemeClr w14:val="tx1"/>
                  </w14:solidFill>
                </w14:textFill>
              </w:rPr>
              <w:t>。</w:t>
            </w:r>
            <w:r>
              <w:rPr>
                <w:rFonts w:ascii="Times New Roman" w:cs="Times New Roman"/>
                <w:color w:val="000000" w:themeColor="text1"/>
                <w:spacing w:val="-4"/>
                <w14:textFill>
                  <w14:solidFill>
                    <w14:schemeClr w14:val="tx1"/>
                  </w14:solidFill>
                </w14:textFill>
              </w:rPr>
              <w:t>根据《第一</w:t>
            </w:r>
            <w:r>
              <w:rPr>
                <w:rFonts w:ascii="Times New Roman" w:cs="Times New Roman"/>
                <w:color w:val="000000" w:themeColor="text1"/>
                <w:spacing w:val="-5"/>
                <w14:textFill>
                  <w14:solidFill>
                    <w14:schemeClr w14:val="tx1"/>
                  </w14:solidFill>
                </w14:textFill>
              </w:rPr>
              <w:t>次全国污染源普查 城镇生活源产排污系数手册》第二分册 住宿</w:t>
            </w:r>
            <w:r>
              <w:rPr>
                <w:rFonts w:ascii="Times New Roman" w:cs="Times New Roman"/>
                <w:color w:val="000000" w:themeColor="text1"/>
                <w:spacing w:val="-4"/>
                <w14:textFill>
                  <w14:solidFill>
                    <w14:schemeClr w14:val="tx1"/>
                  </w14:solidFill>
                </w14:textFill>
              </w:rPr>
              <w:t>餐饮业污染物系数，直排动植物油产污系数为</w:t>
            </w:r>
            <w:r>
              <w:rPr>
                <w:rFonts w:ascii="Times New Roman" w:cs="Times New Roman"/>
                <w:color w:val="000000" w:themeColor="text1"/>
                <w:spacing w:val="-51"/>
                <w14:textFill>
                  <w14:solidFill>
                    <w14:schemeClr w14:val="tx1"/>
                  </w14:solidFill>
                </w14:textFill>
              </w:rPr>
              <w:t xml:space="preserve"> </w:t>
            </w:r>
            <w:r>
              <w:rPr>
                <w:rFonts w:ascii="Times New Roman" w:eastAsia="Times New Roman" w:cs="Times New Roman"/>
                <w:color w:val="000000" w:themeColor="text1"/>
                <w:spacing w:val="-4"/>
                <w14:textFill>
                  <w14:solidFill>
                    <w14:schemeClr w14:val="tx1"/>
                  </w14:solidFill>
                </w14:textFill>
              </w:rPr>
              <w:t>6.0</w:t>
            </w:r>
            <w:r>
              <w:rPr>
                <w:rFonts w:ascii="Times New Roman" w:cs="Times New Roman"/>
                <w:color w:val="000000" w:themeColor="text1"/>
                <w:spacing w:val="-4"/>
                <w14:textFill>
                  <w14:solidFill>
                    <w14:schemeClr w14:val="tx1"/>
                  </w14:solidFill>
                </w14:textFill>
              </w:rPr>
              <w:t>克</w:t>
            </w:r>
            <w:r>
              <w:rPr>
                <w:rFonts w:ascii="Times New Roman" w:eastAsia="Times New Roman" w:cs="Times New Roman"/>
                <w:color w:val="000000" w:themeColor="text1"/>
                <w:spacing w:val="-4"/>
                <w14:textFill>
                  <w14:solidFill>
                    <w14:schemeClr w14:val="tx1"/>
                  </w14:solidFill>
                </w14:textFill>
              </w:rPr>
              <w:t>/</w:t>
            </w:r>
            <w:r>
              <w:rPr>
                <w:rFonts w:ascii="Times New Roman" w:cs="Times New Roman"/>
                <w:color w:val="000000" w:themeColor="text1"/>
                <w:spacing w:val="-4"/>
                <w14:textFill>
                  <w14:solidFill>
                    <w14:schemeClr w14:val="tx1"/>
                  </w14:solidFill>
                </w14:textFill>
              </w:rPr>
              <w:t>餐位·天，隔油箱预处理对动植物油的去除效</w:t>
            </w:r>
            <w:r>
              <w:rPr>
                <w:rFonts w:ascii="Times New Roman" w:cs="Times New Roman"/>
                <w:color w:val="000000" w:themeColor="text1"/>
                <w:spacing w:val="-5"/>
                <w14:textFill>
                  <w14:solidFill>
                    <w14:schemeClr w14:val="tx1"/>
                  </w14:solidFill>
                </w14:textFill>
              </w:rPr>
              <w:t>率为</w:t>
            </w:r>
            <w:r>
              <w:rPr>
                <w:rFonts w:ascii="Times New Roman" w:cs="Times New Roman"/>
                <w:color w:val="000000" w:themeColor="text1"/>
                <w:spacing w:val="-45"/>
                <w14:textFill>
                  <w14:solidFill>
                    <w14:schemeClr w14:val="tx1"/>
                  </w14:solidFill>
                </w14:textFill>
              </w:rPr>
              <w:t xml:space="preserve"> </w:t>
            </w:r>
            <w:r>
              <w:rPr>
                <w:rFonts w:ascii="Times New Roman" w:eastAsia="Times New Roman" w:cs="Times New Roman"/>
                <w:color w:val="000000" w:themeColor="text1"/>
                <w:spacing w:val="-5"/>
                <w14:textFill>
                  <w14:solidFill>
                    <w14:schemeClr w14:val="tx1"/>
                  </w14:solidFill>
                </w14:textFill>
              </w:rPr>
              <w:t>50%</w:t>
            </w:r>
            <w:r>
              <w:rPr>
                <w:rFonts w:ascii="Times New Roman" w:eastAsia="Times New Roman" w:cs="Times New Roman"/>
                <w:color w:val="000000" w:themeColor="text1"/>
                <w:spacing w:val="-35"/>
                <w14:textFill>
                  <w14:solidFill>
                    <w14:schemeClr w14:val="tx1"/>
                  </w14:solidFill>
                </w14:textFill>
              </w:rPr>
              <w:t xml:space="preserve"> </w:t>
            </w:r>
            <w:r>
              <w:rPr>
                <w:rFonts w:ascii="Times New Roman" w:cs="Times New Roman"/>
                <w:color w:val="000000" w:themeColor="text1"/>
                <w:spacing w:val="-5"/>
                <w14:textFill>
                  <w14:solidFill>
                    <w14:schemeClr w14:val="tx1"/>
                  </w14:solidFill>
                </w14:textFill>
              </w:rPr>
              <w:t>，预处理去除量约为</w:t>
            </w:r>
            <w:r>
              <w:rPr>
                <w:rFonts w:ascii="Times New Roman" w:cs="Times New Roman"/>
                <w:color w:val="000000" w:themeColor="text1"/>
                <w:spacing w:val="-51"/>
                <w14:textFill>
                  <w14:solidFill>
                    <w14:schemeClr w14:val="tx1"/>
                  </w14:solidFill>
                </w14:textFill>
              </w:rPr>
              <w:t xml:space="preserve"> </w:t>
            </w:r>
            <w:r>
              <w:rPr>
                <w:rFonts w:ascii="Times New Roman" w:eastAsia="Times New Roman" w:cs="Times New Roman"/>
                <w:color w:val="000000" w:themeColor="text1"/>
                <w:spacing w:val="-5"/>
                <w14:textFill>
                  <w14:solidFill>
                    <w14:schemeClr w14:val="tx1"/>
                  </w14:solidFill>
                </w14:textFill>
              </w:rPr>
              <w:t>3.0</w:t>
            </w:r>
            <w:r>
              <w:rPr>
                <w:rFonts w:ascii="Times New Roman" w:cs="Times New Roman"/>
                <w:color w:val="000000" w:themeColor="text1"/>
                <w:spacing w:val="-5"/>
                <w14:textFill>
                  <w14:solidFill>
                    <w14:schemeClr w14:val="tx1"/>
                  </w14:solidFill>
                </w14:textFill>
              </w:rPr>
              <w:t>克</w:t>
            </w:r>
            <w:r>
              <w:rPr>
                <w:rFonts w:ascii="Times New Roman" w:eastAsia="Times New Roman" w:cs="Times New Roman"/>
                <w:color w:val="000000" w:themeColor="text1"/>
                <w:spacing w:val="-5"/>
                <w14:textFill>
                  <w14:solidFill>
                    <w14:schemeClr w14:val="tx1"/>
                  </w14:solidFill>
                </w14:textFill>
              </w:rPr>
              <w:t>/</w:t>
            </w:r>
            <w:r>
              <w:rPr>
                <w:rFonts w:ascii="Times New Roman" w:cs="Times New Roman"/>
                <w:color w:val="000000" w:themeColor="text1"/>
                <w:spacing w:val="-5"/>
                <w14:textFill>
                  <w14:solidFill>
                    <w14:schemeClr w14:val="tx1"/>
                  </w14:solidFill>
                </w14:textFill>
              </w:rPr>
              <w:t>餐位·天。隔油器新增废油</w:t>
            </w:r>
            <w:r>
              <w:rPr>
                <w:rFonts w:ascii="Times New Roman" w:cs="Times New Roman"/>
                <w:color w:val="000000" w:themeColor="text1"/>
                <w:spacing w:val="-4"/>
                <w14:textFill>
                  <w14:solidFill>
                    <w14:schemeClr w14:val="tx1"/>
                  </w14:solidFill>
                </w14:textFill>
              </w:rPr>
              <w:t>为0.018</w:t>
            </w:r>
            <w:r>
              <w:rPr>
                <w:rFonts w:ascii="Times New Roman" w:eastAsia="Times New Roman" w:cs="Times New Roman"/>
                <w:color w:val="000000" w:themeColor="text1"/>
                <w:spacing w:val="-4"/>
                <w14:textFill>
                  <w14:solidFill>
                    <w14:schemeClr w14:val="tx1"/>
                  </w14:solidFill>
                </w14:textFill>
              </w:rPr>
              <w:t>kg/</w:t>
            </w:r>
            <w:r>
              <w:rPr>
                <w:rFonts w:ascii="Times New Roman" w:eastAsia="Times New Roman" w:cs="Times New Roman"/>
                <w:color w:val="000000" w:themeColor="text1"/>
                <w:spacing w:val="-5"/>
                <w14:textFill>
                  <w14:solidFill>
                    <w14:schemeClr w14:val="tx1"/>
                  </w14:solidFill>
                </w14:textFill>
              </w:rPr>
              <w:t>d</w:t>
            </w:r>
            <w:r>
              <w:rPr>
                <w:rFonts w:ascii="Times New Roman" w:eastAsia="Times New Roman" w:cs="Times New Roman"/>
                <w:color w:val="000000" w:themeColor="text1"/>
                <w:spacing w:val="-32"/>
                <w14:textFill>
                  <w14:solidFill>
                    <w14:schemeClr w14:val="tx1"/>
                  </w14:solidFill>
                </w14:textFill>
              </w:rPr>
              <w:t xml:space="preserve"> </w:t>
            </w:r>
            <w:r>
              <w:rPr>
                <w:rFonts w:ascii="Times New Roman" w:cs="Times New Roman"/>
                <w:color w:val="000000" w:themeColor="text1"/>
                <w:spacing w:val="-32"/>
                <w14:textFill>
                  <w14:solidFill>
                    <w14:schemeClr w14:val="tx1"/>
                  </w14:solidFill>
                </w14:textFill>
              </w:rPr>
              <w:t>，</w:t>
            </w:r>
            <w:r>
              <w:rPr>
                <w:rFonts w:ascii="Times New Roman" w:cs="Times New Roman"/>
                <w:color w:val="000000" w:themeColor="text1"/>
                <w:spacing w:val="-5"/>
                <w14:textFill>
                  <w14:solidFill>
                    <w14:schemeClr w14:val="tx1"/>
                  </w14:solidFill>
                </w14:textFill>
              </w:rPr>
              <w:t>0.006</w:t>
            </w:r>
            <w:r>
              <w:rPr>
                <w:rFonts w:ascii="Times New Roman" w:eastAsia="Times New Roman" w:cs="Times New Roman"/>
                <w:color w:val="000000" w:themeColor="text1"/>
                <w:spacing w:val="-5"/>
                <w14:textFill>
                  <w14:solidFill>
                    <w14:schemeClr w14:val="tx1"/>
                  </w14:solidFill>
                </w14:textFill>
              </w:rPr>
              <w:t>t/a</w:t>
            </w:r>
            <w:r>
              <w:rPr>
                <w:rFonts w:ascii="Times New Roman" w:eastAsia="Times New Roman" w:cs="Times New Roman"/>
                <w:color w:val="000000" w:themeColor="text1"/>
                <w:spacing w:val="-35"/>
                <w14:textFill>
                  <w14:solidFill>
                    <w14:schemeClr w14:val="tx1"/>
                  </w14:solidFill>
                </w14:textFill>
              </w:rPr>
              <w:t xml:space="preserve"> </w:t>
            </w:r>
            <w:r>
              <w:rPr>
                <w:rFonts w:ascii="Times New Roman" w:cs="Times New Roman"/>
                <w:color w:val="000000" w:themeColor="text1"/>
                <w:spacing w:val="3"/>
                <w14:textFill>
                  <w14:solidFill>
                    <w14:schemeClr w14:val="tx1"/>
                  </w14:solidFill>
                </w14:textFill>
              </w:rPr>
              <w:t>。</w:t>
            </w:r>
            <w:r>
              <w:rPr>
                <w:rFonts w:ascii="Times New Roman" w:cs="Times New Roman"/>
                <w:color w:val="000000" w:themeColor="text1"/>
                <w14:textFill>
                  <w14:solidFill>
                    <w14:schemeClr w14:val="tx1"/>
                  </w14:solidFill>
                </w14:textFill>
              </w:rPr>
              <w:t>全厂隔油器废油产生量约</w:t>
            </w:r>
            <w:r>
              <w:rPr>
                <w:rFonts w:hint="eastAsia" w:ascii="Times New Roman" w:cs="Times New Roman"/>
                <w:color w:val="000000" w:themeColor="text1"/>
                <w14:textFill>
                  <w14:solidFill>
                    <w14:schemeClr w14:val="tx1"/>
                  </w14:solidFill>
                </w14:textFill>
              </w:rPr>
              <w:t>0.1018</w:t>
            </w:r>
            <w:r>
              <w:rPr>
                <w:rFonts w:ascii="Times New Roman" w:cs="Times New Roman"/>
                <w:color w:val="000000" w:themeColor="text1"/>
                <w14:textFill>
                  <w14:solidFill>
                    <w14:schemeClr w14:val="tx1"/>
                  </w14:solidFill>
                </w14:textFill>
              </w:rPr>
              <w:t>kg/d，</w:t>
            </w:r>
            <w:r>
              <w:rPr>
                <w:rFonts w:hint="eastAsia" w:ascii="Times New Roman" w:cs="Times New Roman"/>
                <w:color w:val="000000" w:themeColor="text1"/>
                <w14:textFill>
                  <w14:solidFill>
                    <w14:schemeClr w14:val="tx1"/>
                  </w14:solidFill>
                </w14:textFill>
              </w:rPr>
              <w:t>0.036</w:t>
            </w:r>
            <w:r>
              <w:rPr>
                <w:rFonts w:ascii="Times New Roman" w:cs="Times New Roman"/>
                <w:color w:val="000000" w:themeColor="text1"/>
                <w14:textFill>
                  <w14:solidFill>
                    <w14:schemeClr w14:val="tx1"/>
                  </w14:solidFill>
                </w14:textFill>
              </w:rPr>
              <w:t>t/a。</w:t>
            </w:r>
            <w:r>
              <w:rPr>
                <w:rFonts w:ascii="Times New Roman" w:cs="Times New Roman"/>
                <w:color w:val="000000" w:themeColor="text1"/>
                <w:kern w:val="0"/>
                <w:lang w:bidi="ar"/>
                <w14:textFill>
                  <w14:solidFill>
                    <w14:schemeClr w14:val="tx1"/>
                  </w14:solidFill>
                </w14:textFill>
              </w:rPr>
              <w:t>收集于专用带盖塑料桶内，定期</w:t>
            </w:r>
            <w:r>
              <w:rPr>
                <w:rFonts w:ascii="Times New Roman" w:cs="Times New Roman"/>
                <w:color w:val="000000" w:themeColor="text1"/>
                <w14:textFill>
                  <w14:solidFill>
                    <w14:schemeClr w14:val="tx1"/>
                  </w14:solidFill>
                </w14:textFill>
              </w:rPr>
              <w:t>委托有资质单位</w:t>
            </w:r>
            <w:r>
              <w:rPr>
                <w:rFonts w:ascii="Times New Roman" w:cs="Times New Roman"/>
                <w:color w:val="000000" w:themeColor="text1"/>
                <w:kern w:val="0"/>
                <w:lang w:bidi="ar"/>
                <w14:textFill>
                  <w14:solidFill>
                    <w14:schemeClr w14:val="tx1"/>
                  </w14:solidFill>
                </w14:textFill>
              </w:rPr>
              <w:t>清运处置。</w:t>
            </w:r>
          </w:p>
          <w:p w14:paraId="544F1D0B">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1.3厨余垃圾（900-002-S61）</w:t>
            </w:r>
          </w:p>
          <w:p w14:paraId="1A804FB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根据实际运行情况，</w:t>
            </w:r>
            <w:r>
              <w:rPr>
                <w:rFonts w:hint="eastAsia"/>
                <w:color w:val="000000" w:themeColor="text1"/>
                <w:sz w:val="24"/>
                <w14:textFill>
                  <w14:solidFill>
                    <w14:schemeClr w14:val="tx1"/>
                  </w14:solidFill>
                </w14:textFill>
              </w:rPr>
              <w:t>目前</w:t>
            </w:r>
            <w:r>
              <w:rPr>
                <w:color w:val="000000" w:themeColor="text1"/>
                <w:sz w:val="24"/>
                <w14:textFill>
                  <w14:solidFill>
                    <w14:schemeClr w14:val="tx1"/>
                  </w14:solidFill>
                </w14:textFill>
              </w:rPr>
              <w:t>厨余垃圾产生量约5kg/d，1.67t/a。</w:t>
            </w:r>
          </w:p>
          <w:p w14:paraId="059D7B7A">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项目新增定员6人，</w:t>
            </w:r>
            <w:r>
              <w:rPr>
                <w:rFonts w:hint="eastAsia"/>
                <w:color w:val="000000" w:themeColor="text1"/>
                <w:sz w:val="24"/>
                <w14:textFill>
                  <w14:solidFill>
                    <w14:schemeClr w14:val="tx1"/>
                  </w14:solidFill>
                </w14:textFill>
              </w:rPr>
              <w:t>厨余垃圾</w:t>
            </w:r>
            <w:r>
              <w:rPr>
                <w:color w:val="000000" w:themeColor="text1"/>
                <w:sz w:val="24"/>
                <w14:textFill>
                  <w14:solidFill>
                    <w14:schemeClr w14:val="tx1"/>
                  </w14:solidFill>
                </w14:textFill>
              </w:rPr>
              <w:t>主要为</w:t>
            </w:r>
            <w:r>
              <w:rPr>
                <w:rFonts w:hint="eastAsia"/>
                <w:color w:val="000000" w:themeColor="text1"/>
                <w:sz w:val="24"/>
                <w14:textFill>
                  <w14:solidFill>
                    <w14:schemeClr w14:val="tx1"/>
                  </w14:solidFill>
                </w14:textFill>
              </w:rPr>
              <w:t>厨房泔水及</w:t>
            </w:r>
            <w:r>
              <w:rPr>
                <w:color w:val="000000" w:themeColor="text1"/>
                <w:sz w:val="24"/>
                <w14:textFill>
                  <w14:solidFill>
                    <w14:schemeClr w14:val="tx1"/>
                  </w14:solidFill>
                </w14:textFill>
              </w:rPr>
              <w:t>剩菜剩饭等，产生量按0.1kg/人·</w:t>
            </w:r>
            <w:r>
              <w:rPr>
                <w:rFonts w:hint="eastAsia"/>
                <w:color w:val="000000" w:themeColor="text1"/>
                <w:sz w:val="24"/>
                <w14:textFill>
                  <w14:solidFill>
                    <w14:schemeClr w14:val="tx1"/>
                  </w14:solidFill>
                </w14:textFill>
              </w:rPr>
              <w:t>餐</w:t>
            </w:r>
            <w:r>
              <w:rPr>
                <w:color w:val="000000" w:themeColor="text1"/>
                <w:sz w:val="24"/>
                <w14:textFill>
                  <w14:solidFill>
                    <w14:schemeClr w14:val="tx1"/>
                  </w14:solidFill>
                </w14:textFill>
              </w:rPr>
              <w:t>计，则项目区内</w:t>
            </w:r>
            <w:r>
              <w:rPr>
                <w:rFonts w:hint="eastAsia"/>
                <w:color w:val="000000" w:themeColor="text1"/>
                <w:sz w:val="24"/>
                <w14:textFill>
                  <w14:solidFill>
                    <w14:schemeClr w14:val="tx1"/>
                  </w14:solidFill>
                </w14:textFill>
              </w:rPr>
              <w:t>厨余垃圾新增</w:t>
            </w:r>
            <w:r>
              <w:rPr>
                <w:color w:val="000000" w:themeColor="text1"/>
                <w:sz w:val="24"/>
                <w14:textFill>
                  <w14:solidFill>
                    <w14:schemeClr w14:val="tx1"/>
                  </w14:solidFill>
                </w14:textFill>
              </w:rPr>
              <w:t>产生量约</w:t>
            </w:r>
            <w:r>
              <w:rPr>
                <w:rFonts w:hint="eastAsia"/>
                <w:color w:val="000000" w:themeColor="text1"/>
                <w:sz w:val="24"/>
                <w14:textFill>
                  <w14:solidFill>
                    <w14:schemeClr w14:val="tx1"/>
                  </w14:solidFill>
                </w14:textFill>
              </w:rPr>
              <w:t>0.6</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0.1998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全厂</w:t>
            </w:r>
            <w:r>
              <w:rPr>
                <w:color w:val="000000" w:themeColor="text1"/>
                <w:sz w:val="24"/>
                <w14:textFill>
                  <w14:solidFill>
                    <w14:schemeClr w14:val="tx1"/>
                  </w14:solidFill>
                </w14:textFill>
              </w:rPr>
              <w:t>厨余垃圾产生量约5</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kg/d，1.</w:t>
            </w:r>
            <w:r>
              <w:rPr>
                <w:rFonts w:hint="eastAsia"/>
                <w:color w:val="000000" w:themeColor="text1"/>
                <w:sz w:val="24"/>
                <w14:textFill>
                  <w14:solidFill>
                    <w14:schemeClr w14:val="tx1"/>
                  </w14:solidFill>
                </w14:textFill>
              </w:rPr>
              <w:t>8698</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使用泔水桶收集</w:t>
            </w:r>
            <w:r>
              <w:rPr>
                <w:rFonts w:hint="eastAsia"/>
                <w:color w:val="000000" w:themeColor="text1"/>
                <w:sz w:val="24"/>
                <w14:textFill>
                  <w14:solidFill>
                    <w14:schemeClr w14:val="tx1"/>
                  </w14:solidFill>
                </w14:textFill>
              </w:rPr>
              <w:t>厨余垃圾</w:t>
            </w:r>
            <w:r>
              <w:rPr>
                <w:color w:val="000000" w:themeColor="text1"/>
                <w:sz w:val="24"/>
                <w14:textFill>
                  <w14:solidFill>
                    <w14:schemeClr w14:val="tx1"/>
                  </w14:solidFill>
                </w14:textFill>
              </w:rPr>
              <w:t>，之后委托</w:t>
            </w:r>
            <w:r>
              <w:rPr>
                <w:rFonts w:hint="eastAsia"/>
                <w:color w:val="000000" w:themeColor="text1"/>
                <w:sz w:val="24"/>
                <w14:textFill>
                  <w14:solidFill>
                    <w14:schemeClr w14:val="tx1"/>
                  </w14:solidFill>
                </w14:textFill>
              </w:rPr>
              <w:t>有</w:t>
            </w:r>
            <w:r>
              <w:rPr>
                <w:color w:val="000000" w:themeColor="text1"/>
                <w:sz w:val="24"/>
                <w14:textFill>
                  <w14:solidFill>
                    <w14:schemeClr w14:val="tx1"/>
                  </w14:solidFill>
                </w14:textFill>
              </w:rPr>
              <w:t>资质单位清运处置。</w:t>
            </w:r>
          </w:p>
          <w:p w14:paraId="05EB8EBF">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1.4化粪池</w:t>
            </w:r>
            <w:r>
              <w:rPr>
                <w:b/>
                <w:bCs/>
                <w:color w:val="000000" w:themeColor="text1"/>
                <w:kern w:val="0"/>
                <w:sz w:val="24"/>
                <w:lang w:bidi="ar"/>
                <w14:textFill>
                  <w14:solidFill>
                    <w14:schemeClr w14:val="tx1"/>
                  </w14:solidFill>
                </w14:textFill>
              </w:rPr>
              <w:t>污泥</w:t>
            </w:r>
            <w:r>
              <w:rPr>
                <w:rFonts w:hint="eastAsia"/>
                <w:b/>
                <w:bCs/>
                <w:color w:val="000000" w:themeColor="text1"/>
                <w:kern w:val="0"/>
                <w:sz w:val="24"/>
                <w:lang w:bidi="ar"/>
                <w14:textFill>
                  <w14:solidFill>
                    <w14:schemeClr w14:val="tx1"/>
                  </w14:solidFill>
                </w14:textFill>
              </w:rPr>
              <w:t>（900-002-S64）</w:t>
            </w:r>
          </w:p>
          <w:p w14:paraId="22388CC2">
            <w:pPr>
              <w:widowControl/>
              <w:spacing w:line="360" w:lineRule="auto"/>
              <w:ind w:firstLine="480" w:firstLineChars="200"/>
              <w:rPr>
                <w:b/>
                <w:bCs/>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目前</w:t>
            </w:r>
            <w:r>
              <w:rPr>
                <w:color w:val="000000" w:themeColor="text1"/>
                <w:kern w:val="0"/>
                <w:sz w:val="24"/>
                <w:lang w:bidi="ar"/>
                <w14:textFill>
                  <w14:solidFill>
                    <w14:schemeClr w14:val="tx1"/>
                  </w14:solidFill>
                </w14:textFill>
              </w:rPr>
              <w:t>化粪池污泥产生量约2.72kg/d，0.9058t/a</w:t>
            </w:r>
            <w:r>
              <w:rPr>
                <w:rFonts w:hint="eastAsia"/>
                <w:color w:val="000000" w:themeColor="text1"/>
                <w:kern w:val="0"/>
                <w:sz w:val="24"/>
                <w:lang w:bidi="ar"/>
                <w14:textFill>
                  <w14:solidFill>
                    <w14:schemeClr w14:val="tx1"/>
                  </w14:solidFill>
                </w14:textFill>
              </w:rPr>
              <w:t>。</w:t>
            </w:r>
          </w:p>
          <w:p w14:paraId="5F3F60F8">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化粪池</w:t>
            </w:r>
            <w:r>
              <w:rPr>
                <w:color w:val="000000" w:themeColor="text1"/>
                <w:kern w:val="0"/>
                <w:sz w:val="24"/>
                <w:lang w:bidi="ar"/>
                <w14:textFill>
                  <w14:solidFill>
                    <w14:schemeClr w14:val="tx1"/>
                  </w14:solidFill>
                </w14:textFill>
              </w:rPr>
              <w:t>在对</w:t>
            </w:r>
            <w:r>
              <w:rPr>
                <w:rFonts w:hint="eastAsia"/>
                <w:color w:val="000000" w:themeColor="text1"/>
                <w:kern w:val="0"/>
                <w:sz w:val="24"/>
                <w:lang w:bidi="ar"/>
                <w14:textFill>
                  <w14:solidFill>
                    <w14:schemeClr w14:val="tx1"/>
                  </w14:solidFill>
                </w14:textFill>
              </w:rPr>
              <w:t>生活污水</w:t>
            </w:r>
            <w:r>
              <w:rPr>
                <w:color w:val="000000" w:themeColor="text1"/>
                <w:kern w:val="0"/>
                <w:sz w:val="24"/>
                <w:lang w:bidi="ar"/>
                <w14:textFill>
                  <w14:solidFill>
                    <w14:schemeClr w14:val="tx1"/>
                  </w14:solidFill>
                </w14:textFill>
              </w:rPr>
              <w:t>进行处理过程中将产生少量污泥，项目进</w:t>
            </w:r>
            <w:r>
              <w:rPr>
                <w:rFonts w:hint="eastAsia"/>
                <w:color w:val="000000" w:themeColor="text1"/>
                <w:kern w:val="0"/>
                <w:sz w:val="24"/>
                <w:lang w:bidi="ar"/>
                <w14:textFill>
                  <w14:solidFill>
                    <w14:schemeClr w14:val="tx1"/>
                  </w14:solidFill>
                </w14:textFill>
              </w:rPr>
              <w:t>化粪池</w:t>
            </w:r>
            <w:r>
              <w:rPr>
                <w:color w:val="000000" w:themeColor="text1"/>
                <w:kern w:val="0"/>
                <w:sz w:val="24"/>
                <w:lang w:bidi="ar"/>
                <w14:textFill>
                  <w14:solidFill>
                    <w14:schemeClr w14:val="tx1"/>
                  </w14:solidFill>
                </w14:textFill>
              </w:rPr>
              <w:t>的废水量</w:t>
            </w:r>
            <w:r>
              <w:rPr>
                <w:rFonts w:hint="eastAsia"/>
                <w:color w:val="000000" w:themeColor="text1"/>
                <w:kern w:val="0"/>
                <w:sz w:val="24"/>
                <w:lang w:bidi="ar"/>
                <w14:textFill>
                  <w14:solidFill>
                    <w14:schemeClr w14:val="tx1"/>
                  </w14:solidFill>
                </w14:textFill>
              </w:rPr>
              <w:t>重新核算后</w:t>
            </w:r>
            <w:r>
              <w:rPr>
                <w:color w:val="000000" w:themeColor="text1"/>
                <w:kern w:val="0"/>
                <w:sz w:val="24"/>
                <w:lang w:bidi="ar"/>
                <w14:textFill>
                  <w14:solidFill>
                    <w14:schemeClr w14:val="tx1"/>
                  </w14:solidFill>
                </w14:textFill>
              </w:rPr>
              <w:t>约</w:t>
            </w:r>
            <w:r>
              <w:rPr>
                <w:rFonts w:hint="eastAsia"/>
                <w:color w:val="000000" w:themeColor="text1"/>
                <w:kern w:val="0"/>
                <w:sz w:val="24"/>
                <w:lang w:bidi="ar"/>
                <w14:textFill>
                  <w14:solidFill>
                    <w14:schemeClr w14:val="tx1"/>
                  </w14:solidFill>
                </w14:textFill>
              </w:rPr>
              <w:t>2.876</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/d，根据</w:t>
            </w:r>
            <w:r>
              <w:rPr>
                <w:rFonts w:hint="eastAsia"/>
                <w:color w:val="000000" w:themeColor="text1"/>
                <w:kern w:val="0"/>
                <w:sz w:val="24"/>
                <w:lang w:bidi="ar"/>
                <w14:textFill>
                  <w14:solidFill>
                    <w14:schemeClr w14:val="tx1"/>
                  </w14:solidFill>
                </w14:textFill>
              </w:rPr>
              <w:t>实际运行情况</w:t>
            </w:r>
            <w:r>
              <w:rPr>
                <w:color w:val="000000" w:themeColor="text1"/>
                <w:kern w:val="0"/>
                <w:sz w:val="24"/>
                <w:lang w:bidi="ar"/>
                <w14:textFill>
                  <w14:solidFill>
                    <w14:schemeClr w14:val="tx1"/>
                  </w14:solidFill>
                </w14:textFill>
              </w:rPr>
              <w:t>进行计算，化粪池污泥产生量约</w:t>
            </w:r>
            <w:r>
              <w:rPr>
                <w:rFonts w:hint="eastAsia"/>
                <w:color w:val="000000" w:themeColor="text1"/>
                <w:kern w:val="0"/>
                <w:sz w:val="24"/>
                <w:lang w:bidi="ar"/>
                <w14:textFill>
                  <w14:solidFill>
                    <w14:schemeClr w14:val="tx1"/>
                  </w14:solidFill>
                </w14:textFill>
              </w:rPr>
              <w:t>2.863</w:t>
            </w:r>
            <w:r>
              <w:rPr>
                <w:color w:val="000000" w:themeColor="text1"/>
                <w:kern w:val="0"/>
                <w:sz w:val="24"/>
                <w:lang w:bidi="ar"/>
                <w14:textFill>
                  <w14:solidFill>
                    <w14:schemeClr w14:val="tx1"/>
                  </w14:solidFill>
                </w14:textFill>
              </w:rPr>
              <w:t>kg/d，</w:t>
            </w:r>
            <w:r>
              <w:rPr>
                <w:rFonts w:hint="eastAsia"/>
                <w:color w:val="000000" w:themeColor="text1"/>
                <w:kern w:val="0"/>
                <w:sz w:val="24"/>
                <w:lang w:bidi="ar"/>
                <w14:textFill>
                  <w14:solidFill>
                    <w14:schemeClr w14:val="tx1"/>
                  </w14:solidFill>
                </w14:textFill>
              </w:rPr>
              <w:t>0.953</w:t>
            </w:r>
            <w:r>
              <w:rPr>
                <w:color w:val="000000" w:themeColor="text1"/>
                <w:kern w:val="0"/>
                <w:sz w:val="24"/>
                <w:lang w:bidi="ar"/>
                <w14:textFill>
                  <w14:solidFill>
                    <w14:schemeClr w14:val="tx1"/>
                  </w14:solidFill>
                </w14:textFill>
              </w:rPr>
              <w:t>t/a，定期委托环卫部门清</w:t>
            </w:r>
            <w:r>
              <w:rPr>
                <w:rFonts w:hint="eastAsia"/>
                <w:color w:val="000000" w:themeColor="text1"/>
                <w:kern w:val="0"/>
                <w:sz w:val="24"/>
                <w:lang w:bidi="ar"/>
                <w14:textFill>
                  <w14:solidFill>
                    <w14:schemeClr w14:val="tx1"/>
                  </w14:solidFill>
                </w14:textFill>
              </w:rPr>
              <w:t>掏</w:t>
            </w:r>
            <w:r>
              <w:rPr>
                <w:color w:val="000000" w:themeColor="text1"/>
                <w:kern w:val="0"/>
                <w:sz w:val="24"/>
                <w:lang w:bidi="ar"/>
                <w14:textFill>
                  <w14:solidFill>
                    <w14:schemeClr w14:val="tx1"/>
                  </w14:solidFill>
                </w14:textFill>
              </w:rPr>
              <w:t>处置。</w:t>
            </w:r>
          </w:p>
          <w:p w14:paraId="6A60DF1D">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1.5生产废</w:t>
            </w:r>
            <w:r>
              <w:rPr>
                <w:rFonts w:hint="eastAsia" w:ascii="宋体" w:hAnsi="宋体" w:cs="宋体"/>
                <w:b/>
                <w:bCs/>
                <w:color w:val="000000" w:themeColor="text1"/>
                <w:kern w:val="0"/>
                <w:sz w:val="24"/>
                <w:lang w:bidi="ar"/>
                <w14:textFill>
                  <w14:solidFill>
                    <w14:schemeClr w14:val="tx1"/>
                  </w14:solidFill>
                </w14:textFill>
              </w:rPr>
              <w:t>水处理系统污泥</w:t>
            </w:r>
            <w:r>
              <w:rPr>
                <w:rFonts w:hint="eastAsia"/>
                <w:b/>
                <w:bCs/>
                <w:color w:val="000000" w:themeColor="text1"/>
                <w:kern w:val="0"/>
                <w:sz w:val="24"/>
                <w:lang w:bidi="ar"/>
                <w14:textFill>
                  <w14:solidFill>
                    <w14:schemeClr w14:val="tx1"/>
                  </w14:solidFill>
                </w14:textFill>
              </w:rPr>
              <w:t>（900-099-S07）</w:t>
            </w:r>
          </w:p>
          <w:p w14:paraId="74F54A51">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，生产废水处理系统污泥池产生的污泥约</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，送至叠螺机进行脱水处理后，定期检测满足《城镇污水处理厂污染物排放标准》GB18918-2002中表6 污泥农用时污染物控制标准限值后，运往云南龙氏肥业有限公司处置</w:t>
            </w:r>
            <w:r>
              <w:rPr>
                <w:rFonts w:hint="eastAsia"/>
                <w:color w:val="000000" w:themeColor="text1"/>
                <w:kern w:val="0"/>
                <w:sz w:val="24"/>
                <w:lang w:bidi="ar"/>
                <w14:textFill>
                  <w14:solidFill>
                    <w14:schemeClr w14:val="tx1"/>
                  </w14:solidFill>
                </w14:textFill>
              </w:rPr>
              <w:t>。本项目建成后进入生产污水处理系统废水轻微减少，因此无新增污泥量。</w:t>
            </w:r>
          </w:p>
          <w:p w14:paraId="28FC9F7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1.6</w:t>
            </w:r>
            <w:r>
              <w:rPr>
                <w:b/>
                <w:bCs/>
                <w:color w:val="000000" w:themeColor="text1"/>
                <w:kern w:val="0"/>
                <w:sz w:val="24"/>
                <w:lang w:bidi="ar"/>
                <w14:textFill>
                  <w14:solidFill>
                    <w14:schemeClr w14:val="tx1"/>
                  </w14:solidFill>
                </w14:textFill>
              </w:rPr>
              <w:t>热风炉生物质燃烧灰渣</w:t>
            </w:r>
            <w:r>
              <w:rPr>
                <w:rFonts w:hint="eastAsia"/>
                <w:b/>
                <w:bCs/>
                <w:color w:val="000000" w:themeColor="text1"/>
                <w:kern w:val="0"/>
                <w:sz w:val="24"/>
                <w:lang w:bidi="ar"/>
                <w14:textFill>
                  <w14:solidFill>
                    <w14:schemeClr w14:val="tx1"/>
                  </w14:solidFill>
                </w14:textFill>
              </w:rPr>
              <w:t>（900-099-S03）</w:t>
            </w:r>
          </w:p>
          <w:p w14:paraId="1918EA97">
            <w:pPr>
              <w:pStyle w:val="69"/>
              <w:snapToGrid/>
              <w:ind w:firstLine="496" w:firstLineChars="200"/>
              <w:jc w:val="both"/>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根据</w:t>
            </w:r>
            <w:r>
              <w:rPr>
                <w:rFonts w:hint="eastAsia"/>
                <w:color w:val="000000" w:themeColor="text1"/>
                <w:kern w:val="0"/>
                <w:sz w:val="24"/>
                <w:lang w:val="en-US" w:bidi="ar"/>
                <w14:textFill>
                  <w14:solidFill>
                    <w14:schemeClr w14:val="tx1"/>
                  </w14:solidFill>
                </w14:textFill>
              </w:rPr>
              <w:t>目前公司竣工验收运行</w:t>
            </w:r>
            <w:r>
              <w:rPr>
                <w:color w:val="000000" w:themeColor="text1"/>
                <w:kern w:val="0"/>
                <w:sz w:val="24"/>
                <w:lang w:bidi="ar"/>
                <w14:textFill>
                  <w14:solidFill>
                    <w14:schemeClr w14:val="tx1"/>
                  </w14:solidFill>
                </w14:textFill>
              </w:rPr>
              <w:t>情况</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项目生物质燃烧产生的灰渣约180t/a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rFonts w:hint="eastAsia"/>
                <w:color w:val="000000" w:themeColor="text1"/>
                <w:sz w:val="24"/>
                <w14:textFill>
                  <w14:solidFill>
                    <w14:schemeClr w14:val="tx1"/>
                  </w14:solidFill>
                </w14:textFill>
              </w:rPr>
              <w:t>。</w:t>
            </w:r>
          </w:p>
          <w:p w14:paraId="79D62C3D">
            <w:pPr>
              <w:pStyle w:val="69"/>
              <w:snapToGrid/>
              <w:ind w:firstLine="496" w:firstLineChars="200"/>
              <w:jc w:val="both"/>
              <w:rPr>
                <w:color w:val="000000" w:themeColor="text1"/>
                <w:spacing w:val="0"/>
                <w:kern w:val="0"/>
                <w:sz w:val="24"/>
                <w14:textFill>
                  <w14:solidFill>
                    <w14:schemeClr w14:val="tx1"/>
                  </w14:solidFill>
                </w14:textFill>
              </w:rPr>
            </w:pPr>
            <w:r>
              <w:rPr>
                <w:rFonts w:hint="eastAsia"/>
                <w:color w:val="000000" w:themeColor="text1"/>
                <w:sz w:val="24"/>
                <w:lang w:val="en-US"/>
                <w14:textFill>
                  <w14:solidFill>
                    <w14:schemeClr w14:val="tx1"/>
                  </w14:solidFill>
                </w14:textFill>
              </w:rPr>
              <w:t>本项目建成后，</w:t>
            </w:r>
            <w:r>
              <w:rPr>
                <w:rFonts w:hint="eastAsia"/>
                <w:bCs/>
                <w:color w:val="000000" w:themeColor="text1"/>
                <w:sz w:val="24"/>
                <w:lang w:val="en-US"/>
                <w14:textFill>
                  <w14:solidFill>
                    <w14:schemeClr w14:val="tx1"/>
                  </w14:solidFill>
                </w14:textFill>
              </w:rPr>
              <w:t>因蔬菜压榨脱水后90%的果蔬渣将不再进入烘干程序，运至有机肥发酵车间制作有机肥，则烘干所用生物质燃料也将减少90%，则扩建后项目生物质燃烧产生的灰渣约18t/a，</w:t>
            </w:r>
            <w:r>
              <w:rPr>
                <w:color w:val="000000" w:themeColor="text1"/>
                <w:sz w:val="24"/>
                <w14:textFill>
                  <w14:solidFill>
                    <w14:schemeClr w14:val="tx1"/>
                  </w14:solidFill>
                </w14:textFill>
              </w:rPr>
              <w:t>运往云南龙氏肥业有限公司处置</w:t>
            </w:r>
            <w:r>
              <w:rPr>
                <w:rFonts w:hint="eastAsia"/>
                <w:color w:val="000000" w:themeColor="text1"/>
                <w:sz w:val="24"/>
                <w14:textFill>
                  <w14:solidFill>
                    <w14:schemeClr w14:val="tx1"/>
                  </w14:solidFill>
                </w14:textFill>
              </w:rPr>
              <w:t>。</w:t>
            </w:r>
          </w:p>
          <w:p w14:paraId="35E8F137">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1.7</w:t>
            </w:r>
            <w:r>
              <w:rPr>
                <w:b/>
                <w:bCs/>
                <w:color w:val="000000" w:themeColor="text1"/>
                <w:kern w:val="0"/>
                <w:sz w:val="24"/>
                <w:lang w:bidi="ar"/>
                <w14:textFill>
                  <w14:solidFill>
                    <w14:schemeClr w14:val="tx1"/>
                  </w14:solidFill>
                </w14:textFill>
              </w:rPr>
              <w:t>收尘渣</w:t>
            </w:r>
            <w:r>
              <w:rPr>
                <w:rFonts w:hint="eastAsia"/>
                <w:b/>
                <w:bCs/>
                <w:color w:val="000000" w:themeColor="text1"/>
                <w:kern w:val="0"/>
                <w:sz w:val="24"/>
                <w:lang w:bidi="ar"/>
                <w14:textFill>
                  <w14:solidFill>
                    <w14:schemeClr w14:val="tx1"/>
                  </w14:solidFill>
                </w14:textFill>
              </w:rPr>
              <w:t>（900-099-S06）</w:t>
            </w:r>
          </w:p>
          <w:p w14:paraId="18390673">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根据实际运行情况，热风炉燃料燃烧废气</w:t>
            </w:r>
            <w:r>
              <w:rPr>
                <w:rFonts w:hint="eastAsia"/>
                <w:color w:val="000000" w:themeColor="text1"/>
                <w:kern w:val="0"/>
                <w:sz w:val="24"/>
                <w:lang w:bidi="ar"/>
                <w14:textFill>
                  <w14:solidFill>
                    <w14:schemeClr w14:val="tx1"/>
                  </w14:solidFill>
                </w14:textFill>
              </w:rPr>
              <w:t>收</w:t>
            </w:r>
            <w:r>
              <w:rPr>
                <w:color w:val="000000" w:themeColor="text1"/>
                <w:kern w:val="0"/>
                <w:sz w:val="24"/>
                <w:lang w:bidi="ar"/>
                <w14:textFill>
                  <w14:solidFill>
                    <w14:schemeClr w14:val="tx1"/>
                  </w14:solidFill>
                </w14:textFill>
              </w:rPr>
              <w:t>尘渣量约为7t/a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本项目建成后，</w:t>
            </w:r>
            <w:r>
              <w:rPr>
                <w:rFonts w:hint="eastAsia"/>
                <w:bCs/>
                <w:color w:val="000000" w:themeColor="text1"/>
                <w:sz w:val="24"/>
                <w14:textFill>
                  <w14:solidFill>
                    <w14:schemeClr w14:val="tx1"/>
                  </w14:solidFill>
                </w14:textFill>
              </w:rPr>
              <w:t>则烘干废气减少90%，则全厂</w:t>
            </w:r>
            <w:r>
              <w:rPr>
                <w:rFonts w:hint="eastAsia"/>
                <w:color w:val="000000" w:themeColor="text1"/>
                <w:kern w:val="0"/>
                <w:sz w:val="24"/>
                <w:lang w:bidi="ar"/>
                <w14:textFill>
                  <w14:solidFill>
                    <w14:schemeClr w14:val="tx1"/>
                  </w14:solidFill>
                </w14:textFill>
              </w:rPr>
              <w:t>收</w:t>
            </w:r>
            <w:r>
              <w:rPr>
                <w:color w:val="000000" w:themeColor="text1"/>
                <w:kern w:val="0"/>
                <w:sz w:val="24"/>
                <w:lang w:bidi="ar"/>
                <w14:textFill>
                  <w14:solidFill>
                    <w14:schemeClr w14:val="tx1"/>
                  </w14:solidFill>
                </w14:textFill>
              </w:rPr>
              <w:t>尘渣量约为</w:t>
            </w:r>
            <w:r>
              <w:rPr>
                <w:rFonts w:hint="eastAsia"/>
                <w:color w:val="000000" w:themeColor="text1"/>
                <w:kern w:val="0"/>
                <w:sz w:val="24"/>
                <w:lang w:bidi="ar"/>
                <w14:textFill>
                  <w14:solidFill>
                    <w14:schemeClr w14:val="tx1"/>
                  </w14:solidFill>
                </w14:textFill>
              </w:rPr>
              <w:t>0.</w:t>
            </w:r>
            <w:r>
              <w:rPr>
                <w:color w:val="000000" w:themeColor="text1"/>
                <w:kern w:val="0"/>
                <w:sz w:val="24"/>
                <w:lang w:bidi="ar"/>
                <w14:textFill>
                  <w14:solidFill>
                    <w14:schemeClr w14:val="tx1"/>
                  </w14:solidFill>
                </w14:textFill>
              </w:rPr>
              <w:t>7t/a</w:t>
            </w:r>
            <w:r>
              <w:rPr>
                <w:rFonts w:hint="eastAsia"/>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运往云南龙氏肥业有限公司处置</w:t>
            </w:r>
            <w:r>
              <w:rPr>
                <w:color w:val="000000" w:themeColor="text1"/>
                <w:kern w:val="0"/>
                <w:sz w:val="24"/>
                <w:lang w:bidi="ar"/>
                <w14:textFill>
                  <w14:solidFill>
                    <w14:schemeClr w14:val="tx1"/>
                  </w14:solidFill>
                </w14:textFill>
              </w:rPr>
              <w:t>。</w:t>
            </w:r>
          </w:p>
          <w:p w14:paraId="3AFADCC4">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1.8</w:t>
            </w:r>
            <w:r>
              <w:rPr>
                <w:b/>
                <w:bCs/>
                <w:color w:val="000000" w:themeColor="text1"/>
                <w:kern w:val="0"/>
                <w:sz w:val="24"/>
                <w:lang w:bidi="ar"/>
                <w14:textFill>
                  <w14:solidFill>
                    <w14:schemeClr w14:val="tx1"/>
                  </w14:solidFill>
                </w14:textFill>
              </w:rPr>
              <w:t>废活性炭</w:t>
            </w:r>
            <w:r>
              <w:rPr>
                <w:rFonts w:hint="eastAsia"/>
                <w:b/>
                <w:bCs/>
                <w:color w:val="000000" w:themeColor="text1"/>
                <w:kern w:val="0"/>
                <w:sz w:val="24"/>
                <w:lang w:bidi="ar"/>
                <w14:textFill>
                  <w14:solidFill>
                    <w14:schemeClr w14:val="tx1"/>
                  </w14:solidFill>
                </w14:textFill>
              </w:rPr>
              <w:t>（900-008-S59）</w:t>
            </w:r>
          </w:p>
          <w:p w14:paraId="26ED1D5A">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项目生产废水处理系统中投加粉末活性炭净化水质，会产生废活性炭，产生量约为12t/a，经对照《国家危险废物名录》（2025年）水质净化过程中产生的废活性炭未列入其中，废活性炭和污泥一起处置。</w:t>
            </w:r>
            <w:r>
              <w:rPr>
                <w:rFonts w:hint="eastAsia"/>
                <w:color w:val="000000" w:themeColor="text1"/>
                <w:kern w:val="0"/>
                <w:sz w:val="24"/>
                <w:lang w:bidi="ar"/>
                <w14:textFill>
                  <w14:solidFill>
                    <w14:schemeClr w14:val="tx1"/>
                  </w14:solidFill>
                </w14:textFill>
              </w:rPr>
              <w:t>本项目建成后进入生产污水处理系统废水轻微减少，因此无新增废活性炭量。</w:t>
            </w:r>
          </w:p>
          <w:p w14:paraId="44108C82">
            <w:pPr>
              <w:widowControl/>
              <w:spacing w:before="48" w:beforeLines="20"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1.9</w:t>
            </w:r>
            <w:r>
              <w:rPr>
                <w:b/>
                <w:bCs/>
                <w:color w:val="000000" w:themeColor="text1"/>
                <w:kern w:val="0"/>
                <w:sz w:val="24"/>
                <w:lang w:bidi="ar"/>
                <w14:textFill>
                  <w14:solidFill>
                    <w14:schemeClr w14:val="tx1"/>
                  </w14:solidFill>
                </w14:textFill>
              </w:rPr>
              <w:t>废矿物油</w:t>
            </w:r>
            <w:r>
              <w:rPr>
                <w:rFonts w:hint="eastAsia"/>
                <w:b/>
                <w:bCs/>
                <w:color w:val="000000" w:themeColor="text1"/>
                <w:kern w:val="0"/>
                <w:sz w:val="24"/>
                <w:lang w:bidi="ar"/>
                <w14:textFill>
                  <w14:solidFill>
                    <w14:schemeClr w14:val="tx1"/>
                  </w14:solidFill>
                </w14:textFill>
              </w:rPr>
              <w:t>（900-214-08）</w:t>
            </w:r>
          </w:p>
          <w:p w14:paraId="58201199">
            <w:pPr>
              <w:widowControl/>
              <w:spacing w:before="48" w:beforeLines="20"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项目机械设备维护、修理过程中产生的含油废物属《国家危险废物名录》</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color w:val="000000" w:themeColor="text1"/>
                <w:kern w:val="0"/>
                <w:sz w:val="24"/>
                <w:lang w:bidi="ar"/>
                <w14:textFill>
                  <w14:solidFill>
                    <w14:schemeClr w14:val="tx1"/>
                  </w14:solidFill>
                </w14:textFill>
              </w:rPr>
              <w:t>中废矿物油及含矿物油废物（HW08）类别中900-214-08所规定的危险废物。</w:t>
            </w:r>
          </w:p>
          <w:p w14:paraId="58BCD84C">
            <w:pPr>
              <w:widowControl/>
              <w:spacing w:before="48" w:beforeLines="20" w:line="360" w:lineRule="auto"/>
              <w:ind w:firstLine="480" w:firstLineChars="200"/>
              <w:rPr>
                <w:b/>
                <w:color w:val="000000" w:themeColor="text1"/>
                <w:kern w:val="1"/>
                <w:szCs w:val="21"/>
                <w14:textFill>
                  <w14:solidFill>
                    <w14:schemeClr w14:val="tx1"/>
                  </w14:solidFill>
                </w14:textFill>
              </w:rPr>
            </w:pPr>
            <w:r>
              <w:rPr>
                <w:color w:val="000000" w:themeColor="text1"/>
                <w:kern w:val="0"/>
                <w:sz w:val="24"/>
                <w:lang w:bidi="ar"/>
                <w14:textFill>
                  <w14:solidFill>
                    <w14:schemeClr w14:val="tx1"/>
                  </w14:solidFill>
                </w14:textFill>
              </w:rPr>
              <w:t>根据实际运行情况</w:t>
            </w:r>
            <w:r>
              <w:rPr>
                <w:rFonts w:hint="eastAsia"/>
                <w:color w:val="000000" w:themeColor="text1"/>
                <w:kern w:val="0"/>
                <w:sz w:val="24"/>
                <w:lang w:bidi="ar"/>
                <w14:textFill>
                  <w14:solidFill>
                    <w14:schemeClr w14:val="tx1"/>
                  </w14:solidFill>
                </w14:textFill>
              </w:rPr>
              <w:t>，目前</w:t>
            </w:r>
            <w:r>
              <w:rPr>
                <w:color w:val="000000" w:themeColor="text1"/>
                <w:kern w:val="0"/>
                <w:sz w:val="24"/>
                <w:lang w:bidi="ar"/>
                <w14:textFill>
                  <w14:solidFill>
                    <w14:schemeClr w14:val="tx1"/>
                  </w14:solidFill>
                </w14:textFill>
              </w:rPr>
              <w:t>运营期间废矿物油产生量约0.05t/a，已建设有一间建筑面积不小于6m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的危险废物贮存库并配有1个危废临时储存容器用于收集机械设备维护、修理过程中产生的含油废物等危险废物，定期交由云南泽森环保科技有限公司进行处理</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并建立健全危险废物产生、处理、转移台账记录。</w:t>
            </w:r>
          </w:p>
          <w:p w14:paraId="1F618946">
            <w:pPr>
              <w:widowControl/>
              <w:spacing w:before="48" w:beforeLines="20" w:line="360" w:lineRule="auto"/>
              <w:ind w:firstLine="480" w:firstLineChars="200"/>
              <w:rPr>
                <w:b/>
                <w:color w:val="000000" w:themeColor="text1"/>
                <w:kern w:val="1"/>
                <w:szCs w:val="21"/>
                <w14:textFill>
                  <w14:solidFill>
                    <w14:schemeClr w14:val="tx1"/>
                  </w14:solidFill>
                </w14:textFill>
              </w:rPr>
            </w:pPr>
            <w:r>
              <w:rPr>
                <w:rFonts w:hint="eastAsia"/>
                <w:color w:val="000000" w:themeColor="text1"/>
                <w:kern w:val="0"/>
                <w:sz w:val="24"/>
                <w:lang w:bidi="ar"/>
                <w14:textFill>
                  <w14:solidFill>
                    <w14:schemeClr w14:val="tx1"/>
                  </w14:solidFill>
                </w14:textFill>
              </w:rPr>
              <w:t>本项目建成后，</w:t>
            </w:r>
            <w:r>
              <w:rPr>
                <w:color w:val="000000" w:themeColor="text1"/>
                <w:kern w:val="0"/>
                <w:sz w:val="24"/>
                <w:lang w:bidi="ar"/>
                <w14:textFill>
                  <w14:solidFill>
                    <w14:schemeClr w14:val="tx1"/>
                  </w14:solidFill>
                </w14:textFill>
              </w:rPr>
              <w:t>机械设备维护、修理</w:t>
            </w:r>
            <w:r>
              <w:rPr>
                <w:rFonts w:hint="eastAsia"/>
                <w:color w:val="000000" w:themeColor="text1"/>
                <w:kern w:val="0"/>
                <w:sz w:val="24"/>
                <w:lang w:bidi="ar"/>
                <w14:textFill>
                  <w14:solidFill>
                    <w14:schemeClr w14:val="tx1"/>
                  </w14:solidFill>
                </w14:textFill>
              </w:rPr>
              <w:t>的数量增加，废机油产生量预计增加0.01t/a，全厂废机油生产量0.06t/a，暂存于现有</w:t>
            </w:r>
            <w:r>
              <w:rPr>
                <w:color w:val="000000" w:themeColor="text1"/>
                <w:kern w:val="0"/>
                <w:sz w:val="24"/>
                <w:lang w:bidi="ar"/>
                <w14:textFill>
                  <w14:solidFill>
                    <w14:schemeClr w14:val="tx1"/>
                  </w14:solidFill>
                </w14:textFill>
              </w:rPr>
              <w:t>6m</w:t>
            </w:r>
            <w:r>
              <w:rPr>
                <w:color w:val="000000" w:themeColor="text1"/>
                <w:kern w:val="0"/>
                <w:sz w:val="24"/>
                <w:vertAlign w:val="superscript"/>
                <w:lang w:bidi="ar"/>
                <w14:textFill>
                  <w14:solidFill>
                    <w14:schemeClr w14:val="tx1"/>
                  </w14:solidFill>
                </w14:textFill>
              </w:rPr>
              <w:t>2</w:t>
            </w:r>
            <w:r>
              <w:rPr>
                <w:color w:val="000000" w:themeColor="text1"/>
                <w:kern w:val="0"/>
                <w:sz w:val="24"/>
                <w:lang w:bidi="ar"/>
                <w14:textFill>
                  <w14:solidFill>
                    <w14:schemeClr w14:val="tx1"/>
                  </w14:solidFill>
                </w14:textFill>
              </w:rPr>
              <w:t>的危险废物贮存库</w:t>
            </w:r>
            <w:r>
              <w:rPr>
                <w:rFonts w:hint="eastAsia"/>
                <w:color w:val="000000" w:themeColor="text1"/>
                <w:kern w:val="0"/>
                <w:sz w:val="24"/>
                <w:lang w:bidi="ar"/>
                <w14:textFill>
                  <w14:solidFill>
                    <w14:schemeClr w14:val="tx1"/>
                  </w14:solidFill>
                </w14:textFill>
              </w:rPr>
              <w:t>及</w:t>
            </w:r>
            <w:r>
              <w:rPr>
                <w:color w:val="000000" w:themeColor="text1"/>
                <w:kern w:val="0"/>
                <w:sz w:val="24"/>
                <w:lang w:bidi="ar"/>
                <w14:textFill>
                  <w14:solidFill>
                    <w14:schemeClr w14:val="tx1"/>
                  </w14:solidFill>
                </w14:textFill>
              </w:rPr>
              <w:t>危废临时储存容器</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定期交由云南泽森环保科技有限公司进行处理</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并建立健全危险废物产生、处理、转移台账记录。</w:t>
            </w:r>
          </w:p>
          <w:p w14:paraId="4FA8C0E8">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1.10不合格产品（900-099-S59）</w:t>
            </w:r>
          </w:p>
          <w:p w14:paraId="20D1B320">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本项目有机肥产品采用抽检分析，根据建设单位提供，不合格率约为1%，产品为</w:t>
            </w:r>
            <w:r>
              <w:rPr>
                <w:rFonts w:hint="eastAsia"/>
                <w:color w:val="000000" w:themeColor="text1"/>
                <w:spacing w:val="0"/>
                <w:kern w:val="0"/>
                <w:sz w:val="24"/>
                <w:lang w:val="en-US" w:eastAsia="zh-CN"/>
                <w14:textFill>
                  <w14:solidFill>
                    <w14:schemeClr w14:val="tx1"/>
                  </w14:solidFill>
                </w14:textFill>
              </w:rPr>
              <w:t>8000+80000=88000</w:t>
            </w:r>
            <w:r>
              <w:rPr>
                <w:rFonts w:hint="eastAsia"/>
                <w:color w:val="000000" w:themeColor="text1"/>
                <w:spacing w:val="0"/>
                <w:kern w:val="0"/>
                <w:sz w:val="24"/>
                <w:lang w:val="en-US"/>
                <w14:textFill>
                  <w14:solidFill>
                    <w14:schemeClr w14:val="tx1"/>
                  </w14:solidFill>
                </w14:textFill>
              </w:rPr>
              <w:t>t/a。则不合格品产生量为</w:t>
            </w:r>
            <w:r>
              <w:rPr>
                <w:rFonts w:hint="eastAsia"/>
                <w:color w:val="000000" w:themeColor="text1"/>
                <w:spacing w:val="0"/>
                <w:kern w:val="0"/>
                <w:sz w:val="24"/>
                <w:lang w:val="en-US" w:eastAsia="zh-CN"/>
                <w14:textFill>
                  <w14:solidFill>
                    <w14:schemeClr w14:val="tx1"/>
                  </w14:solidFill>
                </w14:textFill>
              </w:rPr>
              <w:t>880</w:t>
            </w:r>
            <w:r>
              <w:rPr>
                <w:rFonts w:hint="eastAsia"/>
                <w:color w:val="000000" w:themeColor="text1"/>
                <w:spacing w:val="0"/>
                <w:kern w:val="0"/>
                <w:sz w:val="24"/>
                <w:lang w:val="en-US"/>
                <w14:textFill>
                  <w14:solidFill>
                    <w14:schemeClr w14:val="tx1"/>
                  </w14:solidFill>
                </w14:textFill>
              </w:rPr>
              <w:t>t/a，经收集后返回生产。</w:t>
            </w:r>
          </w:p>
          <w:p w14:paraId="3C134832">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1.11</w:t>
            </w:r>
            <w:r>
              <w:rPr>
                <w:rFonts w:hint="eastAsia"/>
                <w:b/>
                <w:bCs/>
                <w:color w:val="000000" w:themeColor="text1"/>
                <w:spacing w:val="0"/>
                <w:kern w:val="0"/>
                <w:sz w:val="24"/>
                <w:lang w:val="en-US" w:eastAsia="zh-CN"/>
                <w14:textFill>
                  <w14:solidFill>
                    <w14:schemeClr w14:val="tx1"/>
                  </w14:solidFill>
                </w14:textFill>
              </w:rPr>
              <w:t>沉降粉尘</w:t>
            </w:r>
            <w:r>
              <w:rPr>
                <w:rFonts w:hint="eastAsia"/>
                <w:b/>
                <w:bCs/>
                <w:color w:val="000000" w:themeColor="text1"/>
                <w:spacing w:val="0"/>
                <w:kern w:val="0"/>
                <w:sz w:val="24"/>
                <w:lang w:val="en-US"/>
                <w14:textFill>
                  <w14:solidFill>
                    <w14:schemeClr w14:val="tx1"/>
                  </w14:solidFill>
                </w14:textFill>
              </w:rPr>
              <w:t>（900-099-S59）</w:t>
            </w:r>
          </w:p>
          <w:p w14:paraId="0E549CF4">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根据工程分析，</w:t>
            </w:r>
            <w:r>
              <w:rPr>
                <w:rFonts w:hint="eastAsia"/>
                <w:color w:val="000000" w:themeColor="text1"/>
                <w:spacing w:val="0"/>
                <w:kern w:val="0"/>
                <w:sz w:val="24"/>
                <w:lang w:val="en-US" w:eastAsia="zh-CN"/>
                <w14:textFill>
                  <w14:solidFill>
                    <w14:schemeClr w14:val="tx1"/>
                  </w14:solidFill>
                </w14:textFill>
              </w:rPr>
              <w:t>沉降</w:t>
            </w:r>
            <w:r>
              <w:rPr>
                <w:rFonts w:hint="eastAsia"/>
                <w:color w:val="000000" w:themeColor="text1"/>
                <w:spacing w:val="0"/>
                <w:kern w:val="0"/>
                <w:sz w:val="24"/>
                <w:lang w:val="en-US"/>
                <w14:textFill>
                  <w14:solidFill>
                    <w14:schemeClr w14:val="tx1"/>
                  </w14:solidFill>
                </w14:textFill>
              </w:rPr>
              <w:t>粉尘产生量为</w:t>
            </w:r>
            <w:r>
              <w:rPr>
                <w:rFonts w:hint="eastAsia"/>
                <w:color w:val="000000" w:themeColor="text1"/>
                <w:spacing w:val="0"/>
                <w:kern w:val="0"/>
                <w:sz w:val="24"/>
                <w:lang w:val="en-US" w:eastAsia="zh-CN"/>
                <w14:textFill>
                  <w14:solidFill>
                    <w14:schemeClr w14:val="tx1"/>
                  </w14:solidFill>
                </w14:textFill>
              </w:rPr>
              <w:t>28.95</w:t>
            </w:r>
            <w:r>
              <w:rPr>
                <w:rFonts w:hint="eastAsia"/>
                <w:color w:val="000000" w:themeColor="text1"/>
                <w:spacing w:val="0"/>
                <w:kern w:val="0"/>
                <w:sz w:val="24"/>
                <w:lang w:val="en-US"/>
                <w14:textFill>
                  <w14:solidFill>
                    <w14:schemeClr w14:val="tx1"/>
                  </w14:solidFill>
                </w14:textFill>
              </w:rPr>
              <w:t>t/a，经收集返回生产工序。</w:t>
            </w:r>
          </w:p>
          <w:p w14:paraId="52018E36">
            <w:pPr>
              <w:pStyle w:val="69"/>
              <w:snapToGrid/>
              <w:ind w:firstLine="482" w:firstLineChars="200"/>
              <w:jc w:val="both"/>
              <w:rPr>
                <w:b/>
                <w:bCs/>
                <w:color w:val="000000" w:themeColor="text1"/>
                <w:spacing w:val="0"/>
                <w:kern w:val="0"/>
                <w:sz w:val="24"/>
                <w:lang w:val="en-US"/>
                <w14:textFill>
                  <w14:solidFill>
                    <w14:schemeClr w14:val="tx1"/>
                  </w14:solidFill>
                </w14:textFill>
              </w:rPr>
            </w:pPr>
            <w:r>
              <w:rPr>
                <w:rFonts w:hint="eastAsia"/>
                <w:b/>
                <w:bCs/>
                <w:color w:val="000000" w:themeColor="text1"/>
                <w:spacing w:val="0"/>
                <w:kern w:val="0"/>
                <w:sz w:val="24"/>
                <w:lang w:val="en-US"/>
                <w14:textFill>
                  <w14:solidFill>
                    <w14:schemeClr w14:val="tx1"/>
                  </w14:solidFill>
                </w14:textFill>
              </w:rPr>
              <w:t>1.12废包装物（010-004-S80）</w:t>
            </w:r>
          </w:p>
          <w:p w14:paraId="796F2362">
            <w:pPr>
              <w:pStyle w:val="69"/>
              <w:snapToGrid/>
              <w:ind w:firstLine="480" w:firstLineChars="200"/>
              <w:jc w:val="both"/>
              <w:rPr>
                <w:color w:val="000000" w:themeColor="text1"/>
                <w:spacing w:val="0"/>
                <w:kern w:val="0"/>
                <w:sz w:val="24"/>
                <w:lang w:val="en-US"/>
                <w14:textFill>
                  <w14:solidFill>
                    <w14:schemeClr w14:val="tx1"/>
                  </w14:solidFill>
                </w14:textFill>
              </w:rPr>
            </w:pPr>
            <w:r>
              <w:rPr>
                <w:rFonts w:hint="eastAsia"/>
                <w:color w:val="000000" w:themeColor="text1"/>
                <w:spacing w:val="0"/>
                <w:kern w:val="0"/>
                <w:sz w:val="24"/>
                <w:lang w:val="en-US"/>
                <w14:textFill>
                  <w14:solidFill>
                    <w14:schemeClr w14:val="tx1"/>
                  </w14:solidFill>
                </w14:textFill>
              </w:rPr>
              <w:t>本项目打包过程中会使用编织袋及布袋对产品进行包装，其包装袋为一性次使用，包装随产品出售，损坏率极低，根据业主提供的资料，包装过程中废包装袋单个约为0.2kg，单袋辅料按平均重量50kg计，根据原料消耗量，项目废包装袋产生量约为</w:t>
            </w:r>
            <w:r>
              <w:rPr>
                <w:rFonts w:hint="eastAsia"/>
                <w:color w:val="000000" w:themeColor="text1"/>
                <w:spacing w:val="0"/>
                <w:kern w:val="0"/>
                <w:sz w:val="24"/>
                <w:lang w:val="en-US" w:eastAsia="zh-CN"/>
                <w14:textFill>
                  <w14:solidFill>
                    <w14:schemeClr w14:val="tx1"/>
                  </w14:solidFill>
                </w14:textFill>
              </w:rPr>
              <w:t>485000</w:t>
            </w:r>
            <w:r>
              <w:rPr>
                <w:rFonts w:hint="eastAsia"/>
                <w:color w:val="000000" w:themeColor="text1"/>
                <w:spacing w:val="0"/>
                <w:kern w:val="0"/>
                <w:sz w:val="24"/>
                <w:lang w:val="en-US"/>
                <w14:textFill>
                  <w14:solidFill>
                    <w14:schemeClr w14:val="tx1"/>
                  </w14:solidFill>
                </w14:textFill>
              </w:rPr>
              <w:t>个/a，则废包装袋产生量为</w:t>
            </w:r>
            <w:r>
              <w:rPr>
                <w:rFonts w:hint="eastAsia"/>
                <w:color w:val="000000" w:themeColor="text1"/>
                <w:spacing w:val="0"/>
                <w:kern w:val="0"/>
                <w:sz w:val="24"/>
                <w:lang w:val="en-US" w:eastAsia="zh-CN"/>
                <w14:textFill>
                  <w14:solidFill>
                    <w14:schemeClr w14:val="tx1"/>
                  </w14:solidFill>
                </w14:textFill>
              </w:rPr>
              <w:t>97</w:t>
            </w:r>
            <w:r>
              <w:rPr>
                <w:rFonts w:hint="eastAsia"/>
                <w:color w:val="000000" w:themeColor="text1"/>
                <w:spacing w:val="0"/>
                <w:kern w:val="0"/>
                <w:sz w:val="24"/>
                <w:lang w:val="en-US"/>
                <w14:textFill>
                  <w14:solidFill>
                    <w14:schemeClr w14:val="tx1"/>
                  </w14:solidFill>
                </w14:textFill>
              </w:rPr>
              <w:t>t/a。废包装袋经收集后外售废旧资源回收单位。</w:t>
            </w:r>
          </w:p>
          <w:p w14:paraId="21C9027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项目固废产生及处置方式</w:t>
            </w:r>
            <w:r>
              <w:rPr>
                <w:rFonts w:hint="eastAsia"/>
                <w:color w:val="000000" w:themeColor="text1"/>
                <w:kern w:val="0"/>
                <w:sz w:val="24"/>
                <w14:textFill>
                  <w14:solidFill>
                    <w14:schemeClr w14:val="tx1"/>
                  </w14:solidFill>
                </w14:textFill>
              </w:rPr>
              <w:t>见表4-</w:t>
            </w:r>
            <w:r>
              <w:rPr>
                <w:rFonts w:hint="eastAsia"/>
                <w:color w:val="000000" w:themeColor="text1"/>
                <w:kern w:val="0"/>
                <w:sz w:val="24"/>
                <w:lang w:val="en-US" w:eastAsia="zh-CN"/>
                <w14:textFill>
                  <w14:solidFill>
                    <w14:schemeClr w14:val="tx1"/>
                  </w14:solidFill>
                </w14:textFill>
              </w:rPr>
              <w:t>18</w:t>
            </w:r>
            <w:r>
              <w:rPr>
                <w:rFonts w:hint="eastAsia"/>
                <w:color w:val="000000" w:themeColor="text1"/>
                <w:kern w:val="0"/>
                <w:sz w:val="24"/>
                <w14:textFill>
                  <w14:solidFill>
                    <w14:schemeClr w14:val="tx1"/>
                  </w14:solidFill>
                </w14:textFill>
              </w:rPr>
              <w:t>。</w:t>
            </w:r>
          </w:p>
          <w:p w14:paraId="777F8B76">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18</w:t>
            </w:r>
            <w:r>
              <w:rPr>
                <w:rFonts w:hint="eastAsia"/>
                <w:b/>
                <w:color w:val="000000" w:themeColor="text1"/>
                <w:szCs w:val="21"/>
                <w14:textFill>
                  <w14:solidFill>
                    <w14:schemeClr w14:val="tx1"/>
                  </w14:solidFill>
                </w14:textFill>
              </w:rPr>
              <w:t xml:space="preserve">  项目固废产生量及处置方式</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08"/>
              <w:gridCol w:w="1313"/>
              <w:gridCol w:w="1155"/>
              <w:gridCol w:w="1575"/>
              <w:gridCol w:w="1476"/>
              <w:gridCol w:w="1872"/>
            </w:tblGrid>
            <w:tr w14:paraId="5112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06D50DC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520" w:type="pct"/>
                  <w:tcBorders>
                    <w:tl2br w:val="nil"/>
                    <w:tr2bl w:val="nil"/>
                  </w:tcBorders>
                  <w:vAlign w:val="center"/>
                </w:tcPr>
                <w:p w14:paraId="50279CD6">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名称</w:t>
                  </w:r>
                </w:p>
              </w:tc>
              <w:tc>
                <w:tcPr>
                  <w:tcW w:w="752" w:type="pct"/>
                  <w:tcBorders>
                    <w:tl2br w:val="nil"/>
                    <w:tr2bl w:val="nil"/>
                  </w:tcBorders>
                  <w:vAlign w:val="center"/>
                </w:tcPr>
                <w:p w14:paraId="1E69D94A">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固废代码</w:t>
                  </w:r>
                </w:p>
              </w:tc>
              <w:tc>
                <w:tcPr>
                  <w:tcW w:w="661" w:type="pct"/>
                  <w:tcBorders>
                    <w:tl2br w:val="nil"/>
                    <w:tr2bl w:val="nil"/>
                  </w:tcBorders>
                  <w:vAlign w:val="center"/>
                </w:tcPr>
                <w:p w14:paraId="5DAD24F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现</w:t>
                  </w:r>
                  <w:r>
                    <w:rPr>
                      <w:b/>
                      <w:bCs/>
                      <w:color w:val="000000" w:themeColor="text1"/>
                      <w:kern w:val="0"/>
                      <w:szCs w:val="21"/>
                      <w14:textFill>
                        <w14:solidFill>
                          <w14:schemeClr w14:val="tx1"/>
                        </w14:solidFill>
                      </w14:textFill>
                    </w:rPr>
                    <w:t>产生量（t/a）</w:t>
                  </w:r>
                </w:p>
              </w:tc>
              <w:tc>
                <w:tcPr>
                  <w:tcW w:w="902" w:type="pct"/>
                  <w:tcBorders>
                    <w:tl2br w:val="nil"/>
                    <w:tr2bl w:val="nil"/>
                  </w:tcBorders>
                  <w:vAlign w:val="center"/>
                </w:tcPr>
                <w:p w14:paraId="77ECABAB">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改扩建变化量</w:t>
                  </w:r>
                </w:p>
                <w:p w14:paraId="0749A1C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845" w:type="pct"/>
                  <w:tcBorders>
                    <w:tl2br w:val="nil"/>
                    <w:tr2bl w:val="nil"/>
                  </w:tcBorders>
                  <w:vAlign w:val="center"/>
                </w:tcPr>
                <w:p w14:paraId="6DEC01FE">
                  <w:pPr>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现全厂量</w:t>
                  </w:r>
                  <w:r>
                    <w:rPr>
                      <w:b/>
                      <w:bCs/>
                      <w:color w:val="000000" w:themeColor="text1"/>
                      <w:kern w:val="0"/>
                      <w:szCs w:val="21"/>
                      <w14:textFill>
                        <w14:solidFill>
                          <w14:schemeClr w14:val="tx1"/>
                        </w14:solidFill>
                      </w14:textFill>
                    </w:rPr>
                    <w:t>（t/a）</w:t>
                  </w:r>
                </w:p>
              </w:tc>
              <w:tc>
                <w:tcPr>
                  <w:tcW w:w="1072" w:type="pct"/>
                  <w:tcBorders>
                    <w:tl2br w:val="nil"/>
                    <w:tr2bl w:val="nil"/>
                  </w:tcBorders>
                  <w:vAlign w:val="center"/>
                </w:tcPr>
                <w:p w14:paraId="6A54CFA8">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处置方式</w:t>
                  </w:r>
                </w:p>
              </w:tc>
            </w:tr>
            <w:tr w14:paraId="59BA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560C490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520" w:type="pct"/>
                  <w:tcBorders>
                    <w:tl2br w:val="nil"/>
                    <w:tr2bl w:val="nil"/>
                  </w:tcBorders>
                  <w:vAlign w:val="center"/>
                </w:tcPr>
                <w:p w14:paraId="636DCA66">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生活垃圾</w:t>
                  </w:r>
                </w:p>
              </w:tc>
              <w:tc>
                <w:tcPr>
                  <w:tcW w:w="752" w:type="pct"/>
                  <w:tcBorders>
                    <w:tl2br w:val="nil"/>
                    <w:tr2bl w:val="nil"/>
                  </w:tcBorders>
                  <w:vAlign w:val="center"/>
                </w:tcPr>
                <w:p w14:paraId="5018E76B">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900-099-S64</w:t>
                  </w:r>
                </w:p>
              </w:tc>
              <w:tc>
                <w:tcPr>
                  <w:tcW w:w="661" w:type="pct"/>
                  <w:tcBorders>
                    <w:tl2br w:val="nil"/>
                    <w:tr2bl w:val="nil"/>
                  </w:tcBorders>
                  <w:vAlign w:val="center"/>
                </w:tcPr>
                <w:p w14:paraId="6932670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6.67</w:t>
                  </w:r>
                </w:p>
              </w:tc>
              <w:tc>
                <w:tcPr>
                  <w:tcW w:w="902" w:type="pct"/>
                  <w:tcBorders>
                    <w:tl2br w:val="nil"/>
                    <w:tr2bl w:val="nil"/>
                  </w:tcBorders>
                  <w:vAlign w:val="center"/>
                </w:tcPr>
                <w:p w14:paraId="0CFE0BA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+0.999</w:t>
                  </w:r>
                </w:p>
              </w:tc>
              <w:tc>
                <w:tcPr>
                  <w:tcW w:w="845" w:type="pct"/>
                  <w:tcBorders>
                    <w:tl2br w:val="nil"/>
                    <w:tr2bl w:val="nil"/>
                  </w:tcBorders>
                  <w:vAlign w:val="center"/>
                </w:tcPr>
                <w:p w14:paraId="1D90210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7.669</w:t>
                  </w:r>
                </w:p>
              </w:tc>
              <w:tc>
                <w:tcPr>
                  <w:tcW w:w="1072" w:type="pct"/>
                  <w:tcBorders>
                    <w:tl2br w:val="nil"/>
                    <w:tr2bl w:val="nil"/>
                  </w:tcBorders>
                  <w:vAlign w:val="center"/>
                </w:tcPr>
                <w:p w14:paraId="0332E3D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收集于垃圾桶内，定期委托环卫部门</w:t>
                  </w:r>
                  <w:r>
                    <w:rPr>
                      <w:color w:val="000000" w:themeColor="text1"/>
                      <w:kern w:val="0"/>
                      <w:szCs w:val="21"/>
                      <w:lang w:bidi="ar"/>
                      <w14:textFill>
                        <w14:solidFill>
                          <w14:schemeClr w14:val="tx1"/>
                        </w14:solidFill>
                      </w14:textFill>
                    </w:rPr>
                    <w:t>清运</w:t>
                  </w:r>
                  <w:r>
                    <w:rPr>
                      <w:rFonts w:hint="eastAsia"/>
                      <w:color w:val="000000" w:themeColor="text1"/>
                      <w:kern w:val="0"/>
                      <w:szCs w:val="21"/>
                      <w:lang w:bidi="ar"/>
                      <w14:textFill>
                        <w14:solidFill>
                          <w14:schemeClr w14:val="tx1"/>
                        </w14:solidFill>
                      </w14:textFill>
                    </w:rPr>
                    <w:t>处置</w:t>
                  </w:r>
                  <w:r>
                    <w:rPr>
                      <w:color w:val="000000" w:themeColor="text1"/>
                      <w:kern w:val="0"/>
                      <w:szCs w:val="21"/>
                      <w:lang w:bidi="ar"/>
                      <w14:textFill>
                        <w14:solidFill>
                          <w14:schemeClr w14:val="tx1"/>
                        </w14:solidFill>
                      </w14:textFill>
                    </w:rPr>
                    <w:t>。</w:t>
                  </w:r>
                </w:p>
              </w:tc>
            </w:tr>
            <w:tr w14:paraId="4E9A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4C5672F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520" w:type="pct"/>
                  <w:tcBorders>
                    <w:tl2br w:val="nil"/>
                    <w:tr2bl w:val="nil"/>
                  </w:tcBorders>
                  <w:vAlign w:val="center"/>
                </w:tcPr>
                <w:p w14:paraId="7F7D100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厨房废水隔油</w:t>
                  </w:r>
                  <w:r>
                    <w:rPr>
                      <w:rFonts w:hint="eastAsia"/>
                      <w:color w:val="000000" w:themeColor="text1"/>
                      <w:kern w:val="1"/>
                      <w:szCs w:val="21"/>
                      <w14:textFill>
                        <w14:solidFill>
                          <w14:schemeClr w14:val="tx1"/>
                        </w14:solidFill>
                      </w14:textFill>
                    </w:rPr>
                    <w:t>器</w:t>
                  </w:r>
                  <w:r>
                    <w:rPr>
                      <w:color w:val="000000" w:themeColor="text1"/>
                      <w:kern w:val="1"/>
                      <w:szCs w:val="21"/>
                      <w14:textFill>
                        <w14:solidFill>
                          <w14:schemeClr w14:val="tx1"/>
                        </w14:solidFill>
                      </w14:textFill>
                    </w:rPr>
                    <w:t>废油</w:t>
                  </w:r>
                </w:p>
              </w:tc>
              <w:tc>
                <w:tcPr>
                  <w:tcW w:w="752" w:type="pct"/>
                  <w:tcBorders>
                    <w:tl2br w:val="nil"/>
                    <w:tr2bl w:val="nil"/>
                  </w:tcBorders>
                  <w:vAlign w:val="center"/>
                </w:tcPr>
                <w:p w14:paraId="49FA00AD">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900-099-S64</w:t>
                  </w:r>
                </w:p>
              </w:tc>
              <w:tc>
                <w:tcPr>
                  <w:tcW w:w="661" w:type="pct"/>
                  <w:tcBorders>
                    <w:tl2br w:val="nil"/>
                    <w:tr2bl w:val="nil"/>
                  </w:tcBorders>
                  <w:vAlign w:val="center"/>
                </w:tcPr>
                <w:p w14:paraId="2FADED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0.03</w:t>
                  </w:r>
                </w:p>
              </w:tc>
              <w:tc>
                <w:tcPr>
                  <w:tcW w:w="902" w:type="pct"/>
                  <w:tcBorders>
                    <w:tl2br w:val="nil"/>
                    <w:tr2bl w:val="nil"/>
                  </w:tcBorders>
                  <w:vAlign w:val="center"/>
                </w:tcPr>
                <w:p w14:paraId="31CB974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845" w:type="pct"/>
                  <w:tcBorders>
                    <w:tl2br w:val="nil"/>
                    <w:tr2bl w:val="nil"/>
                  </w:tcBorders>
                  <w:vAlign w:val="center"/>
                </w:tcPr>
                <w:p w14:paraId="3AB6E5F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0.036</w:t>
                  </w:r>
                </w:p>
              </w:tc>
              <w:tc>
                <w:tcPr>
                  <w:tcW w:w="1072" w:type="pct"/>
                  <w:tcBorders>
                    <w:tl2br w:val="nil"/>
                    <w:tr2bl w:val="nil"/>
                  </w:tcBorders>
                  <w:vAlign w:val="center"/>
                </w:tcPr>
                <w:p w14:paraId="4FA0DCA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p>
              </w:tc>
            </w:tr>
            <w:tr w14:paraId="151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2890E1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520" w:type="pct"/>
                  <w:tcBorders>
                    <w:tl2br w:val="nil"/>
                    <w:tr2bl w:val="nil"/>
                  </w:tcBorders>
                  <w:vAlign w:val="center"/>
                </w:tcPr>
                <w:p w14:paraId="51C7858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厨余垃圾</w:t>
                  </w:r>
                </w:p>
              </w:tc>
              <w:tc>
                <w:tcPr>
                  <w:tcW w:w="752" w:type="pct"/>
                  <w:tcBorders>
                    <w:tl2br w:val="nil"/>
                    <w:tr2bl w:val="nil"/>
                  </w:tcBorders>
                  <w:vAlign w:val="center"/>
                </w:tcPr>
                <w:p w14:paraId="7E51EB44">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900-002-S61</w:t>
                  </w:r>
                </w:p>
              </w:tc>
              <w:tc>
                <w:tcPr>
                  <w:tcW w:w="661" w:type="pct"/>
                  <w:tcBorders>
                    <w:tl2br w:val="nil"/>
                    <w:tr2bl w:val="nil"/>
                  </w:tcBorders>
                  <w:vAlign w:val="center"/>
                </w:tcPr>
                <w:p w14:paraId="1816370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1.67</w:t>
                  </w:r>
                </w:p>
              </w:tc>
              <w:tc>
                <w:tcPr>
                  <w:tcW w:w="902" w:type="pct"/>
                  <w:tcBorders>
                    <w:tl2br w:val="nil"/>
                    <w:tr2bl w:val="nil"/>
                  </w:tcBorders>
                  <w:vAlign w:val="center"/>
                </w:tcPr>
                <w:p w14:paraId="3AEC4C4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+0.1998</w:t>
                  </w:r>
                </w:p>
              </w:tc>
              <w:tc>
                <w:tcPr>
                  <w:tcW w:w="845" w:type="pct"/>
                  <w:tcBorders>
                    <w:tl2br w:val="nil"/>
                    <w:tr2bl w:val="nil"/>
                  </w:tcBorders>
                  <w:vAlign w:val="center"/>
                </w:tcPr>
                <w:p w14:paraId="7F55070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1.8698</w:t>
                  </w:r>
                </w:p>
              </w:tc>
              <w:tc>
                <w:tcPr>
                  <w:tcW w:w="1072" w:type="pct"/>
                  <w:tcBorders>
                    <w:tl2br w:val="nil"/>
                    <w:tr2bl w:val="nil"/>
                  </w:tcBorders>
                  <w:vAlign w:val="center"/>
                </w:tcPr>
                <w:p w14:paraId="31313488">
                  <w:pPr>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委托资质单位清运处置。</w:t>
                  </w:r>
                </w:p>
              </w:tc>
            </w:tr>
            <w:tr w14:paraId="6AAD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4E287AF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c>
                <w:tcPr>
                  <w:tcW w:w="520" w:type="pct"/>
                  <w:tcBorders>
                    <w:tl2br w:val="nil"/>
                    <w:tr2bl w:val="nil"/>
                  </w:tcBorders>
                  <w:vAlign w:val="center"/>
                </w:tcPr>
                <w:p w14:paraId="38944B7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化粪池污泥</w:t>
                  </w:r>
                </w:p>
              </w:tc>
              <w:tc>
                <w:tcPr>
                  <w:tcW w:w="752" w:type="pct"/>
                  <w:tcBorders>
                    <w:tl2br w:val="nil"/>
                    <w:tr2bl w:val="nil"/>
                  </w:tcBorders>
                  <w:vAlign w:val="center"/>
                </w:tcPr>
                <w:p w14:paraId="25F864E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900-002-S64</w:t>
                  </w:r>
                </w:p>
              </w:tc>
              <w:tc>
                <w:tcPr>
                  <w:tcW w:w="661" w:type="pct"/>
                  <w:tcBorders>
                    <w:tl2br w:val="nil"/>
                    <w:tr2bl w:val="nil"/>
                  </w:tcBorders>
                  <w:vAlign w:val="center"/>
                </w:tcPr>
                <w:p w14:paraId="7CC6A08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0.9058</w:t>
                  </w:r>
                </w:p>
              </w:tc>
              <w:tc>
                <w:tcPr>
                  <w:tcW w:w="902" w:type="pct"/>
                  <w:tcBorders>
                    <w:tl2br w:val="nil"/>
                    <w:tr2bl w:val="nil"/>
                  </w:tcBorders>
                  <w:vAlign w:val="center"/>
                </w:tcPr>
                <w:p w14:paraId="0942CD9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+0.0472</w:t>
                  </w:r>
                </w:p>
              </w:tc>
              <w:tc>
                <w:tcPr>
                  <w:tcW w:w="845" w:type="pct"/>
                  <w:tcBorders>
                    <w:tl2br w:val="nil"/>
                    <w:tr2bl w:val="nil"/>
                  </w:tcBorders>
                  <w:vAlign w:val="center"/>
                </w:tcPr>
                <w:p w14:paraId="2DDC205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0.953</w:t>
                  </w:r>
                </w:p>
              </w:tc>
              <w:tc>
                <w:tcPr>
                  <w:tcW w:w="1072" w:type="pct"/>
                  <w:tcBorders>
                    <w:tl2br w:val="nil"/>
                    <w:tr2bl w:val="nil"/>
                  </w:tcBorders>
                  <w:vAlign w:val="center"/>
                </w:tcPr>
                <w:p w14:paraId="3C0E7AE6">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定期委托环卫部门清掏处置。</w:t>
                  </w:r>
                </w:p>
              </w:tc>
            </w:tr>
            <w:tr w14:paraId="6286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tcBorders>
                    <w:tl2br w:val="nil"/>
                    <w:tr2bl w:val="nil"/>
                  </w:tcBorders>
                  <w:vAlign w:val="center"/>
                </w:tcPr>
                <w:p w14:paraId="7AF0093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520" w:type="pct"/>
                  <w:tcBorders>
                    <w:tl2br w:val="nil"/>
                    <w:tr2bl w:val="nil"/>
                  </w:tcBorders>
                  <w:vAlign w:val="center"/>
                </w:tcPr>
                <w:p w14:paraId="35843E80">
                  <w:pPr>
                    <w:jc w:val="center"/>
                    <w:rPr>
                      <w:color w:val="000000" w:themeColor="text1"/>
                      <w:kern w:val="1"/>
                      <w:szCs w:val="21"/>
                      <w14:textFill>
                        <w14:solidFill>
                          <w14:schemeClr w14:val="tx1"/>
                        </w14:solidFill>
                      </w14:textFill>
                    </w:rPr>
                  </w:pPr>
                  <w:r>
                    <w:rPr>
                      <w:color w:val="000000" w:themeColor="text1"/>
                      <w:kern w:val="0"/>
                      <w:szCs w:val="21"/>
                      <w:lang w:bidi="ar"/>
                      <w14:textFill>
                        <w14:solidFill>
                          <w14:schemeClr w14:val="tx1"/>
                        </w14:solidFill>
                      </w14:textFill>
                    </w:rPr>
                    <w:t>生产废水处理系统污泥</w:t>
                  </w:r>
                </w:p>
              </w:tc>
              <w:tc>
                <w:tcPr>
                  <w:tcW w:w="752" w:type="pct"/>
                  <w:tcBorders>
                    <w:tl2br w:val="nil"/>
                    <w:tr2bl w:val="nil"/>
                  </w:tcBorders>
                  <w:vAlign w:val="center"/>
                </w:tcPr>
                <w:p w14:paraId="4FCA93AC">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900-099-S07</w:t>
                  </w:r>
                </w:p>
              </w:tc>
              <w:tc>
                <w:tcPr>
                  <w:tcW w:w="661" w:type="pct"/>
                  <w:tcBorders>
                    <w:tl2br w:val="nil"/>
                    <w:tr2bl w:val="nil"/>
                  </w:tcBorders>
                  <w:vAlign w:val="center"/>
                </w:tcPr>
                <w:p w14:paraId="4ED12D8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902" w:type="pct"/>
                  <w:tcBorders>
                    <w:tl2br w:val="nil"/>
                    <w:tr2bl w:val="nil"/>
                  </w:tcBorders>
                  <w:vAlign w:val="center"/>
                </w:tcPr>
                <w:p w14:paraId="589AEDA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845" w:type="pct"/>
                  <w:tcBorders>
                    <w:tl2br w:val="nil"/>
                    <w:tr2bl w:val="nil"/>
                  </w:tcBorders>
                  <w:vAlign w:val="center"/>
                </w:tcPr>
                <w:p w14:paraId="5E7969C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1072" w:type="pct"/>
                  <w:tcBorders>
                    <w:tl2br w:val="nil"/>
                    <w:tr2bl w:val="nil"/>
                  </w:tcBorders>
                  <w:vAlign w:val="center"/>
                </w:tcPr>
                <w:p w14:paraId="1B803AB0">
                  <w:pPr>
                    <w:jc w:val="center"/>
                    <w:rPr>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定期运往</w:t>
                  </w:r>
                  <w:r>
                    <w:rPr>
                      <w:rFonts w:hint="eastAsia"/>
                      <w:color w:val="000000" w:themeColor="text1"/>
                      <w14:textFill>
                        <w14:solidFill>
                          <w14:schemeClr w14:val="tx1"/>
                        </w14:solidFill>
                      </w14:textFill>
                    </w:rPr>
                    <w:t>云南龙氏肥业有限公司</w:t>
                  </w:r>
                  <w:r>
                    <w:rPr>
                      <w:rFonts w:hint="eastAsia"/>
                      <w:color w:val="000000" w:themeColor="text1"/>
                      <w:szCs w:val="21"/>
                      <w14:textFill>
                        <w14:solidFill>
                          <w14:schemeClr w14:val="tx1"/>
                        </w14:solidFill>
                      </w14:textFill>
                    </w:rPr>
                    <w:t>处置。</w:t>
                  </w:r>
                </w:p>
              </w:tc>
            </w:tr>
            <w:tr w14:paraId="1B1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0E39C7C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p>
              </w:tc>
              <w:tc>
                <w:tcPr>
                  <w:tcW w:w="520" w:type="pct"/>
                  <w:tcBorders>
                    <w:tl2br w:val="nil"/>
                    <w:tr2bl w:val="nil"/>
                  </w:tcBorders>
                  <w:vAlign w:val="center"/>
                </w:tcPr>
                <w:p w14:paraId="2EC3E748">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生物质燃烧灰渣</w:t>
                  </w:r>
                </w:p>
              </w:tc>
              <w:tc>
                <w:tcPr>
                  <w:tcW w:w="752" w:type="pct"/>
                  <w:tcBorders>
                    <w:tl2br w:val="nil"/>
                    <w:tr2bl w:val="nil"/>
                  </w:tcBorders>
                  <w:vAlign w:val="center"/>
                </w:tcPr>
                <w:p w14:paraId="5561E2B0">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900-099-S03</w:t>
                  </w:r>
                </w:p>
              </w:tc>
              <w:tc>
                <w:tcPr>
                  <w:tcW w:w="661" w:type="pct"/>
                  <w:tcBorders>
                    <w:tl2br w:val="nil"/>
                    <w:tr2bl w:val="nil"/>
                  </w:tcBorders>
                  <w:vAlign w:val="center"/>
                </w:tcPr>
                <w:p w14:paraId="43BF7631">
                  <w:pPr>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180</w:t>
                  </w:r>
                </w:p>
              </w:tc>
              <w:tc>
                <w:tcPr>
                  <w:tcW w:w="902" w:type="pct"/>
                  <w:tcBorders>
                    <w:tl2br w:val="nil"/>
                    <w:tr2bl w:val="nil"/>
                  </w:tcBorders>
                  <w:vAlign w:val="center"/>
                </w:tcPr>
                <w:p w14:paraId="3FC9BAE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-162</w:t>
                  </w:r>
                </w:p>
              </w:tc>
              <w:tc>
                <w:tcPr>
                  <w:tcW w:w="845" w:type="pct"/>
                  <w:tcBorders>
                    <w:tl2br w:val="nil"/>
                    <w:tr2bl w:val="nil"/>
                  </w:tcBorders>
                  <w:vAlign w:val="center"/>
                </w:tcPr>
                <w:p w14:paraId="73C05A9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c>
                <w:tcPr>
                  <w:tcW w:w="1072" w:type="pct"/>
                  <w:tcBorders>
                    <w:tl2br w:val="nil"/>
                    <w:tr2bl w:val="nil"/>
                  </w:tcBorders>
                  <w:vAlign w:val="center"/>
                </w:tcPr>
                <w:p w14:paraId="234D5895">
                  <w:pPr>
                    <w:jc w:val="center"/>
                    <w:rPr>
                      <w:color w:val="000000" w:themeColor="text1"/>
                      <w:kern w:val="1"/>
                      <w:szCs w:val="21"/>
                      <w14:textFill>
                        <w14:solidFill>
                          <w14:schemeClr w14:val="tx1"/>
                        </w14:solidFill>
                      </w14:textFill>
                    </w:rPr>
                  </w:pPr>
                  <w:r>
                    <w:rPr>
                      <w:rFonts w:hint="eastAsia"/>
                      <w:color w:val="000000" w:themeColor="text1"/>
                      <w:szCs w:val="21"/>
                      <w14:textFill>
                        <w14:solidFill>
                          <w14:schemeClr w14:val="tx1"/>
                        </w14:solidFill>
                      </w14:textFill>
                    </w:rPr>
                    <w:t>委托具有相应资质及全套环保手续的有机肥生产厂家清运处置。</w:t>
                  </w:r>
                </w:p>
              </w:tc>
            </w:tr>
            <w:tr w14:paraId="193D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4B6530B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520" w:type="pct"/>
                  <w:tcBorders>
                    <w:tl2br w:val="nil"/>
                    <w:tr2bl w:val="nil"/>
                  </w:tcBorders>
                  <w:vAlign w:val="center"/>
                </w:tcPr>
                <w:p w14:paraId="7CC6BE11">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收尘渣</w:t>
                  </w:r>
                </w:p>
              </w:tc>
              <w:tc>
                <w:tcPr>
                  <w:tcW w:w="752" w:type="pct"/>
                  <w:tcBorders>
                    <w:tl2br w:val="nil"/>
                    <w:tr2bl w:val="nil"/>
                  </w:tcBorders>
                  <w:vAlign w:val="center"/>
                </w:tcPr>
                <w:p w14:paraId="3E7151F7">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900-099-S06</w:t>
                  </w:r>
                </w:p>
              </w:tc>
              <w:tc>
                <w:tcPr>
                  <w:tcW w:w="661" w:type="pct"/>
                  <w:tcBorders>
                    <w:tl2br w:val="nil"/>
                    <w:tr2bl w:val="nil"/>
                  </w:tcBorders>
                  <w:vAlign w:val="center"/>
                </w:tcPr>
                <w:p w14:paraId="2A42926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902" w:type="pct"/>
                  <w:tcBorders>
                    <w:tl2br w:val="nil"/>
                    <w:tr2bl w:val="nil"/>
                  </w:tcBorders>
                  <w:vAlign w:val="center"/>
                </w:tcPr>
                <w:p w14:paraId="6B6D278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-6.3</w:t>
                  </w:r>
                </w:p>
              </w:tc>
              <w:tc>
                <w:tcPr>
                  <w:tcW w:w="845" w:type="pct"/>
                  <w:tcBorders>
                    <w:tl2br w:val="nil"/>
                    <w:tr2bl w:val="nil"/>
                  </w:tcBorders>
                  <w:vAlign w:val="center"/>
                </w:tcPr>
                <w:p w14:paraId="6651DCC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0.7</w:t>
                  </w:r>
                </w:p>
              </w:tc>
              <w:tc>
                <w:tcPr>
                  <w:tcW w:w="1072" w:type="pct"/>
                  <w:tcBorders>
                    <w:tl2br w:val="nil"/>
                    <w:tr2bl w:val="nil"/>
                  </w:tcBorders>
                  <w:vAlign w:val="center"/>
                </w:tcPr>
                <w:p w14:paraId="7495DDA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运往云南龙氏肥业有限公司处置</w:t>
                  </w:r>
                </w:p>
              </w:tc>
            </w:tr>
            <w:tr w14:paraId="6DA7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4C5EFA1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w:t>
                  </w:r>
                </w:p>
              </w:tc>
              <w:tc>
                <w:tcPr>
                  <w:tcW w:w="520" w:type="pct"/>
                  <w:tcBorders>
                    <w:tl2br w:val="nil"/>
                    <w:tr2bl w:val="nil"/>
                  </w:tcBorders>
                  <w:vAlign w:val="center"/>
                </w:tcPr>
                <w:p w14:paraId="4DBB4490">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废活性炭</w:t>
                  </w:r>
                </w:p>
              </w:tc>
              <w:tc>
                <w:tcPr>
                  <w:tcW w:w="752" w:type="pct"/>
                  <w:tcBorders>
                    <w:tl2br w:val="nil"/>
                    <w:tr2bl w:val="nil"/>
                  </w:tcBorders>
                  <w:vAlign w:val="center"/>
                </w:tcPr>
                <w:p w14:paraId="73604AEF">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900-008-S59</w:t>
                  </w:r>
                </w:p>
              </w:tc>
              <w:tc>
                <w:tcPr>
                  <w:tcW w:w="661" w:type="pct"/>
                  <w:tcBorders>
                    <w:tl2br w:val="nil"/>
                    <w:tr2bl w:val="nil"/>
                  </w:tcBorders>
                  <w:vAlign w:val="center"/>
                </w:tcPr>
                <w:p w14:paraId="2AC398B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902" w:type="pct"/>
                  <w:tcBorders>
                    <w:tl2br w:val="nil"/>
                    <w:tr2bl w:val="nil"/>
                  </w:tcBorders>
                  <w:vAlign w:val="center"/>
                </w:tcPr>
                <w:p w14:paraId="2EF77E44">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845" w:type="pct"/>
                  <w:tcBorders>
                    <w:tl2br w:val="nil"/>
                    <w:tr2bl w:val="nil"/>
                  </w:tcBorders>
                  <w:vAlign w:val="center"/>
                </w:tcPr>
                <w:p w14:paraId="4455F11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072" w:type="pct"/>
                  <w:tcBorders>
                    <w:tl2br w:val="nil"/>
                    <w:tr2bl w:val="nil"/>
                  </w:tcBorders>
                  <w:vAlign w:val="center"/>
                </w:tcPr>
                <w:p w14:paraId="236D17F5">
                  <w:pP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废活性炭由厂家回收。</w:t>
                  </w:r>
                </w:p>
              </w:tc>
            </w:tr>
            <w:tr w14:paraId="20B9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5993395A">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w:t>
                  </w:r>
                </w:p>
              </w:tc>
              <w:tc>
                <w:tcPr>
                  <w:tcW w:w="520" w:type="pct"/>
                  <w:tcBorders>
                    <w:tl2br w:val="nil"/>
                    <w:tr2bl w:val="nil"/>
                  </w:tcBorders>
                  <w:vAlign w:val="center"/>
                </w:tcPr>
                <w:p w14:paraId="1525A60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不合格产品</w:t>
                  </w:r>
                </w:p>
              </w:tc>
              <w:tc>
                <w:tcPr>
                  <w:tcW w:w="752" w:type="pct"/>
                  <w:tcBorders>
                    <w:tl2br w:val="nil"/>
                    <w:tr2bl w:val="nil"/>
                  </w:tcBorders>
                  <w:vAlign w:val="center"/>
                </w:tcPr>
                <w:p w14:paraId="168CA50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900-099-S59</w:t>
                  </w:r>
                </w:p>
              </w:tc>
              <w:tc>
                <w:tcPr>
                  <w:tcW w:w="661" w:type="pct"/>
                  <w:tcBorders>
                    <w:tl2br w:val="nil"/>
                    <w:tr2bl w:val="nil"/>
                  </w:tcBorders>
                  <w:vAlign w:val="center"/>
                </w:tcPr>
                <w:p w14:paraId="18AAE2D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0CF93E12">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880</w:t>
                  </w:r>
                </w:p>
              </w:tc>
              <w:tc>
                <w:tcPr>
                  <w:tcW w:w="845" w:type="pct"/>
                  <w:tcBorders>
                    <w:tl2br w:val="nil"/>
                    <w:tr2bl w:val="nil"/>
                  </w:tcBorders>
                  <w:vAlign w:val="center"/>
                </w:tcPr>
                <w:p w14:paraId="11C52CB8">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880</w:t>
                  </w:r>
                </w:p>
              </w:tc>
              <w:tc>
                <w:tcPr>
                  <w:tcW w:w="1072" w:type="pct"/>
                  <w:tcBorders>
                    <w:tl2br w:val="nil"/>
                    <w:tr2bl w:val="nil"/>
                  </w:tcBorders>
                  <w:vAlign w:val="center"/>
                </w:tcPr>
                <w:p w14:paraId="41F434A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返回生产</w:t>
                  </w:r>
                </w:p>
              </w:tc>
            </w:tr>
            <w:tr w14:paraId="07F9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51137D64">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0</w:t>
                  </w:r>
                </w:p>
              </w:tc>
              <w:tc>
                <w:tcPr>
                  <w:tcW w:w="520" w:type="pct"/>
                  <w:tcBorders>
                    <w:tl2br w:val="nil"/>
                    <w:tr2bl w:val="nil"/>
                  </w:tcBorders>
                  <w:vAlign w:val="center"/>
                </w:tcPr>
                <w:p w14:paraId="58E401A0">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沉降粉尘</w:t>
                  </w:r>
                </w:p>
              </w:tc>
              <w:tc>
                <w:tcPr>
                  <w:tcW w:w="752" w:type="pct"/>
                  <w:tcBorders>
                    <w:tl2br w:val="nil"/>
                    <w:tr2bl w:val="nil"/>
                  </w:tcBorders>
                  <w:vAlign w:val="center"/>
                </w:tcPr>
                <w:p w14:paraId="6C36CC1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900-099-S59</w:t>
                  </w:r>
                </w:p>
              </w:tc>
              <w:tc>
                <w:tcPr>
                  <w:tcW w:w="661" w:type="pct"/>
                  <w:tcBorders>
                    <w:tl2br w:val="nil"/>
                    <w:tr2bl w:val="nil"/>
                  </w:tcBorders>
                  <w:vAlign w:val="center"/>
                </w:tcPr>
                <w:p w14:paraId="29CA917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071813B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28.95</w:t>
                  </w:r>
                </w:p>
              </w:tc>
              <w:tc>
                <w:tcPr>
                  <w:tcW w:w="845" w:type="pct"/>
                  <w:tcBorders>
                    <w:tl2br w:val="nil"/>
                    <w:tr2bl w:val="nil"/>
                  </w:tcBorders>
                  <w:vAlign w:val="center"/>
                </w:tcPr>
                <w:p w14:paraId="3BD6C690">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28.95</w:t>
                  </w:r>
                </w:p>
              </w:tc>
              <w:tc>
                <w:tcPr>
                  <w:tcW w:w="1072" w:type="pct"/>
                  <w:tcBorders>
                    <w:tl2br w:val="nil"/>
                    <w:tr2bl w:val="nil"/>
                  </w:tcBorders>
                  <w:vAlign w:val="center"/>
                </w:tcPr>
                <w:p w14:paraId="59030B7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返回生产</w:t>
                  </w:r>
                </w:p>
              </w:tc>
            </w:tr>
            <w:tr w14:paraId="2525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0DCD73D0">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1</w:t>
                  </w:r>
                </w:p>
              </w:tc>
              <w:tc>
                <w:tcPr>
                  <w:tcW w:w="520" w:type="pct"/>
                  <w:tcBorders>
                    <w:tl2br w:val="nil"/>
                    <w:tr2bl w:val="nil"/>
                  </w:tcBorders>
                  <w:vAlign w:val="center"/>
                </w:tcPr>
                <w:p w14:paraId="14D0B4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废包装物</w:t>
                  </w:r>
                </w:p>
              </w:tc>
              <w:tc>
                <w:tcPr>
                  <w:tcW w:w="752" w:type="pct"/>
                  <w:tcBorders>
                    <w:tl2br w:val="nil"/>
                    <w:tr2bl w:val="nil"/>
                  </w:tcBorders>
                  <w:vAlign w:val="center"/>
                </w:tcPr>
                <w:p w14:paraId="154E9B4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010-004-S80</w:t>
                  </w:r>
                </w:p>
              </w:tc>
              <w:tc>
                <w:tcPr>
                  <w:tcW w:w="661" w:type="pct"/>
                  <w:tcBorders>
                    <w:tl2br w:val="nil"/>
                    <w:tr2bl w:val="nil"/>
                  </w:tcBorders>
                  <w:vAlign w:val="center"/>
                </w:tcPr>
                <w:p w14:paraId="1913BEA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2" w:type="pct"/>
                  <w:tcBorders>
                    <w:tl2br w:val="nil"/>
                    <w:tr2bl w:val="nil"/>
                  </w:tcBorders>
                  <w:vAlign w:val="center"/>
                </w:tcPr>
                <w:p w14:paraId="67F397B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97</w:t>
                  </w:r>
                </w:p>
              </w:tc>
              <w:tc>
                <w:tcPr>
                  <w:tcW w:w="845" w:type="pct"/>
                  <w:tcBorders>
                    <w:tl2br w:val="nil"/>
                    <w:tr2bl w:val="nil"/>
                  </w:tcBorders>
                  <w:vAlign w:val="center"/>
                </w:tcPr>
                <w:p w14:paraId="59A7263B">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97</w:t>
                  </w:r>
                </w:p>
              </w:tc>
              <w:tc>
                <w:tcPr>
                  <w:tcW w:w="1072" w:type="pct"/>
                  <w:tcBorders>
                    <w:tl2br w:val="nil"/>
                    <w:tr2bl w:val="nil"/>
                  </w:tcBorders>
                  <w:vAlign w:val="center"/>
                </w:tcPr>
                <w:p w14:paraId="7759865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外售废旧资源回收单位</w:t>
                  </w:r>
                </w:p>
              </w:tc>
            </w:tr>
            <w:tr w14:paraId="5E86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Borders>
                    <w:tl2br w:val="nil"/>
                    <w:tr2bl w:val="nil"/>
                  </w:tcBorders>
                  <w:vAlign w:val="center"/>
                </w:tcPr>
                <w:p w14:paraId="388E4A5F">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520" w:type="pct"/>
                  <w:tcBorders>
                    <w:tl2br w:val="nil"/>
                    <w:tr2bl w:val="nil"/>
                  </w:tcBorders>
                  <w:vAlign w:val="center"/>
                </w:tcPr>
                <w:p w14:paraId="60AEB8DB">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废矿物油</w:t>
                  </w:r>
                </w:p>
              </w:tc>
              <w:tc>
                <w:tcPr>
                  <w:tcW w:w="752" w:type="pct"/>
                  <w:tcBorders>
                    <w:tl2br w:val="nil"/>
                    <w:tr2bl w:val="nil"/>
                  </w:tcBorders>
                  <w:vAlign w:val="center"/>
                </w:tcPr>
                <w:p w14:paraId="7C19CBF4">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900-</w:t>
                  </w:r>
                  <w:r>
                    <w:rPr>
                      <w:rFonts w:hint="eastAsia"/>
                      <w:color w:val="000000" w:themeColor="text1"/>
                      <w:kern w:val="1"/>
                      <w:szCs w:val="21"/>
                      <w14:textFill>
                        <w14:solidFill>
                          <w14:schemeClr w14:val="tx1"/>
                        </w14:solidFill>
                      </w14:textFill>
                    </w:rPr>
                    <w:t>214</w:t>
                  </w:r>
                  <w:r>
                    <w:rPr>
                      <w:color w:val="000000" w:themeColor="text1"/>
                      <w:kern w:val="1"/>
                      <w:szCs w:val="21"/>
                      <w14:textFill>
                        <w14:solidFill>
                          <w14:schemeClr w14:val="tx1"/>
                        </w14:solidFill>
                      </w14:textFill>
                    </w:rPr>
                    <w:t>-08</w:t>
                  </w:r>
                </w:p>
              </w:tc>
              <w:tc>
                <w:tcPr>
                  <w:tcW w:w="661" w:type="pct"/>
                  <w:tcBorders>
                    <w:tl2br w:val="nil"/>
                    <w:tr2bl w:val="nil"/>
                  </w:tcBorders>
                  <w:vAlign w:val="center"/>
                </w:tcPr>
                <w:p w14:paraId="03389AA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0.05</w:t>
                  </w:r>
                </w:p>
              </w:tc>
              <w:tc>
                <w:tcPr>
                  <w:tcW w:w="902" w:type="pct"/>
                  <w:tcBorders>
                    <w:tl2br w:val="nil"/>
                    <w:tr2bl w:val="nil"/>
                  </w:tcBorders>
                  <w:vAlign w:val="center"/>
                </w:tcPr>
                <w:p w14:paraId="5D9F367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w:t>
                  </w:r>
                </w:p>
              </w:tc>
              <w:tc>
                <w:tcPr>
                  <w:tcW w:w="845" w:type="pct"/>
                  <w:tcBorders>
                    <w:tl2br w:val="nil"/>
                    <w:tr2bl w:val="nil"/>
                  </w:tcBorders>
                  <w:vAlign w:val="center"/>
                </w:tcPr>
                <w:p w14:paraId="43A0EED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0.06</w:t>
                  </w:r>
                </w:p>
              </w:tc>
              <w:tc>
                <w:tcPr>
                  <w:tcW w:w="1072" w:type="pct"/>
                  <w:tcBorders>
                    <w:tl2br w:val="nil"/>
                    <w:tr2bl w:val="nil"/>
                  </w:tcBorders>
                  <w:vAlign w:val="center"/>
                </w:tcPr>
                <w:p w14:paraId="2080FC4B">
                  <w:pPr>
                    <w:jc w:val="center"/>
                    <w:rPr>
                      <w:color w:val="000000" w:themeColor="text1"/>
                      <w:kern w:val="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暂存于已建6</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2</w:t>
                  </w:r>
                  <w:r>
                    <w:rPr>
                      <w:color w:val="000000" w:themeColor="text1"/>
                      <w:kern w:val="0"/>
                      <w:szCs w:val="21"/>
                      <w:lang w:bidi="ar"/>
                      <w14:textFill>
                        <w14:solidFill>
                          <w14:schemeClr w14:val="tx1"/>
                        </w14:solidFill>
                      </w14:textFill>
                    </w:rPr>
                    <w:t>的</w:t>
                  </w:r>
                  <w:r>
                    <w:rPr>
                      <w:rFonts w:hint="eastAsia"/>
                      <w:color w:val="000000" w:themeColor="text1"/>
                      <w14:textFill>
                        <w14:solidFill>
                          <w14:schemeClr w14:val="tx1"/>
                        </w14:solidFill>
                      </w14:textFill>
                    </w:rPr>
                    <w:t>危险废物贮存库</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并</w:t>
                  </w:r>
                  <w:r>
                    <w:rPr>
                      <w:rFonts w:hint="eastAsia"/>
                      <w:color w:val="000000" w:themeColor="text1"/>
                      <w:kern w:val="0"/>
                      <w:szCs w:val="21"/>
                      <w:lang w:bidi="ar"/>
                      <w14:textFill>
                        <w14:solidFill>
                          <w14:schemeClr w14:val="tx1"/>
                        </w14:solidFill>
                      </w14:textFill>
                    </w:rPr>
                    <w:t>配置</w:t>
                  </w:r>
                  <w:r>
                    <w:rPr>
                      <w:color w:val="000000" w:themeColor="text1"/>
                      <w:kern w:val="0"/>
                      <w:szCs w:val="21"/>
                      <w:lang w:bidi="ar"/>
                      <w14:textFill>
                        <w14:solidFill>
                          <w14:schemeClr w14:val="tx1"/>
                        </w14:solidFill>
                      </w14:textFill>
                    </w:rPr>
                    <w:t>2个危废临时储存容器用于收集机械设备维护、修理过程中产生的</w:t>
                  </w:r>
                  <w:r>
                    <w:rPr>
                      <w:rFonts w:hint="eastAsia"/>
                      <w:color w:val="000000" w:themeColor="text1"/>
                      <w:kern w:val="0"/>
                      <w:szCs w:val="21"/>
                      <w:lang w:bidi="ar"/>
                      <w14:textFill>
                        <w14:solidFill>
                          <w14:schemeClr w14:val="tx1"/>
                        </w14:solidFill>
                      </w14:textFill>
                    </w:rPr>
                    <w:t>废矿物油</w:t>
                  </w:r>
                  <w:r>
                    <w:rPr>
                      <w:color w:val="000000" w:themeColor="text1"/>
                      <w:kern w:val="0"/>
                      <w:szCs w:val="21"/>
                      <w:lang w:bidi="ar"/>
                      <w14:textFill>
                        <w14:solidFill>
                          <w14:schemeClr w14:val="tx1"/>
                        </w14:solidFill>
                      </w14:textFill>
                    </w:rPr>
                    <w:t>和含油废物等危险废物，定期交由有资质单位进行处理，并建立健全危险废物产生、处理、转移台账记录。</w:t>
                  </w:r>
                </w:p>
              </w:tc>
            </w:tr>
          </w:tbl>
          <w:p w14:paraId="0EB96957">
            <w:pPr>
              <w:spacing w:before="120" w:beforeLines="50"/>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2、固废环境影响分析</w:t>
            </w:r>
          </w:p>
          <w:p w14:paraId="481B1105">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本项目运营过程中产生的固体废物主要包括危险废物（废矿物油）、一般工业固体废物（不合格产品、收尘灰、废包装）两大类，各类固废的环境影响及对应保护措施分析如下：</w:t>
            </w:r>
          </w:p>
          <w:p w14:paraId="0663774F">
            <w:pPr>
              <w:spacing w:before="120" w:beforeLines="50"/>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 xml:space="preserve">2.1. 危险废物环境影响分析  </w:t>
            </w:r>
          </w:p>
          <w:p w14:paraId="015A8F39">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产生的废矿物油（代码900-214-08）属于《国家危险废物名录》明确的危险废物，其成分含重金属、多环芳烃等有毒有害物质，若处置不当，易通过土壤渗透污染地下水，或经雨水冲刷扩散至周边水体，对生态系统及人体健康构成潜在威胁。项目通过建设专用危险废物贮存库（6m²），配置密闭临时容器分类收集，并严格执行危废转移联单制度，定期交由资质单位处置，同时建立全流程台账记录，有效落实了防渗漏、防流失、防扬散的“三防”要求，可显著降低危险废物的环境风险。</w:t>
            </w:r>
          </w:p>
          <w:p w14:paraId="28BDA567">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 xml:space="preserve">2.2 一般工业固体废物环境影响分析  </w:t>
            </w:r>
          </w:p>
          <w:p w14:paraId="3D15EB9B">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不合格产品、</w:t>
            </w:r>
            <w:r>
              <w:rPr>
                <w:rFonts w:hint="eastAsia"/>
                <w:bCs/>
                <w:color w:val="000000" w:themeColor="text1"/>
                <w:kern w:val="0"/>
                <w:sz w:val="24"/>
                <w:lang w:val="en-US" w:eastAsia="zh-CN"/>
                <w14:textFill>
                  <w14:solidFill>
                    <w14:schemeClr w14:val="tx1"/>
                  </w14:solidFill>
                </w14:textFill>
              </w:rPr>
              <w:t>沉降粉尘</w:t>
            </w:r>
            <w:r>
              <w:rPr>
                <w:rFonts w:hint="eastAsia"/>
                <w:bCs/>
                <w:color w:val="000000" w:themeColor="text1"/>
                <w:kern w:val="0"/>
                <w:sz w:val="24"/>
                <w14:textFill>
                  <w14:solidFill>
                    <w14:schemeClr w14:val="tx1"/>
                  </w14:solidFill>
                </w14:textFill>
              </w:rPr>
              <w:t>（代码均为900-099-S59）：经返回生产工序资源化利用，减少了固废外排量，避免了填埋处置带来的土地占用及污染风险，实现资源循环的同时降低环境负荷；废包装物（代码010-004-S80）：外售至合规废旧资源回收单位，通过再生加工转化为可用资源，符合固废“减量化、资源化”原则。</w:t>
            </w:r>
          </w:p>
          <w:p w14:paraId="461CE538">
            <w:pPr>
              <w:spacing w:before="120" w:beforeLines="50"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综上，项目针对各类固废制定了分类收集、规范贮存、合理处置/资源化的完整体系，措施符合国家及地方环保标准，固废对周边环境的影响可控。</w:t>
            </w:r>
          </w:p>
          <w:p w14:paraId="68061F0D">
            <w:pPr>
              <w:numPr>
                <w:ilvl w:val="0"/>
                <w:numId w:val="0"/>
              </w:numPr>
              <w:spacing w:before="120" w:beforeLines="50" w:line="360" w:lineRule="auto"/>
              <w:ind w:left="420" w:leftChars="0"/>
              <w:rPr>
                <w:rStyle w:val="28"/>
                <w:color w:val="000000" w:themeColor="text1"/>
                <w14:textFill>
                  <w14:solidFill>
                    <w14:schemeClr w14:val="tx1"/>
                  </w14:solidFill>
                </w14:textFill>
              </w:rPr>
            </w:pPr>
            <w:bookmarkStart w:id="55" w:name="OLE_LINK1"/>
            <w:r>
              <w:rPr>
                <w:rFonts w:hint="eastAsia"/>
                <w:b/>
                <w:color w:val="000000" w:themeColor="text1"/>
                <w:kern w:val="0"/>
                <w:sz w:val="24"/>
                <w:lang w:val="en-US" w:eastAsia="zh-CN"/>
                <w14:textFill>
                  <w14:solidFill>
                    <w14:schemeClr w14:val="tx1"/>
                  </w14:solidFill>
                </w14:textFill>
              </w:rPr>
              <w:t>六、</w:t>
            </w:r>
            <w:r>
              <w:rPr>
                <w:rFonts w:hint="eastAsia"/>
                <w:b/>
                <w:color w:val="000000" w:themeColor="text1"/>
                <w:kern w:val="0"/>
                <w:sz w:val="24"/>
                <w14:textFill>
                  <w14:solidFill>
                    <w14:schemeClr w14:val="tx1"/>
                  </w14:solidFill>
                </w14:textFill>
              </w:rPr>
              <w:t>“三本账”</w:t>
            </w:r>
            <w:bookmarkEnd w:id="55"/>
            <w:r>
              <w:rPr>
                <w:rFonts w:hint="eastAsia"/>
                <w:b/>
                <w:color w:val="000000" w:themeColor="text1"/>
                <w:kern w:val="0"/>
                <w:sz w:val="24"/>
                <w14:textFill>
                  <w14:solidFill>
                    <w14:schemeClr w14:val="tx1"/>
                  </w14:solidFill>
                </w14:textFill>
              </w:rPr>
              <w:t>核算</w:t>
            </w:r>
          </w:p>
          <w:p w14:paraId="0103D56A">
            <w:pPr>
              <w:numPr>
                <w:ilvl w:val="0"/>
                <w:numId w:val="0"/>
              </w:numPr>
              <w:spacing w:before="120" w:beforeLines="50" w:line="360" w:lineRule="auto"/>
              <w:jc w:val="center"/>
              <w:rPr>
                <w:rStyle w:val="28"/>
                <w:rFonts w:hint="default" w:eastAsia="宋体"/>
                <w:color w:val="000000" w:themeColor="text1"/>
                <w:lang w:val="en-US" w:eastAsia="zh-CN"/>
                <w14:textFill>
                  <w14:solidFill>
                    <w14:schemeClr w14:val="tx1"/>
                  </w14:solidFill>
                </w14:textFill>
              </w:rPr>
            </w:pPr>
            <w:r>
              <w:rPr>
                <w:rStyle w:val="28"/>
                <w:rFonts w:hint="eastAsia"/>
                <w:b/>
                <w:bCs/>
                <w:color w:val="000000" w:themeColor="text1"/>
                <w:lang w:val="en-US" w:eastAsia="zh-CN"/>
                <w14:textFill>
                  <w14:solidFill>
                    <w14:schemeClr w14:val="tx1"/>
                  </w14:solidFill>
                </w14:textFill>
              </w:rPr>
              <w:t>表4-19“三本账”核算</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502"/>
              <w:gridCol w:w="899"/>
              <w:gridCol w:w="574"/>
              <w:gridCol w:w="825"/>
              <w:gridCol w:w="899"/>
              <w:gridCol w:w="899"/>
              <w:gridCol w:w="1215"/>
              <w:gridCol w:w="1103"/>
            </w:tblGrid>
            <w:tr w14:paraId="3F124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59" w:type="pct"/>
                  <w:tcBorders>
                    <w:tl2br w:val="single" w:color="auto" w:sz="4" w:space="0"/>
                  </w:tcBorders>
                  <w:tcMar>
                    <w:left w:w="28" w:type="dxa"/>
                    <w:right w:w="28" w:type="dxa"/>
                  </w:tcMar>
                  <w:vAlign w:val="center"/>
                </w:tcPr>
                <w:p w14:paraId="5338B602">
                  <w:pPr>
                    <w:keepNext/>
                    <w:adjustRightInd w:val="0"/>
                    <w:snapToGrid w:val="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lang w:val="en-US" w:eastAsia="zh-CN"/>
                      <w14:textFill>
                        <w14:solidFill>
                          <w14:schemeClr w14:val="tx1"/>
                        </w14:solidFill>
                      </w14:textFill>
                    </w:rPr>
                    <w:t xml:space="preserve">    </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项目</w:t>
                  </w:r>
                </w:p>
                <w:p w14:paraId="20ADD2A5">
                  <w:pPr>
                    <w:keepNext/>
                    <w:snapToGrid w:val="0"/>
                    <w:spacing w:before="240" w:beforeLines="100"/>
                    <w:ind w:firstLine="169" w:firstLineChars="100"/>
                    <w:jc w:val="both"/>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分类</w:t>
                  </w:r>
                </w:p>
              </w:tc>
              <w:tc>
                <w:tcPr>
                  <w:tcW w:w="861" w:type="pct"/>
                  <w:tcMar>
                    <w:left w:w="28" w:type="dxa"/>
                    <w:right w:w="28" w:type="dxa"/>
                  </w:tcMar>
                  <w:vAlign w:val="center"/>
                </w:tcPr>
                <w:p w14:paraId="2E3B8015">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污染物名称</w:t>
                  </w:r>
                </w:p>
              </w:tc>
              <w:tc>
                <w:tcPr>
                  <w:tcW w:w="515" w:type="pct"/>
                  <w:tcMar>
                    <w:left w:w="28" w:type="dxa"/>
                    <w:right w:w="28" w:type="dxa"/>
                  </w:tcMar>
                  <w:vAlign w:val="center"/>
                </w:tcPr>
                <w:p w14:paraId="1F3893E6">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现有工程排放量</w:t>
                  </w:r>
                </w:p>
                <w:p w14:paraId="21045E75">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（固体废物产生量）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1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①</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329" w:type="pct"/>
                  <w:tcMar>
                    <w:left w:w="28" w:type="dxa"/>
                    <w:right w:w="28" w:type="dxa"/>
                  </w:tcMar>
                  <w:vAlign w:val="center"/>
                </w:tcPr>
                <w:p w14:paraId="6A56D000">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现有工程许可排放量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2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②</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473" w:type="pct"/>
                  <w:tcMar>
                    <w:left w:w="28" w:type="dxa"/>
                    <w:right w:w="28" w:type="dxa"/>
                  </w:tcMar>
                  <w:vAlign w:val="center"/>
                </w:tcPr>
                <w:p w14:paraId="2A02430C">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在建工程排放量</w:t>
                  </w:r>
                </w:p>
                <w:p w14:paraId="4F934AAD">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（固体废物产生量）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3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③</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515" w:type="pct"/>
                  <w:tcMar>
                    <w:left w:w="28" w:type="dxa"/>
                    <w:right w:w="28" w:type="dxa"/>
                  </w:tcMar>
                  <w:vAlign w:val="center"/>
                </w:tcPr>
                <w:p w14:paraId="46F2BAAB">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本项目排放量</w:t>
                  </w:r>
                </w:p>
                <w:p w14:paraId="3A8F1AAE">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（固体废物产生量）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4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④</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c>
                <w:tcPr>
                  <w:tcW w:w="515" w:type="pct"/>
                  <w:tcMar>
                    <w:left w:w="28" w:type="dxa"/>
                    <w:right w:w="28" w:type="dxa"/>
                  </w:tcMar>
                  <w:vAlign w:val="center"/>
                </w:tcPr>
                <w:p w14:paraId="194627E2">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以新带老削减量</w:t>
                  </w:r>
                </w:p>
                <w:p w14:paraId="55CBCAE0">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（新建项目不填）</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instrText xml:space="preserve"> 5 \* GB3 \* MERGEFORMAT </w:instrTex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⑤</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end"/>
                  </w:r>
                </w:p>
              </w:tc>
              <w:tc>
                <w:tcPr>
                  <w:tcW w:w="696" w:type="pct"/>
                  <w:tcMar>
                    <w:left w:w="28" w:type="dxa"/>
                    <w:right w:w="28" w:type="dxa"/>
                  </w:tcMar>
                  <w:vAlign w:val="center"/>
                </w:tcPr>
                <w:p w14:paraId="33272FDA">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本项目建成后全厂排放量</w:t>
                  </w:r>
                </w:p>
                <w:p w14:paraId="5A60CB0E">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t>（固体废物产生量）</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instrText xml:space="preserve"> 6 \* GB3 \* MERGEFORMAT </w:instrTex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⑥</w:t>
                  </w:r>
                  <w:r>
                    <w:rPr>
                      <w:rFonts w:hint="eastAsia" w:ascii="宋体" w:hAnsi="宋体" w:eastAsia="宋体" w:cs="宋体"/>
                      <w:b/>
                      <w:bCs w:val="0"/>
                      <w:snapToGrid w:val="0"/>
                      <w:color w:val="000000" w:themeColor="text1"/>
                      <w:spacing w:val="-16"/>
                      <w:kern w:val="21"/>
                      <w:sz w:val="18"/>
                      <w:szCs w:val="18"/>
                      <w14:textFill>
                        <w14:solidFill>
                          <w14:schemeClr w14:val="tx1"/>
                        </w14:solidFill>
                      </w14:textFill>
                    </w:rPr>
                    <w:fldChar w:fldCharType="end"/>
                  </w:r>
                </w:p>
              </w:tc>
              <w:tc>
                <w:tcPr>
                  <w:tcW w:w="632" w:type="pct"/>
                  <w:tcMar>
                    <w:left w:w="28" w:type="dxa"/>
                    <w:right w:w="28" w:type="dxa"/>
                  </w:tcMar>
                  <w:vAlign w:val="center"/>
                </w:tcPr>
                <w:p w14:paraId="7A34407A">
                  <w:pPr>
                    <w:keepNext/>
                    <w:adjustRightInd w:val="0"/>
                    <w:snapToGrid w:val="0"/>
                    <w:ind w:left="0" w:leftChars="0" w:right="0" w:rightChars="0" w:firstLine="0" w:firstLineChars="0"/>
                    <w:jc w:val="center"/>
                    <w:rPr>
                      <w:rFonts w:hint="eastAsia" w:ascii="宋体" w:hAnsi="宋体" w:eastAsia="宋体" w:cs="宋体"/>
                      <w:b/>
                      <w:bCs w:val="0"/>
                      <w:snapToGrid w:val="0"/>
                      <w:color w:val="000000" w:themeColor="text1"/>
                      <w:spacing w:val="-6"/>
                      <w:kern w:val="21"/>
                      <w:sz w:val="18"/>
                      <w:szCs w:val="18"/>
                      <w14:textFill>
                        <w14:solidFill>
                          <w14:schemeClr w14:val="tx1"/>
                        </w14:solidFill>
                      </w14:textFill>
                    </w:rPr>
                  </w:pP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t>变化量</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begin"/>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instrText xml:space="preserve"> 7 \* GB3 \* MERGEFORMAT </w:instrTex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separate"/>
                  </w:r>
                  <w:r>
                    <w:rPr>
                      <w:rFonts w:hint="eastAsia" w:ascii="宋体" w:hAnsi="宋体" w:eastAsia="宋体" w:cs="宋体"/>
                      <w:b/>
                      <w:bCs w:val="0"/>
                      <w:color w:val="000000" w:themeColor="text1"/>
                      <w:sz w:val="18"/>
                      <w:szCs w:val="18"/>
                      <w14:textFill>
                        <w14:solidFill>
                          <w14:schemeClr w14:val="tx1"/>
                        </w14:solidFill>
                      </w14:textFill>
                    </w:rPr>
                    <w:t>⑦</w:t>
                  </w:r>
                  <w:r>
                    <w:rPr>
                      <w:rFonts w:hint="eastAsia" w:ascii="宋体" w:hAnsi="宋体" w:eastAsia="宋体" w:cs="宋体"/>
                      <w:b/>
                      <w:bCs w:val="0"/>
                      <w:snapToGrid w:val="0"/>
                      <w:color w:val="000000" w:themeColor="text1"/>
                      <w:spacing w:val="-6"/>
                      <w:kern w:val="21"/>
                      <w:sz w:val="18"/>
                      <w:szCs w:val="18"/>
                      <w14:textFill>
                        <w14:solidFill>
                          <w14:schemeClr w14:val="tx1"/>
                        </w14:solidFill>
                      </w14:textFill>
                    </w:rPr>
                    <w:fldChar w:fldCharType="end"/>
                  </w:r>
                </w:p>
              </w:tc>
            </w:tr>
            <w:tr w14:paraId="149B9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restart"/>
                  <w:vAlign w:val="center"/>
                </w:tcPr>
                <w:p w14:paraId="5D0E33F9">
                  <w:pPr>
                    <w:keepNext/>
                    <w:widowControl/>
                    <w:snapToGrid w:val="0"/>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废气</w:t>
                  </w:r>
                </w:p>
              </w:tc>
              <w:tc>
                <w:tcPr>
                  <w:tcW w:w="861" w:type="pct"/>
                  <w:vAlign w:val="top"/>
                </w:tcPr>
                <w:p w14:paraId="696925EC">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515" w:type="pct"/>
                  <w:vAlign w:val="center"/>
                </w:tcPr>
                <w:p w14:paraId="78FA40B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1.955</w:t>
                  </w:r>
                </w:p>
              </w:tc>
              <w:tc>
                <w:tcPr>
                  <w:tcW w:w="329" w:type="pct"/>
                  <w:vAlign w:val="center"/>
                </w:tcPr>
                <w:p w14:paraId="0248EBC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27C52CA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D3E90E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0.65</w:t>
                  </w:r>
                </w:p>
              </w:tc>
              <w:tc>
                <w:tcPr>
                  <w:tcW w:w="515" w:type="pct"/>
                  <w:vAlign w:val="center"/>
                </w:tcPr>
                <w:p w14:paraId="303C08D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1.7595</w:t>
                  </w:r>
                </w:p>
              </w:tc>
              <w:tc>
                <w:tcPr>
                  <w:tcW w:w="696" w:type="pct"/>
                  <w:vAlign w:val="center"/>
                </w:tcPr>
                <w:p w14:paraId="1A47949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0.8455</w:t>
                  </w:r>
                </w:p>
              </w:tc>
              <w:tc>
                <w:tcPr>
                  <w:tcW w:w="632" w:type="pct"/>
                  <w:vAlign w:val="center"/>
                </w:tcPr>
                <w:p w14:paraId="43EBC81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-1.1095</w:t>
                  </w:r>
                </w:p>
              </w:tc>
            </w:tr>
            <w:tr w14:paraId="61826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2AD90ABD">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top"/>
                </w:tcPr>
                <w:p w14:paraId="2E654488">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Style w:val="59"/>
                      <w:rFonts w:eastAsia="宋体"/>
                      <w:color w:val="000000" w:themeColor="text1"/>
                      <w:sz w:val="21"/>
                      <w:szCs w:val="21"/>
                      <w:lang w:val="en-US" w:eastAsia="zh-CN" w:bidi="ar"/>
                      <w14:textFill>
                        <w14:solidFill>
                          <w14:schemeClr w14:val="tx1"/>
                        </w14:solidFill>
                      </w14:textFill>
                    </w:rPr>
                    <w:t>2</w:t>
                  </w:r>
                </w:p>
              </w:tc>
              <w:tc>
                <w:tcPr>
                  <w:tcW w:w="515" w:type="pct"/>
                  <w:vAlign w:val="center"/>
                </w:tcPr>
                <w:p w14:paraId="060A008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1.122</w:t>
                  </w:r>
                </w:p>
              </w:tc>
              <w:tc>
                <w:tcPr>
                  <w:tcW w:w="329" w:type="pct"/>
                  <w:vAlign w:val="center"/>
                </w:tcPr>
                <w:p w14:paraId="4598B54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4B9B514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465513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7C52DE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1.0098</w:t>
                  </w:r>
                </w:p>
              </w:tc>
              <w:tc>
                <w:tcPr>
                  <w:tcW w:w="696" w:type="pct"/>
                  <w:vAlign w:val="center"/>
                </w:tcPr>
                <w:p w14:paraId="3B5E3DA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0.1122</w:t>
                  </w:r>
                </w:p>
              </w:tc>
              <w:tc>
                <w:tcPr>
                  <w:tcW w:w="632" w:type="pct"/>
                  <w:vAlign w:val="center"/>
                </w:tcPr>
                <w:p w14:paraId="4BBC63F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-1.0098</w:t>
                  </w:r>
                </w:p>
              </w:tc>
            </w:tr>
            <w:tr w14:paraId="1BD2F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B832F9B">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top"/>
                </w:tcPr>
                <w:p w14:paraId="2F1B1C25">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w:t>
                  </w:r>
                  <w:r>
                    <w:rPr>
                      <w:rStyle w:val="59"/>
                      <w:rFonts w:eastAsia="宋体"/>
                      <w:color w:val="000000" w:themeColor="text1"/>
                      <w:sz w:val="21"/>
                      <w:szCs w:val="21"/>
                      <w:lang w:val="en-US" w:eastAsia="zh-CN" w:bidi="ar"/>
                      <w14:textFill>
                        <w14:solidFill>
                          <w14:schemeClr w14:val="tx1"/>
                        </w14:solidFill>
                      </w14:textFill>
                    </w:rPr>
                    <w:t>x</w:t>
                  </w:r>
                </w:p>
              </w:tc>
              <w:tc>
                <w:tcPr>
                  <w:tcW w:w="515" w:type="pct"/>
                  <w:vAlign w:val="center"/>
                </w:tcPr>
                <w:p w14:paraId="4F3035D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8.272</w:t>
                  </w:r>
                </w:p>
              </w:tc>
              <w:tc>
                <w:tcPr>
                  <w:tcW w:w="329" w:type="pct"/>
                  <w:vAlign w:val="center"/>
                </w:tcPr>
                <w:p w14:paraId="561F4F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36124C9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220E93C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009D90A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7.4448</w:t>
                  </w:r>
                </w:p>
              </w:tc>
              <w:tc>
                <w:tcPr>
                  <w:tcW w:w="696" w:type="pct"/>
                  <w:vAlign w:val="center"/>
                </w:tcPr>
                <w:p w14:paraId="7D68704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0.8272</w:t>
                  </w:r>
                </w:p>
              </w:tc>
              <w:tc>
                <w:tcPr>
                  <w:tcW w:w="632" w:type="pct"/>
                  <w:vAlign w:val="center"/>
                </w:tcPr>
                <w:p w14:paraId="7A2DD46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-7.4448</w:t>
                  </w:r>
                </w:p>
              </w:tc>
            </w:tr>
            <w:tr w14:paraId="762AA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61301AC4">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top"/>
                </w:tcPr>
                <w:p w14:paraId="60690C94">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Style w:val="59"/>
                      <w:rFonts w:eastAsia="宋体"/>
                      <w:color w:val="000000" w:themeColor="text1"/>
                      <w:sz w:val="21"/>
                      <w:szCs w:val="21"/>
                      <w:lang w:val="en-US" w:eastAsia="zh-CN" w:bidi="ar"/>
                      <w14:textFill>
                        <w14:solidFill>
                          <w14:schemeClr w14:val="tx1"/>
                        </w14:solidFill>
                      </w14:textFill>
                    </w:rPr>
                    <w:t>3</w:t>
                  </w:r>
                </w:p>
              </w:tc>
              <w:tc>
                <w:tcPr>
                  <w:tcW w:w="515" w:type="pct"/>
                  <w:vAlign w:val="center"/>
                </w:tcPr>
                <w:p w14:paraId="358B64E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0.368</w:t>
                  </w:r>
                </w:p>
              </w:tc>
              <w:tc>
                <w:tcPr>
                  <w:tcW w:w="329" w:type="pct"/>
                  <w:vAlign w:val="center"/>
                </w:tcPr>
                <w:p w14:paraId="37C2FDF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189FFAF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548745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0.467</w:t>
                  </w:r>
                </w:p>
              </w:tc>
              <w:tc>
                <w:tcPr>
                  <w:tcW w:w="515" w:type="pct"/>
                  <w:vAlign w:val="center"/>
                </w:tcPr>
                <w:p w14:paraId="5447FC7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0.3312</w:t>
                  </w:r>
                </w:p>
              </w:tc>
              <w:tc>
                <w:tcPr>
                  <w:tcW w:w="696" w:type="pct"/>
                  <w:vAlign w:val="center"/>
                </w:tcPr>
                <w:p w14:paraId="76C22DB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0.5038</w:t>
                  </w:r>
                </w:p>
              </w:tc>
              <w:tc>
                <w:tcPr>
                  <w:tcW w:w="632" w:type="pct"/>
                  <w:vAlign w:val="center"/>
                </w:tcPr>
                <w:p w14:paraId="3C99090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0.1358</w:t>
                  </w:r>
                </w:p>
              </w:tc>
            </w:tr>
            <w:tr w14:paraId="4119C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42FF8B01">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top"/>
                </w:tcPr>
                <w:p w14:paraId="36945A79">
                  <w:pPr>
                    <w:keepNext w:val="0"/>
                    <w:keepLines w:val="0"/>
                    <w:widowControl/>
                    <w:suppressLineNumbers w:val="0"/>
                    <w:spacing w:line="240" w:lineRule="auto"/>
                    <w:jc w:val="center"/>
                    <w:textAlignment w:val="top"/>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t>
                  </w:r>
                  <w:r>
                    <w:rPr>
                      <w:rStyle w:val="59"/>
                      <w:rFonts w:eastAsia="宋体"/>
                      <w:color w:val="000000" w:themeColor="text1"/>
                      <w:sz w:val="21"/>
                      <w:szCs w:val="21"/>
                      <w:lang w:val="en-US" w:eastAsia="zh-CN" w:bidi="ar"/>
                      <w14:textFill>
                        <w14:solidFill>
                          <w14:schemeClr w14:val="tx1"/>
                        </w14:solidFill>
                      </w14:textFill>
                    </w:rPr>
                    <w:t>2</w:t>
                  </w:r>
                  <w:r>
                    <w:rPr>
                      <w:rStyle w:val="51"/>
                      <w:rFonts w:eastAsia="宋体"/>
                      <w:color w:val="000000" w:themeColor="text1"/>
                      <w:sz w:val="21"/>
                      <w:szCs w:val="21"/>
                      <w:lang w:val="en-US" w:eastAsia="zh-CN" w:bidi="ar"/>
                      <w14:textFill>
                        <w14:solidFill>
                          <w14:schemeClr w14:val="tx1"/>
                        </w14:solidFill>
                      </w14:textFill>
                    </w:rPr>
                    <w:t>S</w:t>
                  </w:r>
                </w:p>
              </w:tc>
              <w:tc>
                <w:tcPr>
                  <w:tcW w:w="515" w:type="pct"/>
                  <w:vAlign w:val="center"/>
                </w:tcPr>
                <w:p w14:paraId="301F400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w:t>
                  </w:r>
                </w:p>
              </w:tc>
              <w:tc>
                <w:tcPr>
                  <w:tcW w:w="329" w:type="pct"/>
                  <w:vAlign w:val="center"/>
                </w:tcPr>
                <w:p w14:paraId="2137D0B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547D0E3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241947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515" w:type="pct"/>
                  <w:vAlign w:val="center"/>
                </w:tcPr>
                <w:p w14:paraId="33880F9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0.063</w:t>
                  </w:r>
                </w:p>
              </w:tc>
              <w:tc>
                <w:tcPr>
                  <w:tcW w:w="696" w:type="pct"/>
                  <w:vAlign w:val="center"/>
                </w:tcPr>
                <w:p w14:paraId="1253D7F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0.307</w:t>
                  </w:r>
                </w:p>
              </w:tc>
              <w:tc>
                <w:tcPr>
                  <w:tcW w:w="632" w:type="pct"/>
                  <w:vAlign w:val="center"/>
                </w:tcPr>
                <w:p w14:paraId="6DE749C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0.237</w:t>
                  </w:r>
                </w:p>
              </w:tc>
            </w:tr>
            <w:tr w14:paraId="216CB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77E6ACEF">
                  <w:pPr>
                    <w:keepNext/>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67E2048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油烟kg/a</w:t>
                  </w:r>
                </w:p>
              </w:tc>
              <w:tc>
                <w:tcPr>
                  <w:tcW w:w="515" w:type="pct"/>
                  <w:vAlign w:val="center"/>
                </w:tcPr>
                <w:p w14:paraId="20EEFF9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2.264</w:t>
                  </w:r>
                </w:p>
              </w:tc>
              <w:tc>
                <w:tcPr>
                  <w:tcW w:w="329" w:type="pct"/>
                  <w:vAlign w:val="center"/>
                </w:tcPr>
                <w:p w14:paraId="27A409A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541E056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401E45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0.02264</w:t>
                  </w:r>
                </w:p>
              </w:tc>
              <w:tc>
                <w:tcPr>
                  <w:tcW w:w="515" w:type="pct"/>
                  <w:vAlign w:val="center"/>
                </w:tcPr>
                <w:p w14:paraId="5645ED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3305821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2.28664</w:t>
                  </w:r>
                </w:p>
              </w:tc>
              <w:tc>
                <w:tcPr>
                  <w:tcW w:w="632" w:type="pct"/>
                  <w:vAlign w:val="center"/>
                </w:tcPr>
                <w:p w14:paraId="3C9D226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0.02264</w:t>
                  </w:r>
                </w:p>
              </w:tc>
            </w:tr>
            <w:tr w14:paraId="6CBEF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restart"/>
                  <w:vAlign w:val="center"/>
                </w:tcPr>
                <w:p w14:paraId="43F2707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废水</w:t>
                  </w:r>
                </w:p>
              </w:tc>
              <w:tc>
                <w:tcPr>
                  <w:tcW w:w="861" w:type="pct"/>
                  <w:vAlign w:val="center"/>
                </w:tcPr>
                <w:p w14:paraId="22C7D63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w:t>
                  </w:r>
                </w:p>
              </w:tc>
              <w:tc>
                <w:tcPr>
                  <w:tcW w:w="515" w:type="pct"/>
                  <w:vAlign w:val="center"/>
                </w:tcPr>
                <w:p w14:paraId="5B7167D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237486</w:t>
                  </w:r>
                </w:p>
              </w:tc>
              <w:tc>
                <w:tcPr>
                  <w:tcW w:w="329" w:type="pct"/>
                  <w:vAlign w:val="center"/>
                </w:tcPr>
                <w:p w14:paraId="399FEF2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193042F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CEB2A1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5599.72</w:t>
                  </w:r>
                </w:p>
              </w:tc>
              <w:tc>
                <w:tcPr>
                  <w:tcW w:w="515" w:type="pct"/>
                  <w:vAlign w:val="center"/>
                </w:tcPr>
                <w:p w14:paraId="0E0F23F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7188.14</w:t>
                  </w:r>
                </w:p>
              </w:tc>
              <w:tc>
                <w:tcPr>
                  <w:tcW w:w="696" w:type="pct"/>
                  <w:vAlign w:val="center"/>
                </w:tcPr>
                <w:p w14:paraId="7560DC1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235897.852</w:t>
                  </w:r>
                </w:p>
              </w:tc>
              <w:tc>
                <w:tcPr>
                  <w:tcW w:w="632" w:type="pct"/>
                  <w:vAlign w:val="center"/>
                </w:tcPr>
                <w:p w14:paraId="2139743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-1588.424</w:t>
                  </w:r>
                </w:p>
              </w:tc>
            </w:tr>
            <w:tr w14:paraId="02F60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A11BD9B">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01376F4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生活污水</w:t>
                  </w:r>
                </w:p>
              </w:tc>
              <w:tc>
                <w:tcPr>
                  <w:tcW w:w="515" w:type="pct"/>
                  <w:vAlign w:val="center"/>
                </w:tcPr>
                <w:p w14:paraId="739811F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909.756</w:t>
                  </w:r>
                </w:p>
              </w:tc>
              <w:tc>
                <w:tcPr>
                  <w:tcW w:w="329" w:type="pct"/>
                  <w:vAlign w:val="center"/>
                </w:tcPr>
                <w:p w14:paraId="2B91C27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20F0E3CA">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D91A1E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47.952</w:t>
                  </w:r>
                </w:p>
              </w:tc>
              <w:tc>
                <w:tcPr>
                  <w:tcW w:w="515" w:type="pct"/>
                  <w:vAlign w:val="center"/>
                </w:tcPr>
                <w:p w14:paraId="3468DA8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1A2966F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957.708</w:t>
                  </w:r>
                </w:p>
              </w:tc>
              <w:tc>
                <w:tcPr>
                  <w:tcW w:w="632" w:type="pct"/>
                  <w:vAlign w:val="center"/>
                </w:tcPr>
                <w:p w14:paraId="497CDD2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47.952</w:t>
                  </w:r>
                </w:p>
              </w:tc>
            </w:tr>
            <w:tr w14:paraId="5DA5F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restart"/>
                  <w:vAlign w:val="center"/>
                </w:tcPr>
                <w:p w14:paraId="2B4081DB">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一般工业</w:t>
                  </w:r>
                </w:p>
                <w:p w14:paraId="008B3B2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固体废物</w:t>
                  </w:r>
                </w:p>
              </w:tc>
              <w:tc>
                <w:tcPr>
                  <w:tcW w:w="861" w:type="pct"/>
                  <w:vAlign w:val="center"/>
                </w:tcPr>
                <w:p w14:paraId="5B60D8E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生活垃圾</w:t>
                  </w:r>
                </w:p>
              </w:tc>
              <w:tc>
                <w:tcPr>
                  <w:tcW w:w="515" w:type="pct"/>
                  <w:vAlign w:val="center"/>
                </w:tcPr>
                <w:p w14:paraId="4533546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6.67</w:t>
                  </w:r>
                </w:p>
              </w:tc>
              <w:tc>
                <w:tcPr>
                  <w:tcW w:w="329" w:type="pct"/>
                  <w:vAlign w:val="center"/>
                </w:tcPr>
                <w:p w14:paraId="5914B6A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675BAAE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57D4DD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0.999</w:t>
                  </w:r>
                </w:p>
              </w:tc>
              <w:tc>
                <w:tcPr>
                  <w:tcW w:w="515" w:type="pct"/>
                  <w:vAlign w:val="center"/>
                </w:tcPr>
                <w:p w14:paraId="5FE6D34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65C3F59B">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7.669</w:t>
                  </w:r>
                </w:p>
              </w:tc>
              <w:tc>
                <w:tcPr>
                  <w:tcW w:w="632" w:type="pct"/>
                  <w:vAlign w:val="center"/>
                </w:tcPr>
                <w:p w14:paraId="531B58E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0.999</w:t>
                  </w:r>
                </w:p>
              </w:tc>
            </w:tr>
            <w:tr w14:paraId="7B463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17091183">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0BDD03D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厨房废水隔油器废油</w:t>
                  </w:r>
                </w:p>
              </w:tc>
              <w:tc>
                <w:tcPr>
                  <w:tcW w:w="515" w:type="pct"/>
                  <w:vAlign w:val="center"/>
                </w:tcPr>
                <w:p w14:paraId="2681980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p>
              </w:tc>
              <w:tc>
                <w:tcPr>
                  <w:tcW w:w="329" w:type="pct"/>
                  <w:vAlign w:val="center"/>
                </w:tcPr>
                <w:p w14:paraId="669DAA7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42BF191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48C16C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c>
                <w:tcPr>
                  <w:tcW w:w="515" w:type="pct"/>
                  <w:vAlign w:val="center"/>
                </w:tcPr>
                <w:p w14:paraId="1AEA90C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6C9C0B9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w:t>
                  </w:r>
                </w:p>
              </w:tc>
              <w:tc>
                <w:tcPr>
                  <w:tcW w:w="632" w:type="pct"/>
                  <w:vAlign w:val="center"/>
                </w:tcPr>
                <w:p w14:paraId="22189DE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r>
            <w:tr w14:paraId="7B92D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23DCF969">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496251A9">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厨余垃圾</w:t>
                  </w:r>
                </w:p>
              </w:tc>
              <w:tc>
                <w:tcPr>
                  <w:tcW w:w="515" w:type="pct"/>
                  <w:vAlign w:val="center"/>
                </w:tcPr>
                <w:p w14:paraId="7747D1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1.67</w:t>
                  </w:r>
                </w:p>
              </w:tc>
              <w:tc>
                <w:tcPr>
                  <w:tcW w:w="329" w:type="pct"/>
                  <w:vAlign w:val="center"/>
                </w:tcPr>
                <w:p w14:paraId="645E20F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31713B3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563E4E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0.1998</w:t>
                  </w:r>
                </w:p>
              </w:tc>
              <w:tc>
                <w:tcPr>
                  <w:tcW w:w="515" w:type="pct"/>
                  <w:vAlign w:val="center"/>
                </w:tcPr>
                <w:p w14:paraId="45E5B83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2661463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1.8698</w:t>
                  </w:r>
                </w:p>
              </w:tc>
              <w:tc>
                <w:tcPr>
                  <w:tcW w:w="632" w:type="pct"/>
                  <w:vAlign w:val="center"/>
                </w:tcPr>
                <w:p w14:paraId="7C4ABB8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0.1998</w:t>
                  </w:r>
                </w:p>
              </w:tc>
            </w:tr>
            <w:tr w14:paraId="70C7A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0609EEE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2C77AFD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化粪池污泥</w:t>
                  </w:r>
                </w:p>
              </w:tc>
              <w:tc>
                <w:tcPr>
                  <w:tcW w:w="515" w:type="pct"/>
                  <w:vAlign w:val="center"/>
                </w:tcPr>
                <w:p w14:paraId="3D78441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0.9058</w:t>
                  </w:r>
                </w:p>
              </w:tc>
              <w:tc>
                <w:tcPr>
                  <w:tcW w:w="329" w:type="pct"/>
                  <w:vAlign w:val="center"/>
                </w:tcPr>
                <w:p w14:paraId="3292339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2E5D129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AFCA0E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0.0472</w:t>
                  </w:r>
                </w:p>
              </w:tc>
              <w:tc>
                <w:tcPr>
                  <w:tcW w:w="515" w:type="pct"/>
                  <w:vAlign w:val="center"/>
                </w:tcPr>
                <w:p w14:paraId="7A389A6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275ABDA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0.953</w:t>
                  </w:r>
                </w:p>
              </w:tc>
              <w:tc>
                <w:tcPr>
                  <w:tcW w:w="632" w:type="pct"/>
                  <w:vAlign w:val="center"/>
                </w:tcPr>
                <w:p w14:paraId="339622A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0.0472</w:t>
                  </w:r>
                </w:p>
              </w:tc>
            </w:tr>
            <w:tr w14:paraId="2FB84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3B1CCED6">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2D28661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生产废水处理系统污泥</w:t>
                  </w:r>
                </w:p>
              </w:tc>
              <w:tc>
                <w:tcPr>
                  <w:tcW w:w="515" w:type="pct"/>
                  <w:vAlign w:val="center"/>
                </w:tcPr>
                <w:p w14:paraId="2BF2D7F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329" w:type="pct"/>
                  <w:vAlign w:val="center"/>
                </w:tcPr>
                <w:p w14:paraId="27535F6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2F9A3A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5D4431F">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06A15F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7F932A87">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632" w:type="pct"/>
                  <w:vAlign w:val="center"/>
                </w:tcPr>
                <w:p w14:paraId="4FAF219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6D811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32A1AF9F">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45BA932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生物质燃烧灰渣</w:t>
                  </w:r>
                </w:p>
              </w:tc>
              <w:tc>
                <w:tcPr>
                  <w:tcW w:w="515" w:type="pct"/>
                  <w:vAlign w:val="center"/>
                </w:tcPr>
                <w:p w14:paraId="4BBAEB1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329" w:type="pct"/>
                  <w:vAlign w:val="center"/>
                </w:tcPr>
                <w:p w14:paraId="6180EFF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1AC13544">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90CA2F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F7A3B9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c>
                <w:tcPr>
                  <w:tcW w:w="696" w:type="pct"/>
                  <w:vAlign w:val="center"/>
                </w:tcPr>
                <w:p w14:paraId="19C4F140">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632" w:type="pct"/>
                  <w:vAlign w:val="center"/>
                </w:tcPr>
                <w:p w14:paraId="2478F4C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p>
              </w:tc>
            </w:tr>
            <w:tr w14:paraId="381A5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03E27A61">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1156943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收尘渣</w:t>
                  </w:r>
                </w:p>
              </w:tc>
              <w:tc>
                <w:tcPr>
                  <w:tcW w:w="515" w:type="pct"/>
                  <w:vAlign w:val="center"/>
                </w:tcPr>
                <w:p w14:paraId="4C813EE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329" w:type="pct"/>
                  <w:vAlign w:val="center"/>
                </w:tcPr>
                <w:p w14:paraId="3BC4354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09BBA27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2CF2D87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4143329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w:t>
                  </w:r>
                </w:p>
              </w:tc>
              <w:tc>
                <w:tcPr>
                  <w:tcW w:w="696" w:type="pct"/>
                  <w:vAlign w:val="center"/>
                </w:tcPr>
                <w:p w14:paraId="7960F7E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w:t>
                  </w:r>
                </w:p>
              </w:tc>
              <w:tc>
                <w:tcPr>
                  <w:tcW w:w="632" w:type="pct"/>
                  <w:vAlign w:val="center"/>
                </w:tcPr>
                <w:p w14:paraId="3EC0725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-6.3</w:t>
                  </w:r>
                </w:p>
              </w:tc>
            </w:tr>
            <w:tr w14:paraId="36A13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0A2D420">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1F758FBB">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废活性炭</w:t>
                  </w:r>
                </w:p>
              </w:tc>
              <w:tc>
                <w:tcPr>
                  <w:tcW w:w="515" w:type="pct"/>
                  <w:vAlign w:val="center"/>
                </w:tcPr>
                <w:p w14:paraId="126D6D9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329" w:type="pct"/>
                  <w:vAlign w:val="center"/>
                </w:tcPr>
                <w:p w14:paraId="592D1BB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77DD545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041286F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9F1227F">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1320D342">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632" w:type="pct"/>
                  <w:vAlign w:val="center"/>
                </w:tcPr>
                <w:p w14:paraId="27B084B4">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78825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4EF4BCF5">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5F271B5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不合格产品</w:t>
                  </w:r>
                </w:p>
              </w:tc>
              <w:tc>
                <w:tcPr>
                  <w:tcW w:w="515" w:type="pct"/>
                  <w:vAlign w:val="center"/>
                </w:tcPr>
                <w:p w14:paraId="2EE3BC0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329" w:type="pct"/>
                  <w:vAlign w:val="center"/>
                </w:tcPr>
                <w:p w14:paraId="3559D44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04D7C92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329B52E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c>
                <w:tcPr>
                  <w:tcW w:w="515" w:type="pct"/>
                  <w:vAlign w:val="center"/>
                </w:tcPr>
                <w:p w14:paraId="2345EBD1">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0EFFB0C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c>
                <w:tcPr>
                  <w:tcW w:w="632" w:type="pct"/>
                  <w:vAlign w:val="center"/>
                </w:tcPr>
                <w:p w14:paraId="38A9628A">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880</w:t>
                  </w:r>
                </w:p>
              </w:tc>
            </w:tr>
            <w:tr w14:paraId="56C72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563EFB9E">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6358CC4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沉降粉尘</w:t>
                  </w:r>
                </w:p>
              </w:tc>
              <w:tc>
                <w:tcPr>
                  <w:tcW w:w="515" w:type="pct"/>
                  <w:vAlign w:val="center"/>
                </w:tcPr>
                <w:p w14:paraId="75D2ACB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329" w:type="pct"/>
                  <w:vAlign w:val="center"/>
                </w:tcPr>
                <w:p w14:paraId="6BD5BC1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46C8D0E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40E9449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c>
                <w:tcPr>
                  <w:tcW w:w="515" w:type="pct"/>
                  <w:vAlign w:val="center"/>
                </w:tcPr>
                <w:p w14:paraId="68FA7DF5">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404502CD">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c>
                <w:tcPr>
                  <w:tcW w:w="632" w:type="pct"/>
                  <w:vAlign w:val="center"/>
                </w:tcPr>
                <w:p w14:paraId="5C5207AC">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28.95</w:t>
                  </w:r>
                </w:p>
              </w:tc>
            </w:tr>
            <w:tr w14:paraId="6498F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Merge w:val="continue"/>
                  <w:vAlign w:val="center"/>
                </w:tcPr>
                <w:p w14:paraId="192495C8">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p>
              </w:tc>
              <w:tc>
                <w:tcPr>
                  <w:tcW w:w="861" w:type="pct"/>
                  <w:vAlign w:val="center"/>
                </w:tcPr>
                <w:p w14:paraId="7CE78F2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废包装物</w:t>
                  </w:r>
                </w:p>
              </w:tc>
              <w:tc>
                <w:tcPr>
                  <w:tcW w:w="515" w:type="pct"/>
                  <w:vAlign w:val="center"/>
                </w:tcPr>
                <w:p w14:paraId="23FD408D">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329" w:type="pct"/>
                  <w:vAlign w:val="center"/>
                </w:tcPr>
                <w:p w14:paraId="57F00253">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10D88EE6">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6E0B3AA5">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515" w:type="pct"/>
                  <w:vAlign w:val="center"/>
                </w:tcPr>
                <w:p w14:paraId="0FC6D938">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5CC9A191">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c>
                <w:tcPr>
                  <w:tcW w:w="632" w:type="pct"/>
                  <w:vAlign w:val="center"/>
                </w:tcPr>
                <w:p w14:paraId="385D9D6E">
                  <w:pPr>
                    <w:keepNext w:val="0"/>
                    <w:keepLines w:val="0"/>
                    <w:widowControl/>
                    <w:suppressLineNumbers w:val="0"/>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97</w:t>
                  </w:r>
                </w:p>
              </w:tc>
            </w:tr>
            <w:tr w14:paraId="2E301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9" w:type="pct"/>
                  <w:vAlign w:val="center"/>
                </w:tcPr>
                <w:p w14:paraId="6CE6BFD6">
                  <w:pPr>
                    <w:keepNext/>
                    <w:adjustRightInd w:val="0"/>
                    <w:snapToGrid w:val="0"/>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14:textFill>
                        <w14:solidFill>
                          <w14:schemeClr w14:val="tx1"/>
                        </w14:solidFill>
                      </w14:textFill>
                    </w:rPr>
                    <w:t>危险废物</w:t>
                  </w:r>
                </w:p>
              </w:tc>
              <w:tc>
                <w:tcPr>
                  <w:tcW w:w="861" w:type="pct"/>
                  <w:vAlign w:val="center"/>
                </w:tcPr>
                <w:p w14:paraId="2DE8EC8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废机油</w:t>
                  </w:r>
                </w:p>
              </w:tc>
              <w:tc>
                <w:tcPr>
                  <w:tcW w:w="515" w:type="pct"/>
                  <w:vAlign w:val="center"/>
                </w:tcPr>
                <w:p w14:paraId="0340ED8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329" w:type="pct"/>
                  <w:vAlign w:val="center"/>
                </w:tcPr>
                <w:p w14:paraId="7FBB849C">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3" w:type="pct"/>
                  <w:vAlign w:val="center"/>
                </w:tcPr>
                <w:p w14:paraId="0445ED57">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515" w:type="pct"/>
                  <w:vAlign w:val="center"/>
                </w:tcPr>
                <w:p w14:paraId="7126CA7E">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515" w:type="pct"/>
                  <w:vAlign w:val="center"/>
                </w:tcPr>
                <w:p w14:paraId="67B05802">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696" w:type="pct"/>
                  <w:vAlign w:val="center"/>
                </w:tcPr>
                <w:p w14:paraId="7701A179">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c>
                <w:tcPr>
                  <w:tcW w:w="632" w:type="pct"/>
                  <w:vAlign w:val="center"/>
                </w:tcPr>
                <w:p w14:paraId="3C7FCCF0">
                  <w:pPr>
                    <w:keepNext w:val="0"/>
                    <w:keepLines w:val="0"/>
                    <w:widowControl/>
                    <w:suppressLineNumbers w:val="0"/>
                    <w:spacing w:line="240" w:lineRule="auto"/>
                    <w:jc w:val="center"/>
                    <w:textAlignment w:val="center"/>
                    <w:rPr>
                      <w:rFonts w:hint="default" w:ascii="Times New Roman" w:hAnsi="Times New Roman" w:eastAsia="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r>
          </w:tbl>
          <w:p w14:paraId="44C8CCFB">
            <w:pPr>
              <w:spacing w:before="120" w:beforeLines="50"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七</w:t>
            </w:r>
            <w:r>
              <w:rPr>
                <w:b/>
                <w:color w:val="000000" w:themeColor="text1"/>
                <w:kern w:val="0"/>
                <w:sz w:val="24"/>
                <w14:textFill>
                  <w14:solidFill>
                    <w14:schemeClr w14:val="tx1"/>
                  </w14:solidFill>
                </w14:textFill>
              </w:rPr>
              <w:t>、</w:t>
            </w:r>
            <w:r>
              <w:rPr>
                <w:rFonts w:hint="eastAsia"/>
                <w:b/>
                <w:bCs/>
                <w:color w:val="000000" w:themeColor="text1"/>
                <w:kern w:val="0"/>
                <w:sz w:val="24"/>
                <w14:textFill>
                  <w14:solidFill>
                    <w14:schemeClr w14:val="tx1"/>
                  </w14:solidFill>
                </w14:textFill>
              </w:rPr>
              <w:t>运营期土壤、地下水环境影响及保护</w:t>
            </w:r>
            <w:r>
              <w:rPr>
                <w:b/>
                <w:bCs/>
                <w:color w:val="000000" w:themeColor="text1"/>
                <w:kern w:val="0"/>
                <w:sz w:val="24"/>
                <w14:textFill>
                  <w14:solidFill>
                    <w14:schemeClr w14:val="tx1"/>
                  </w14:solidFill>
                </w14:textFill>
              </w:rPr>
              <w:t>措施</w:t>
            </w:r>
          </w:p>
          <w:p w14:paraId="3C327807">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根据项目原辅材料及工艺，</w:t>
            </w:r>
            <w:r>
              <w:rPr>
                <w:rFonts w:hint="eastAsia"/>
                <w:color w:val="000000" w:themeColor="text1"/>
                <w:sz w:val="24"/>
                <w14:textFill>
                  <w14:solidFill>
                    <w14:schemeClr w14:val="tx1"/>
                  </w14:solidFill>
                </w14:textFill>
              </w:rPr>
              <w:t>项目不涉及重金属和持久性有机污染物</w:t>
            </w:r>
            <w:r>
              <w:rPr>
                <w:rFonts w:hint="eastAsia"/>
                <w:color w:val="000000" w:themeColor="text1"/>
                <w:sz w:val="24"/>
                <w:lang w:val="en-US" w:eastAsia="zh-CN"/>
                <w14:textFill>
                  <w14:solidFill>
                    <w14:schemeClr w14:val="tx1"/>
                  </w14:solidFill>
                </w14:textFill>
              </w:rPr>
              <w:t>，但</w:t>
            </w:r>
            <w:r>
              <w:rPr>
                <w:rFonts w:hint="eastAsia" w:ascii="Times New Roman" w:hAnsi="Times New Roman" w:eastAsia="宋体" w:cs="Times New Roman"/>
                <w:color w:val="000000" w:themeColor="text1"/>
                <w:sz w:val="24"/>
                <w:lang w:val="en-US" w:eastAsia="zh-CN"/>
                <w14:textFill>
                  <w14:solidFill>
                    <w14:schemeClr w14:val="tx1"/>
                  </w14:solidFill>
                </w14:textFill>
              </w:rPr>
              <w:t>项目危险</w:t>
            </w:r>
            <w:r>
              <w:rPr>
                <w:rFonts w:hint="eastAsia" w:cs="Times New Roman"/>
                <w:color w:val="000000" w:themeColor="text1"/>
                <w:sz w:val="24"/>
                <w:lang w:val="en-US" w:eastAsia="zh-CN"/>
                <w14:textFill>
                  <w14:solidFill>
                    <w14:schemeClr w14:val="tx1"/>
                  </w14:solidFill>
                </w14:textFill>
              </w:rPr>
              <w:t>废物</w:t>
            </w:r>
            <w:r>
              <w:rPr>
                <w:rFonts w:hint="eastAsia" w:ascii="Times New Roman" w:hAnsi="Times New Roman" w:eastAsia="宋体" w:cs="Times New Roman"/>
                <w:color w:val="000000" w:themeColor="text1"/>
                <w:sz w:val="24"/>
                <w:lang w:val="en-US" w:eastAsia="zh-CN"/>
                <w14:textFill>
                  <w14:solidFill>
                    <w14:schemeClr w14:val="tx1"/>
                  </w14:solidFill>
                </w14:textFill>
              </w:rPr>
              <w:t>暂存间内废</w:t>
            </w:r>
            <w:r>
              <w:rPr>
                <w:rFonts w:hint="eastAsia" w:cs="Times New Roman"/>
                <w:color w:val="000000" w:themeColor="text1"/>
                <w:sz w:val="24"/>
                <w:lang w:val="en-US" w:eastAsia="zh-CN"/>
                <w14:textFill>
                  <w14:solidFill>
                    <w14:schemeClr w14:val="tx1"/>
                  </w14:solidFill>
                </w14:textFill>
              </w:rPr>
              <w:t>矿物油类</w:t>
            </w:r>
            <w:r>
              <w:rPr>
                <w:rFonts w:ascii="Times New Roman" w:hAnsi="Times New Roman" w:eastAsia="宋体" w:cs="Times New Roman"/>
                <w:color w:val="000000" w:themeColor="text1"/>
                <w:sz w:val="24"/>
                <w14:textFill>
                  <w14:solidFill>
                    <w14:schemeClr w14:val="tx1"/>
                  </w14:solidFill>
                </w14:textFill>
              </w:rPr>
              <w:t>泄漏</w:t>
            </w:r>
            <w:r>
              <w:rPr>
                <w:rFonts w:hint="eastAsia" w:ascii="Times New Roman" w:hAnsi="Times New Roman" w:eastAsia="宋体" w:cs="Times New Roman"/>
                <w:color w:val="000000" w:themeColor="text1"/>
                <w:sz w:val="24"/>
                <w:lang w:val="en-US" w:eastAsia="zh-CN"/>
                <w14:textFill>
                  <w14:solidFill>
                    <w14:schemeClr w14:val="tx1"/>
                  </w14:solidFill>
                </w14:textFill>
              </w:rPr>
              <w:t>及发酵区渗滤液</w:t>
            </w:r>
            <w:r>
              <w:rPr>
                <w:rFonts w:ascii="Times New Roman" w:hAnsi="Times New Roman" w:eastAsia="宋体" w:cs="Times New Roman"/>
                <w:color w:val="000000" w:themeColor="text1"/>
                <w:sz w:val="24"/>
                <w14:textFill>
                  <w14:solidFill>
                    <w14:schemeClr w14:val="tx1"/>
                  </w14:solidFill>
                </w14:textFill>
              </w:rPr>
              <w:t>可能会以垂直入渗的方式对周边土壤和地下水环境进行影响，</w:t>
            </w:r>
            <w:r>
              <w:rPr>
                <w:rFonts w:hint="eastAsia" w:ascii="Times New Roman" w:hAnsi="Times New Roman" w:eastAsia="宋体" w:cs="Times New Roman"/>
                <w:color w:val="000000" w:themeColor="text1"/>
                <w:sz w:val="24"/>
                <w:lang w:val="en-US" w:eastAsia="zh-CN"/>
                <w14:textFill>
                  <w14:solidFill>
                    <w14:schemeClr w14:val="tx1"/>
                  </w14:solidFill>
                </w14:textFill>
              </w:rPr>
              <w:t>项目拟对项目进行分区防渗，按照相关规范采取分区防渗的措施后</w:t>
            </w:r>
            <w:r>
              <w:rPr>
                <w:rFonts w:ascii="Times New Roman" w:hAnsi="Times New Roman" w:eastAsia="宋体" w:cs="Times New Roman"/>
                <w:color w:val="000000" w:themeColor="text1"/>
                <w:sz w:val="24"/>
                <w14:textFill>
                  <w14:solidFill>
                    <w14:schemeClr w14:val="tx1"/>
                  </w14:solidFill>
                </w14:textFill>
              </w:rPr>
              <w:t>，本项目对周边土壤和地下水环境的影响较小。</w:t>
            </w:r>
          </w:p>
          <w:p w14:paraId="3072334A">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1、主动预防</w:t>
            </w:r>
          </w:p>
          <w:p w14:paraId="51FCD3C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按照国家相关规范要求，对工艺、设备、原辅材料贮存区、产品储存等采取相应的措施，以防止和降低污染物的跑、冒、滴、漏，将污染物泄漏的环境风险事故降低到最低程度；废水管网敷设应采用“可视化”原则，尽可能架空或者管沟敷设，做到污染物“早发现、早处理”，以减少由于埋地管道泄漏而可能造成的地下水污染。</w:t>
            </w:r>
          </w:p>
          <w:p w14:paraId="3E30BECB">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2、防渗措施</w:t>
            </w:r>
          </w:p>
          <w:p w14:paraId="41C98AE7">
            <w:pPr>
              <w:widowControl/>
              <w:snapToGrid w:val="0"/>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2.1源头控制措施：</w:t>
            </w:r>
          </w:p>
          <w:p w14:paraId="583E33F4">
            <w:pPr>
              <w:widowControl/>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 xml:space="preserve">①节约用水，减少废水产生量。 </w:t>
            </w:r>
          </w:p>
          <w:p w14:paraId="12EB88D5">
            <w:pPr>
              <w:widowControl/>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②定期对污水处理设施的各个池子及处理构筑物</w:t>
            </w:r>
            <w:r>
              <w:rPr>
                <w:rFonts w:hint="eastAsia"/>
                <w:color w:val="000000" w:themeColor="text1"/>
                <w:kern w:val="0"/>
                <w:sz w:val="24"/>
                <w:lang w:bidi="ar"/>
                <w14:textFill>
                  <w14:solidFill>
                    <w14:schemeClr w14:val="tx1"/>
                  </w14:solidFill>
                </w14:textFill>
              </w:rPr>
              <w:t>、危险废物贮存库</w:t>
            </w:r>
            <w:r>
              <w:rPr>
                <w:color w:val="000000" w:themeColor="text1"/>
                <w:kern w:val="0"/>
                <w:sz w:val="24"/>
                <w:lang w:bidi="ar"/>
                <w14:textFill>
                  <w14:solidFill>
                    <w14:schemeClr w14:val="tx1"/>
                  </w14:solidFill>
                </w14:textFill>
              </w:rPr>
              <w:t xml:space="preserve">进行巡检、调节、保养、维修，及时发现可能引起事故的异常运行苗头，消除事故隐患，将污染物跑冒、滴漏降到最低限度。 </w:t>
            </w:r>
          </w:p>
          <w:p w14:paraId="206C58D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2.2分区防渗措施</w:t>
            </w:r>
          </w:p>
          <w:p w14:paraId="64F8BA4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一般企业分区防渗分为重点防渗区和简单防渗区。拟建项目分区防渗分为重点防渗区和简单防渗。具体分区防渗情况见下表。</w:t>
            </w:r>
          </w:p>
          <w:p w14:paraId="1E9B3BC4">
            <w:pPr>
              <w:spacing w:line="360" w:lineRule="auto"/>
              <w:ind w:firstLine="422" w:firstLineChars="20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表4-2</w:t>
            </w:r>
            <w:r>
              <w:rPr>
                <w:rFonts w:hint="eastAsia"/>
                <w:b/>
                <w:color w:val="000000" w:themeColor="text1"/>
                <w:kern w:val="0"/>
                <w:szCs w:val="21"/>
                <w:lang w:val="en-US" w:eastAsia="zh-CN"/>
                <w14:textFill>
                  <w14:solidFill>
                    <w14:schemeClr w14:val="tx1"/>
                  </w14:solidFill>
                </w14:textFill>
              </w:rPr>
              <w:t>0</w:t>
            </w:r>
            <w:r>
              <w:rPr>
                <w:rFonts w:hint="eastAsia"/>
                <w:b/>
                <w:color w:val="000000" w:themeColor="text1"/>
                <w:kern w:val="0"/>
                <w:szCs w:val="21"/>
                <w14:textFill>
                  <w14:solidFill>
                    <w14:schemeClr w14:val="tx1"/>
                  </w14:solidFill>
                </w14:textFill>
              </w:rPr>
              <w:t>拟建项目场地防渗一览表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1"/>
              <w:gridCol w:w="3494"/>
              <w:gridCol w:w="868"/>
            </w:tblGrid>
            <w:tr w14:paraId="5CEB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184E9C8A">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防渗级别</w:t>
                  </w:r>
                </w:p>
              </w:tc>
              <w:tc>
                <w:tcPr>
                  <w:tcW w:w="2181" w:type="dxa"/>
                  <w:vAlign w:val="center"/>
                </w:tcPr>
                <w:p w14:paraId="62A40CBD">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位置</w:t>
                  </w:r>
                </w:p>
              </w:tc>
              <w:tc>
                <w:tcPr>
                  <w:tcW w:w="3494" w:type="dxa"/>
                  <w:vAlign w:val="center"/>
                </w:tcPr>
                <w:p w14:paraId="557AB40B">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要求</w:t>
                  </w:r>
                </w:p>
              </w:tc>
              <w:tc>
                <w:tcPr>
                  <w:tcW w:w="868" w:type="dxa"/>
                  <w:vAlign w:val="center"/>
                </w:tcPr>
                <w:p w14:paraId="5C629FCA">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备注</w:t>
                  </w:r>
                </w:p>
              </w:tc>
            </w:tr>
            <w:tr w14:paraId="28DC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2B3F457C">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重点防渗区域</w:t>
                  </w:r>
                </w:p>
              </w:tc>
              <w:tc>
                <w:tcPr>
                  <w:tcW w:w="2181" w:type="dxa"/>
                  <w:vAlign w:val="center"/>
                </w:tcPr>
                <w:p w14:paraId="7C4A194D">
                  <w:pPr>
                    <w:jc w:val="center"/>
                    <w:rPr>
                      <w:rFonts w:hint="default"/>
                      <w:bCs/>
                      <w:color w:val="000000" w:themeColor="text1"/>
                      <w:kern w:val="0"/>
                      <w:szCs w:val="21"/>
                      <w:lang w:val="en-US"/>
                      <w14:textFill>
                        <w14:solidFill>
                          <w14:schemeClr w14:val="tx1"/>
                        </w14:solidFill>
                      </w14:textFill>
                    </w:rPr>
                  </w:pPr>
                  <w:r>
                    <w:rPr>
                      <w:rFonts w:hint="eastAsia"/>
                      <w:bCs/>
                      <w:color w:val="000000" w:themeColor="text1"/>
                      <w:kern w:val="0"/>
                      <w:szCs w:val="21"/>
                      <w14:textFill>
                        <w14:solidFill>
                          <w14:schemeClr w14:val="tx1"/>
                        </w14:solidFill>
                      </w14:textFill>
                    </w:rPr>
                    <w:t>危险废物贮存间</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渗滤液收集池</w:t>
                  </w:r>
                </w:p>
              </w:tc>
              <w:tc>
                <w:tcPr>
                  <w:tcW w:w="3494" w:type="dxa"/>
                  <w:vAlign w:val="center"/>
                </w:tcPr>
                <w:p w14:paraId="7642236E">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等效粘土防渗层Mb≥6.0m，防渗系数≤1.0×10</w:t>
                  </w:r>
                  <w:r>
                    <w:rPr>
                      <w:rFonts w:hint="eastAsia"/>
                      <w:bCs/>
                      <w:color w:val="000000" w:themeColor="text1"/>
                      <w:kern w:val="0"/>
                      <w:szCs w:val="21"/>
                      <w:vertAlign w:val="superscript"/>
                      <w14:textFill>
                        <w14:solidFill>
                          <w14:schemeClr w14:val="tx1"/>
                        </w14:solidFill>
                      </w14:textFill>
                    </w:rPr>
                    <w:t>-7</w:t>
                  </w:r>
                  <w:r>
                    <w:rPr>
                      <w:rFonts w:hint="eastAsia"/>
                      <w:bCs/>
                      <w:color w:val="000000" w:themeColor="text1"/>
                      <w:kern w:val="0"/>
                      <w:szCs w:val="21"/>
                      <w14:textFill>
                        <w14:solidFill>
                          <w14:schemeClr w14:val="tx1"/>
                        </w14:solidFill>
                      </w14:textFill>
                    </w:rPr>
                    <w:t>cm/s，或参照GB 18598-2019执行</w:t>
                  </w:r>
                </w:p>
              </w:tc>
              <w:tc>
                <w:tcPr>
                  <w:tcW w:w="868" w:type="dxa"/>
                  <w:vAlign w:val="center"/>
                </w:tcPr>
                <w:p w14:paraId="425B8A1E">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已建，依托</w:t>
                  </w:r>
                  <w:r>
                    <w:rPr>
                      <w:rFonts w:hint="eastAsia"/>
                      <w:bCs/>
                      <w:color w:val="000000" w:themeColor="text1"/>
                      <w:kern w:val="0"/>
                      <w:szCs w:val="21"/>
                      <w:lang w:val="en-US" w:eastAsia="zh-CN"/>
                      <w14:textFill>
                        <w14:solidFill>
                          <w14:schemeClr w14:val="tx1"/>
                        </w14:solidFill>
                      </w14:textFill>
                    </w:rPr>
                    <w:t>+新建</w:t>
                  </w:r>
                </w:p>
              </w:tc>
            </w:tr>
            <w:tr w14:paraId="6E61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7417DA59">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一般防渗区域</w:t>
                  </w:r>
                </w:p>
              </w:tc>
              <w:tc>
                <w:tcPr>
                  <w:tcW w:w="2181" w:type="dxa"/>
                  <w:vAlign w:val="center"/>
                </w:tcPr>
                <w:p w14:paraId="0B709FF1">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生产区，原辅料区，实验室</w:t>
                  </w:r>
                </w:p>
              </w:tc>
              <w:tc>
                <w:tcPr>
                  <w:tcW w:w="3494" w:type="dxa"/>
                  <w:vAlign w:val="center"/>
                </w:tcPr>
                <w:p w14:paraId="120430AD">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等效粘土防渗层Mb≥1.5m，防渗系数≤1.0×10</w:t>
                  </w:r>
                  <w:r>
                    <w:rPr>
                      <w:rFonts w:hint="eastAsia"/>
                      <w:bCs/>
                      <w:color w:val="000000" w:themeColor="text1"/>
                      <w:kern w:val="0"/>
                      <w:szCs w:val="21"/>
                      <w:vertAlign w:val="superscript"/>
                      <w14:textFill>
                        <w14:solidFill>
                          <w14:schemeClr w14:val="tx1"/>
                        </w14:solidFill>
                      </w14:textFill>
                    </w:rPr>
                    <w:t>-7</w:t>
                  </w:r>
                  <w:r>
                    <w:rPr>
                      <w:rFonts w:hint="eastAsia"/>
                      <w:bCs/>
                      <w:color w:val="000000" w:themeColor="text1"/>
                      <w:kern w:val="0"/>
                      <w:szCs w:val="21"/>
                      <w14:textFill>
                        <w14:solidFill>
                          <w14:schemeClr w14:val="tx1"/>
                        </w14:solidFill>
                      </w14:textFill>
                    </w:rPr>
                    <w:t>cm/s，或参照GB 18598-2019执行</w:t>
                  </w:r>
                </w:p>
              </w:tc>
              <w:tc>
                <w:tcPr>
                  <w:tcW w:w="868" w:type="dxa"/>
                  <w:vAlign w:val="center"/>
                </w:tcPr>
                <w:p w14:paraId="0A39439C">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实验室依托、其他新建</w:t>
                  </w:r>
                </w:p>
              </w:tc>
            </w:tr>
            <w:tr w14:paraId="46C1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0EBCD44B">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简单防渗区域</w:t>
                  </w:r>
                </w:p>
              </w:tc>
              <w:tc>
                <w:tcPr>
                  <w:tcW w:w="2181" w:type="dxa"/>
                  <w:vAlign w:val="center"/>
                </w:tcPr>
                <w:p w14:paraId="71BB938D">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办公室及其他区域</w:t>
                  </w:r>
                </w:p>
              </w:tc>
              <w:tc>
                <w:tcPr>
                  <w:tcW w:w="3494" w:type="dxa"/>
                  <w:vAlign w:val="center"/>
                </w:tcPr>
                <w:p w14:paraId="0921DB88">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一般地面硬化</w:t>
                  </w:r>
                </w:p>
              </w:tc>
              <w:tc>
                <w:tcPr>
                  <w:tcW w:w="868" w:type="dxa"/>
                  <w:vAlign w:val="center"/>
                </w:tcPr>
                <w:p w14:paraId="55F33238">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已建</w:t>
                  </w:r>
                </w:p>
              </w:tc>
            </w:tr>
          </w:tbl>
          <w:p w14:paraId="0A0CFFCE">
            <w:pPr>
              <w:spacing w:line="360" w:lineRule="auto"/>
              <w:ind w:left="420" w:left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2.3其他措施</w:t>
            </w:r>
          </w:p>
          <w:p w14:paraId="7E4B163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①原料库区、成品库区设置托板，采用高密度聚乙烯或聚丙烯材质，防止原料、产品直接接触地面；</w:t>
            </w:r>
          </w:p>
          <w:p w14:paraId="2CD9BB5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②原料、产品堆存位置避开窗户下方、出入口附近等区域，降低雨淋、受潮风险。</w:t>
            </w:r>
          </w:p>
          <w:p w14:paraId="50929DB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③提高原料、产品周转次数，减少在项目区内的存在量；</w:t>
            </w:r>
          </w:p>
          <w:p w14:paraId="129F1CA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④保持生产区域地面干爽，地面清洁采用笤帚、吸尘器进行干式清洁，禁止采用冲洗等方式。</w:t>
            </w:r>
          </w:p>
          <w:p w14:paraId="265D9DBE">
            <w:pPr>
              <w:spacing w:line="360" w:lineRule="auto"/>
              <w:ind w:left="420" w:leftChars="200"/>
              <w:rPr>
                <w:b/>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⑤生产区域目前已采取硬化措施，生产过程中发生地面硬化破损情况时，及时采取修复。</w:t>
            </w:r>
          </w:p>
          <w:p w14:paraId="1269A5CD">
            <w:pPr>
              <w:numPr>
                <w:ilvl w:val="0"/>
                <w:numId w:val="19"/>
              </w:num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环境风险</w:t>
            </w:r>
          </w:p>
          <w:p w14:paraId="593D93EE">
            <w:pPr>
              <w:spacing w:line="360" w:lineRule="auto"/>
              <w:ind w:left="420" w:leftChars="200" w:firstLine="241" w:firstLineChars="1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7.1. 风险识别</w:t>
            </w:r>
          </w:p>
          <w:p w14:paraId="2BBD51D3">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包括主要原辅材料、燃料、中间产品、副产品、最终产品、污染物、泄漏、火灾和爆炸伴生/次生物等。本项目主要危险物质及危险性识别如下。</w:t>
            </w:r>
          </w:p>
          <w:p w14:paraId="3796993C">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结合现有项目危险物质产生情况，改扩建后</w:t>
            </w:r>
            <w:r>
              <w:rPr>
                <w:rFonts w:hint="eastAsia"/>
                <w:color w:val="000000" w:themeColor="text1"/>
                <w:kern w:val="1"/>
                <w:szCs w:val="21"/>
                <w14:textFill>
                  <w14:solidFill>
                    <w14:schemeClr w14:val="tx1"/>
                  </w14:solidFill>
                </w14:textFill>
              </w:rPr>
              <w:t>CH</w:t>
            </w:r>
            <w:r>
              <w:rPr>
                <w:rFonts w:hint="eastAsia"/>
                <w:color w:val="000000" w:themeColor="text1"/>
                <w:kern w:val="1"/>
                <w:szCs w:val="21"/>
                <w:vertAlign w:val="subscript"/>
                <w14:textFill>
                  <w14:solidFill>
                    <w14:schemeClr w14:val="tx1"/>
                  </w14:solidFill>
                </w14:textFill>
              </w:rPr>
              <w:t>4、</w:t>
            </w:r>
            <w:r>
              <w:rPr>
                <w:rFonts w:hint="eastAsia"/>
                <w:color w:val="000000" w:themeColor="text1"/>
                <w:kern w:val="1"/>
                <w:sz w:val="24"/>
                <w14:textFill>
                  <w14:solidFill>
                    <w14:schemeClr w14:val="tx1"/>
                  </w14:solidFill>
                </w14:textFill>
              </w:rPr>
              <w:t>H</w:t>
            </w:r>
            <w:r>
              <w:rPr>
                <w:rFonts w:hint="eastAsia"/>
                <w:color w:val="000000" w:themeColor="text1"/>
                <w:kern w:val="1"/>
                <w:sz w:val="24"/>
                <w:vertAlign w:val="subscript"/>
                <w14:textFill>
                  <w14:solidFill>
                    <w14:schemeClr w14:val="tx1"/>
                  </w14:solidFill>
                </w14:textFill>
              </w:rPr>
              <w:t>2</w:t>
            </w:r>
            <w:r>
              <w:rPr>
                <w:rFonts w:hint="eastAsia"/>
                <w:color w:val="000000" w:themeColor="text1"/>
                <w:kern w:val="1"/>
                <w:sz w:val="24"/>
                <w14:textFill>
                  <w14:solidFill>
                    <w14:schemeClr w14:val="tx1"/>
                  </w14:solidFill>
                </w14:textFill>
              </w:rPr>
              <w:t>S、NO</w:t>
            </w:r>
            <w:r>
              <w:rPr>
                <w:rFonts w:hint="eastAsia"/>
                <w:color w:val="000000" w:themeColor="text1"/>
                <w:kern w:val="1"/>
                <w:sz w:val="24"/>
                <w:vertAlign w:val="subscript"/>
                <w14:textFill>
                  <w14:solidFill>
                    <w14:schemeClr w14:val="tx1"/>
                  </w14:solidFill>
                </w14:textFill>
              </w:rPr>
              <w:t>2、</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bCs/>
                <w:color w:val="000000" w:themeColor="text1"/>
                <w:kern w:val="0"/>
                <w:sz w:val="24"/>
                <w14:textFill>
                  <w14:solidFill>
                    <w14:schemeClr w14:val="tx1"/>
                  </w14:solidFill>
                </w14:textFill>
              </w:rPr>
              <w:t>最大存在量减少，废矿物油存在量增加，新增加酸碱类原辅材料冰醋酸，最大储存量为2.5吨。生产过程中产生的渗滤液COD产生浓度为6000mg/L、NH</w:t>
            </w:r>
            <w:r>
              <w:rPr>
                <w:rFonts w:hint="eastAsia"/>
                <w:bCs/>
                <w:color w:val="000000" w:themeColor="text1"/>
                <w:kern w:val="0"/>
                <w:sz w:val="24"/>
                <w:vertAlign w:val="subscript"/>
                <w14:textFill>
                  <w14:solidFill>
                    <w14:schemeClr w14:val="tx1"/>
                  </w14:solidFill>
                </w14:textFill>
              </w:rPr>
              <w:t>3</w:t>
            </w:r>
            <w:r>
              <w:rPr>
                <w:rFonts w:hint="eastAsia"/>
                <w:bCs/>
                <w:color w:val="000000" w:themeColor="text1"/>
                <w:kern w:val="0"/>
                <w:sz w:val="24"/>
                <w14:textFill>
                  <w14:solidFill>
                    <w14:schemeClr w14:val="tx1"/>
                  </w14:solidFill>
                </w14:textFill>
              </w:rPr>
              <w:t>-N产生浓度为600mg/L，不属于COD浓度≥10000mg/L的有机废液。</w:t>
            </w:r>
          </w:p>
          <w:p w14:paraId="33E567BB">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2</w:t>
            </w:r>
            <w:r>
              <w:rPr>
                <w:rFonts w:hint="eastAsia"/>
                <w:b/>
                <w:color w:val="000000" w:themeColor="text1"/>
                <w:szCs w:val="21"/>
                <w:lang w:val="en-US" w:eastAsia="zh-CN"/>
                <w14:textFill>
                  <w14:solidFill>
                    <w14:schemeClr w14:val="tx1"/>
                  </w14:solidFill>
                </w14:textFill>
              </w:rPr>
              <w:t>1</w:t>
            </w:r>
            <w:r>
              <w:rPr>
                <w:b/>
                <w:color w:val="000000" w:themeColor="text1"/>
                <w:szCs w:val="21"/>
                <w14:textFill>
                  <w14:solidFill>
                    <w14:schemeClr w14:val="tx1"/>
                  </w14:solidFill>
                </w14:textFill>
              </w:rPr>
              <w:t xml:space="preserve"> 项目物料存储情况</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706"/>
              <w:gridCol w:w="1706"/>
              <w:gridCol w:w="2207"/>
              <w:gridCol w:w="1384"/>
            </w:tblGrid>
            <w:tr w14:paraId="73B7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5827F4F2">
                  <w:pPr>
                    <w:jc w:val="center"/>
                    <w:rPr>
                      <w:b/>
                      <w:bCs/>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危险物质</w:t>
                  </w:r>
                </w:p>
              </w:tc>
              <w:tc>
                <w:tcPr>
                  <w:tcW w:w="977" w:type="pct"/>
                  <w:vAlign w:val="center"/>
                </w:tcPr>
                <w:p w14:paraId="6CAF26E0">
                  <w:pPr>
                    <w:jc w:val="center"/>
                    <w:rPr>
                      <w:b/>
                      <w:bCs/>
                      <w:color w:val="000000" w:themeColor="text1"/>
                      <w:kern w:val="1"/>
                      <w:szCs w:val="21"/>
                      <w14:textFill>
                        <w14:solidFill>
                          <w14:schemeClr w14:val="tx1"/>
                        </w14:solidFill>
                      </w14:textFill>
                    </w:rPr>
                  </w:pPr>
                  <w:r>
                    <w:rPr>
                      <w:rFonts w:hint="eastAsia"/>
                      <w:b/>
                      <w:bCs/>
                      <w:color w:val="000000" w:themeColor="text1"/>
                      <w:kern w:val="1"/>
                      <w:szCs w:val="21"/>
                      <w14:textFill>
                        <w14:solidFill>
                          <w14:schemeClr w14:val="tx1"/>
                        </w14:solidFill>
                      </w14:textFill>
                    </w:rPr>
                    <w:t>CAS号</w:t>
                  </w:r>
                </w:p>
              </w:tc>
              <w:tc>
                <w:tcPr>
                  <w:tcW w:w="977" w:type="pct"/>
                  <w:vAlign w:val="center"/>
                </w:tcPr>
                <w:p w14:paraId="0E89D0BF">
                  <w:pPr>
                    <w:jc w:val="center"/>
                    <w:rPr>
                      <w:b/>
                      <w:bCs/>
                      <w:color w:val="000000" w:themeColor="text1"/>
                      <w:kern w:val="1"/>
                      <w:szCs w:val="21"/>
                      <w14:textFill>
                        <w14:solidFill>
                          <w14:schemeClr w14:val="tx1"/>
                        </w14:solidFill>
                      </w14:textFill>
                    </w:rPr>
                  </w:pPr>
                  <w:r>
                    <w:rPr>
                      <w:rFonts w:hint="eastAsia"/>
                      <w:b/>
                      <w:bCs/>
                      <w:color w:val="000000" w:themeColor="text1"/>
                      <w14:textFill>
                        <w14:solidFill>
                          <w14:schemeClr w14:val="tx1"/>
                        </w14:solidFill>
                      </w14:textFill>
                    </w:rPr>
                    <w:t>临界量Qn/t</w:t>
                  </w:r>
                </w:p>
              </w:tc>
              <w:tc>
                <w:tcPr>
                  <w:tcW w:w="1264" w:type="pct"/>
                  <w:vAlign w:val="center"/>
                </w:tcPr>
                <w:p w14:paraId="23B1D5E8">
                  <w:pPr>
                    <w:jc w:val="center"/>
                    <w:rPr>
                      <w:b/>
                      <w:bCs/>
                      <w:color w:val="000000" w:themeColor="text1"/>
                      <w:kern w:val="1"/>
                      <w:szCs w:val="21"/>
                      <w14:textFill>
                        <w14:solidFill>
                          <w14:schemeClr w14:val="tx1"/>
                        </w14:solidFill>
                      </w14:textFill>
                    </w:rPr>
                  </w:pPr>
                  <w:r>
                    <w:rPr>
                      <w:rFonts w:hint="eastAsia"/>
                      <w:b/>
                      <w:bCs/>
                      <w:color w:val="000000" w:themeColor="text1"/>
                      <w:kern w:val="1"/>
                      <w:szCs w:val="21"/>
                      <w14:textFill>
                        <w14:solidFill>
                          <w14:schemeClr w14:val="tx1"/>
                        </w14:solidFill>
                      </w14:textFill>
                    </w:rPr>
                    <w:t>最大存在量qn/t</w:t>
                  </w:r>
                </w:p>
              </w:tc>
              <w:tc>
                <w:tcPr>
                  <w:tcW w:w="792" w:type="pct"/>
                  <w:vAlign w:val="center"/>
                </w:tcPr>
                <w:p w14:paraId="6C07DCB8">
                  <w:pPr>
                    <w:jc w:val="center"/>
                    <w:rPr>
                      <w:color w:val="000000" w:themeColor="text1"/>
                      <w:kern w:val="1"/>
                      <w:szCs w:val="21"/>
                      <w14:textFill>
                        <w14:solidFill>
                          <w14:schemeClr w14:val="tx1"/>
                        </w14:solidFill>
                      </w14:textFill>
                    </w:rPr>
                  </w:pPr>
                  <w:r>
                    <w:rPr>
                      <w:b/>
                      <w:bCs/>
                      <w:color w:val="000000" w:themeColor="text1"/>
                      <w:kern w:val="1"/>
                      <w:szCs w:val="21"/>
                      <w14:textFill>
                        <w14:solidFill>
                          <w14:schemeClr w14:val="tx1"/>
                        </w14:solidFill>
                      </w14:textFill>
                    </w:rPr>
                    <w:t>q/Q</w:t>
                  </w:r>
                </w:p>
              </w:tc>
            </w:tr>
            <w:tr w14:paraId="798A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698F3F01">
                  <w:pPr>
                    <w:jc w:val="center"/>
                    <w:rPr>
                      <w:b/>
                      <w:bCs/>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废矿物油</w:t>
                  </w:r>
                </w:p>
              </w:tc>
              <w:tc>
                <w:tcPr>
                  <w:tcW w:w="977" w:type="pct"/>
                  <w:vAlign w:val="center"/>
                </w:tcPr>
                <w:p w14:paraId="2DF6C4FA">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w:t>
                  </w:r>
                </w:p>
              </w:tc>
              <w:tc>
                <w:tcPr>
                  <w:tcW w:w="977" w:type="pct"/>
                  <w:vAlign w:val="center"/>
                </w:tcPr>
                <w:p w14:paraId="25AC28D3">
                  <w:pPr>
                    <w:jc w:val="center"/>
                    <w:rPr>
                      <w:b/>
                      <w:bCs/>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2500</w:t>
                  </w:r>
                </w:p>
              </w:tc>
              <w:tc>
                <w:tcPr>
                  <w:tcW w:w="1264" w:type="pct"/>
                  <w:vAlign w:val="center"/>
                </w:tcPr>
                <w:p w14:paraId="12FB0DD7">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0.06</w:t>
                  </w:r>
                </w:p>
              </w:tc>
              <w:tc>
                <w:tcPr>
                  <w:tcW w:w="792" w:type="pct"/>
                  <w:vAlign w:val="center"/>
                </w:tcPr>
                <w:p w14:paraId="4336517C">
                  <w:pPr>
                    <w:jc w:val="center"/>
                    <w:rPr>
                      <w:color w:val="000000" w:themeColor="text1"/>
                      <w:kern w:val="1"/>
                      <w:szCs w:val="21"/>
                      <w14:textFill>
                        <w14:solidFill>
                          <w14:schemeClr w14:val="tx1"/>
                        </w14:solidFill>
                      </w14:textFill>
                    </w:rPr>
                  </w:pPr>
                  <w:r>
                    <w:rPr>
                      <w:color w:val="000000" w:themeColor="text1"/>
                      <w:szCs w:val="21"/>
                      <w14:textFill>
                        <w14:solidFill>
                          <w14:schemeClr w14:val="tx1"/>
                        </w14:solidFill>
                      </w14:textFill>
                    </w:rPr>
                    <w:t>0.0000</w:t>
                  </w:r>
                  <w:r>
                    <w:rPr>
                      <w:rFonts w:hint="eastAsia"/>
                      <w:color w:val="000000" w:themeColor="text1"/>
                      <w:szCs w:val="21"/>
                      <w14:textFill>
                        <w14:solidFill>
                          <w14:schemeClr w14:val="tx1"/>
                        </w14:solidFill>
                      </w14:textFill>
                    </w:rPr>
                    <w:t>24</w:t>
                  </w:r>
                </w:p>
              </w:tc>
            </w:tr>
            <w:tr w14:paraId="48F0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1EEAC5D4">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CH</w:t>
                  </w:r>
                  <w:r>
                    <w:rPr>
                      <w:rFonts w:hint="eastAsia"/>
                      <w:color w:val="000000" w:themeColor="text1"/>
                      <w:kern w:val="1"/>
                      <w:szCs w:val="21"/>
                      <w:vertAlign w:val="subscript"/>
                      <w14:textFill>
                        <w14:solidFill>
                          <w14:schemeClr w14:val="tx1"/>
                        </w14:solidFill>
                      </w14:textFill>
                    </w:rPr>
                    <w:t>4</w:t>
                  </w:r>
                </w:p>
              </w:tc>
              <w:tc>
                <w:tcPr>
                  <w:tcW w:w="977" w:type="pct"/>
                  <w:vAlign w:val="center"/>
                </w:tcPr>
                <w:p w14:paraId="13B88ABC">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74-82-8</w:t>
                  </w:r>
                </w:p>
              </w:tc>
              <w:tc>
                <w:tcPr>
                  <w:tcW w:w="977" w:type="pct"/>
                  <w:vAlign w:val="center"/>
                </w:tcPr>
                <w:p w14:paraId="780DD80B">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264" w:type="pct"/>
                  <w:vAlign w:val="center"/>
                </w:tcPr>
                <w:p w14:paraId="4B763C1D">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0.0098</w:t>
                  </w:r>
                </w:p>
                <w:p w14:paraId="58AD0DE0">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1493E4E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0.00098</w:t>
                  </w:r>
                </w:p>
              </w:tc>
            </w:tr>
            <w:tr w14:paraId="04BA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0F8A4C73">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H</w:t>
                  </w:r>
                  <w:r>
                    <w:rPr>
                      <w:rFonts w:hint="eastAsia"/>
                      <w:color w:val="000000" w:themeColor="text1"/>
                      <w:kern w:val="1"/>
                      <w:sz w:val="24"/>
                      <w:vertAlign w:val="subscript"/>
                      <w14:textFill>
                        <w14:solidFill>
                          <w14:schemeClr w14:val="tx1"/>
                        </w14:solidFill>
                      </w14:textFill>
                    </w:rPr>
                    <w:t>2</w:t>
                  </w:r>
                  <w:r>
                    <w:rPr>
                      <w:rFonts w:hint="eastAsia"/>
                      <w:color w:val="000000" w:themeColor="text1"/>
                      <w:kern w:val="1"/>
                      <w:sz w:val="24"/>
                      <w14:textFill>
                        <w14:solidFill>
                          <w14:schemeClr w14:val="tx1"/>
                        </w14:solidFill>
                      </w14:textFill>
                    </w:rPr>
                    <w:t>S</w:t>
                  </w:r>
                </w:p>
              </w:tc>
              <w:tc>
                <w:tcPr>
                  <w:tcW w:w="977" w:type="pct"/>
                  <w:vAlign w:val="center"/>
                </w:tcPr>
                <w:p w14:paraId="78D27E38">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7446-09-5</w:t>
                  </w:r>
                </w:p>
              </w:tc>
              <w:tc>
                <w:tcPr>
                  <w:tcW w:w="977" w:type="pct"/>
                  <w:vAlign w:val="center"/>
                </w:tcPr>
                <w:p w14:paraId="1F2BE2F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2.5</w:t>
                  </w:r>
                </w:p>
              </w:tc>
              <w:tc>
                <w:tcPr>
                  <w:tcW w:w="1264" w:type="pct"/>
                  <w:vAlign w:val="center"/>
                </w:tcPr>
                <w:p w14:paraId="2430C64C">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0.00005</w:t>
                  </w:r>
                </w:p>
                <w:p w14:paraId="6FDDB553">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13F500C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w:t>
                  </w:r>
                </w:p>
              </w:tc>
            </w:tr>
            <w:tr w14:paraId="38E5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0F5A1F8B">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NH</w:t>
                  </w:r>
                  <w:r>
                    <w:rPr>
                      <w:rFonts w:hint="eastAsia"/>
                      <w:color w:val="000000" w:themeColor="text1"/>
                      <w:kern w:val="1"/>
                      <w:sz w:val="24"/>
                      <w:vertAlign w:val="subscript"/>
                      <w14:textFill>
                        <w14:solidFill>
                          <w14:schemeClr w14:val="tx1"/>
                        </w14:solidFill>
                      </w14:textFill>
                    </w:rPr>
                    <w:t>3</w:t>
                  </w:r>
                </w:p>
              </w:tc>
              <w:tc>
                <w:tcPr>
                  <w:tcW w:w="977" w:type="pct"/>
                  <w:vAlign w:val="center"/>
                </w:tcPr>
                <w:p w14:paraId="2DCAC0EA">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10102-44-0</w:t>
                  </w:r>
                </w:p>
              </w:tc>
              <w:tc>
                <w:tcPr>
                  <w:tcW w:w="977" w:type="pct"/>
                  <w:vAlign w:val="center"/>
                </w:tcPr>
                <w:p w14:paraId="2BA530FB">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1</w:t>
                  </w:r>
                </w:p>
              </w:tc>
              <w:tc>
                <w:tcPr>
                  <w:tcW w:w="1264" w:type="pct"/>
                  <w:vAlign w:val="center"/>
                </w:tcPr>
                <w:p w14:paraId="75D672D6">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0.0011</w:t>
                  </w:r>
                </w:p>
                <w:p w14:paraId="6DAC382E">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25B8F55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0.0011</w:t>
                  </w:r>
                </w:p>
              </w:tc>
            </w:tr>
            <w:tr w14:paraId="1DF7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25B762FC">
                  <w:pPr>
                    <w:jc w:val="center"/>
                    <w:rPr>
                      <w:color w:val="000000" w:themeColor="text1"/>
                      <w:kern w:val="1"/>
                      <w:szCs w:val="21"/>
                      <w14:textFill>
                        <w14:solidFill>
                          <w14:schemeClr w14:val="tx1"/>
                        </w14:solidFill>
                      </w14:textFill>
                    </w:rPr>
                  </w:pPr>
                  <w:r>
                    <w:rPr>
                      <w:rFonts w:hint="eastAsia"/>
                      <w:color w:val="000000" w:themeColor="text1"/>
                      <w:kern w:val="1"/>
                      <w:sz w:val="24"/>
                      <w14:textFill>
                        <w14:solidFill>
                          <w14:schemeClr w14:val="tx1"/>
                        </w14:solidFill>
                      </w14:textFill>
                    </w:rPr>
                    <w:t>NO</w:t>
                  </w:r>
                  <w:r>
                    <w:rPr>
                      <w:rFonts w:hint="eastAsia"/>
                      <w:color w:val="000000" w:themeColor="text1"/>
                      <w:kern w:val="1"/>
                      <w:sz w:val="24"/>
                      <w:vertAlign w:val="subscript"/>
                      <w14:textFill>
                        <w14:solidFill>
                          <w14:schemeClr w14:val="tx1"/>
                        </w14:solidFill>
                      </w14:textFill>
                    </w:rPr>
                    <w:t>2</w:t>
                  </w:r>
                </w:p>
              </w:tc>
              <w:tc>
                <w:tcPr>
                  <w:tcW w:w="977" w:type="pct"/>
                  <w:vAlign w:val="center"/>
                </w:tcPr>
                <w:p w14:paraId="44BE0BA6">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7664-41-7</w:t>
                  </w:r>
                </w:p>
              </w:tc>
              <w:tc>
                <w:tcPr>
                  <w:tcW w:w="977" w:type="pct"/>
                  <w:vAlign w:val="center"/>
                </w:tcPr>
                <w:p w14:paraId="60DAC57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5</w:t>
                  </w:r>
                </w:p>
              </w:tc>
              <w:tc>
                <w:tcPr>
                  <w:tcW w:w="1264" w:type="pct"/>
                  <w:vAlign w:val="center"/>
                </w:tcPr>
                <w:p w14:paraId="17B75F6B">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0.00012</w:t>
                  </w:r>
                </w:p>
                <w:p w14:paraId="352B3E72">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（按1h排放量计）</w:t>
                  </w:r>
                </w:p>
              </w:tc>
              <w:tc>
                <w:tcPr>
                  <w:tcW w:w="792" w:type="pct"/>
                  <w:vAlign w:val="center"/>
                </w:tcPr>
                <w:p w14:paraId="1B36144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0.000024</w:t>
                  </w:r>
                </w:p>
              </w:tc>
            </w:tr>
            <w:tr w14:paraId="6178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6A58D42F">
                  <w:pPr>
                    <w:jc w:val="center"/>
                    <w:rPr>
                      <w:color w:val="000000" w:themeColor="text1"/>
                      <w:kern w:val="1"/>
                      <w:sz w:val="24"/>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977" w:type="pct"/>
                  <w:vAlign w:val="center"/>
                </w:tcPr>
                <w:p w14:paraId="282894F5">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7783-06-4</w:t>
                  </w:r>
                </w:p>
              </w:tc>
              <w:tc>
                <w:tcPr>
                  <w:tcW w:w="977" w:type="pct"/>
                  <w:vAlign w:val="center"/>
                </w:tcPr>
                <w:p w14:paraId="74AF27F4">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2.5</w:t>
                  </w:r>
                </w:p>
              </w:tc>
              <w:tc>
                <w:tcPr>
                  <w:tcW w:w="1264" w:type="pct"/>
                  <w:vAlign w:val="center"/>
                </w:tcPr>
                <w:p w14:paraId="6774095E">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0.00027</w:t>
                  </w:r>
                </w:p>
                <w:p w14:paraId="7833445E">
                  <w:pPr>
                    <w:jc w:val="center"/>
                    <w:rPr>
                      <w:color w:val="000000" w:themeColor="text1"/>
                      <w:kern w:val="1"/>
                      <w:szCs w:val="21"/>
                      <w14:textFill>
                        <w14:solidFill>
                          <w14:schemeClr w14:val="tx1"/>
                        </w14:solidFill>
                      </w14:textFill>
                    </w:rPr>
                  </w:pPr>
                  <w:r>
                    <w:rPr>
                      <w:color w:val="000000" w:themeColor="text1"/>
                      <w:kern w:val="1"/>
                      <w:szCs w:val="21"/>
                      <w14:textFill>
                        <w14:solidFill>
                          <w14:schemeClr w14:val="tx1"/>
                        </w14:solidFill>
                      </w14:textFill>
                    </w:rPr>
                    <w:t>（按1h</w:t>
                  </w:r>
                  <w:r>
                    <w:rPr>
                      <w:rFonts w:hint="eastAsia"/>
                      <w:color w:val="000000" w:themeColor="text1"/>
                      <w:kern w:val="1"/>
                      <w:szCs w:val="21"/>
                      <w14:textFill>
                        <w14:solidFill>
                          <w14:schemeClr w14:val="tx1"/>
                        </w14:solidFill>
                      </w14:textFill>
                    </w:rPr>
                    <w:t>排放</w:t>
                  </w:r>
                  <w:r>
                    <w:rPr>
                      <w:color w:val="000000" w:themeColor="text1"/>
                      <w:kern w:val="1"/>
                      <w:szCs w:val="21"/>
                      <w14:textFill>
                        <w14:solidFill>
                          <w14:schemeClr w14:val="tx1"/>
                        </w14:solidFill>
                      </w14:textFill>
                    </w:rPr>
                    <w:t>量计）</w:t>
                  </w:r>
                </w:p>
              </w:tc>
              <w:tc>
                <w:tcPr>
                  <w:tcW w:w="792" w:type="pct"/>
                  <w:vAlign w:val="center"/>
                </w:tcPr>
                <w:p w14:paraId="4E0093C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0.000108</w:t>
                  </w:r>
                </w:p>
              </w:tc>
            </w:tr>
            <w:tr w14:paraId="36F1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5BFBD53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冰醋酸</w:t>
                  </w:r>
                </w:p>
              </w:tc>
              <w:tc>
                <w:tcPr>
                  <w:tcW w:w="977" w:type="pct"/>
                  <w:vAlign w:val="center"/>
                </w:tcPr>
                <w:p w14:paraId="7FDFE90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64-19-7</w:t>
                  </w:r>
                </w:p>
              </w:tc>
              <w:tc>
                <w:tcPr>
                  <w:tcW w:w="977" w:type="pct"/>
                  <w:vAlign w:val="center"/>
                </w:tcPr>
                <w:p w14:paraId="051DF1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264" w:type="pct"/>
                  <w:vAlign w:val="center"/>
                </w:tcPr>
                <w:p w14:paraId="48F6C259">
                  <w:pPr>
                    <w:jc w:val="center"/>
                    <w:rPr>
                      <w:color w:val="000000" w:themeColor="text1"/>
                      <w:kern w:val="1"/>
                      <w:szCs w:val="21"/>
                      <w14:textFill>
                        <w14:solidFill>
                          <w14:schemeClr w14:val="tx1"/>
                        </w14:solidFill>
                      </w14:textFill>
                    </w:rPr>
                  </w:pPr>
                  <w:r>
                    <w:rPr>
                      <w:rFonts w:hint="eastAsia"/>
                      <w:color w:val="000000" w:themeColor="text1"/>
                      <w:kern w:val="1"/>
                      <w:szCs w:val="21"/>
                      <w14:textFill>
                        <w14:solidFill>
                          <w14:schemeClr w14:val="tx1"/>
                        </w14:solidFill>
                      </w14:textFill>
                    </w:rPr>
                    <w:t>2.5</w:t>
                  </w:r>
                </w:p>
              </w:tc>
              <w:tc>
                <w:tcPr>
                  <w:tcW w:w="792" w:type="pct"/>
                  <w:vAlign w:val="center"/>
                </w:tcPr>
                <w:p w14:paraId="20552C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w:t>
                  </w:r>
                </w:p>
              </w:tc>
            </w:tr>
            <w:tr w14:paraId="07F8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pct"/>
                  <w:vAlign w:val="center"/>
                </w:tcPr>
                <w:p w14:paraId="1C3581E5">
                  <w:pPr>
                    <w:jc w:val="center"/>
                    <w:rPr>
                      <w:color w:val="000000" w:themeColor="text1"/>
                      <w:kern w:val="1"/>
                      <w:szCs w:val="21"/>
                      <w14:textFill>
                        <w14:solidFill>
                          <w14:schemeClr w14:val="tx1"/>
                        </w14:solidFill>
                      </w14:textFill>
                    </w:rPr>
                  </w:pPr>
                </w:p>
              </w:tc>
              <w:tc>
                <w:tcPr>
                  <w:tcW w:w="3218" w:type="pct"/>
                  <w:gridSpan w:val="3"/>
                  <w:vAlign w:val="center"/>
                </w:tcPr>
                <w:p w14:paraId="1077C133">
                  <w:pPr>
                    <w:jc w:val="center"/>
                    <w:rPr>
                      <w:color w:val="000000" w:themeColor="text1"/>
                      <w:kern w:val="1"/>
                      <w:szCs w:val="21"/>
                      <w14:textFill>
                        <w14:solidFill>
                          <w14:schemeClr w14:val="tx1"/>
                        </w14:solidFill>
                      </w14:textFill>
                    </w:rPr>
                  </w:pPr>
                  <w:r>
                    <w:rPr>
                      <w:rFonts w:hint="eastAsia"/>
                      <w:color w:val="000000" w:themeColor="text1"/>
                      <w14:textFill>
                        <w14:solidFill>
                          <w14:schemeClr w14:val="tx1"/>
                        </w14:solidFill>
                      </w14:textFill>
                    </w:rPr>
                    <w:t>项目Q值Σ</w:t>
                  </w:r>
                </w:p>
              </w:tc>
              <w:tc>
                <w:tcPr>
                  <w:tcW w:w="792" w:type="pct"/>
                  <w:vAlign w:val="center"/>
                </w:tcPr>
                <w:p w14:paraId="057743E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0.252</w:t>
                  </w:r>
                </w:p>
              </w:tc>
            </w:tr>
          </w:tbl>
          <w:p w14:paraId="072430C3">
            <w:pPr>
              <w:spacing w:line="360" w:lineRule="auto"/>
              <w:ind w:firstLine="480" w:firstLineChars="200"/>
              <w:rPr>
                <w:color w:val="000000" w:themeColor="text1"/>
                <w:kern w:val="1"/>
                <w:sz w:val="24"/>
                <w14:textFill>
                  <w14:solidFill>
                    <w14:schemeClr w14:val="tx1"/>
                  </w14:solidFill>
                </w14:textFill>
              </w:rPr>
            </w:pPr>
            <w:r>
              <w:rPr>
                <w:rFonts w:hint="eastAsia"/>
                <w:color w:val="000000" w:themeColor="text1"/>
                <w:kern w:val="1"/>
                <w:sz w:val="24"/>
                <w14:textFill>
                  <w14:solidFill>
                    <w14:schemeClr w14:val="tx1"/>
                  </w14:solidFill>
                </w14:textFill>
              </w:rPr>
              <w:t>根据以上分析，项目Q=0.252＜1，故环境风险潜势为Ⅰ，环境风险评价等级为简单分析。对照《建设项目环境影响报告表编制技术指南（污染影响类）（试行），本项目风险物质存储量均未超过临界量，所以不设置专项评价。</w:t>
            </w:r>
          </w:p>
          <w:p w14:paraId="68EE2830">
            <w:pPr>
              <w:spacing w:line="360" w:lineRule="auto"/>
              <w:ind w:left="420" w:leftChars="200" w:firstLine="241" w:firstLineChars="1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7.2、风险分析</w:t>
            </w:r>
          </w:p>
          <w:p w14:paraId="2C774ECC">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运营阶段潜在的环境风险主要源于危险废物贮存、生产区原辅材料泄漏及防渗系统失效等环节。风险物质包括危险废物贮存间内的废溶剂、废化学品包装容器，生产区使用的有机溶剂、酸碱类原辅材料等。可能发生的风险事故类型为：危险废物贮存间防渗层破损导致渗滤液渗入地下水；生产区管道、储罐破裂或密封不严引发原辅材料泄漏，污染土壤及地下水；实验室试剂泄漏造成局部土壤或水体污染等。</w:t>
            </w:r>
          </w:p>
          <w:p w14:paraId="79A786D3">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上述风险事故若发生，可能导致区域地下水水质恶化，影响周边地下水环境功能；泄漏的原辅材料若进入地表水体，将破坏水体生态系统平衡；危险废物泄漏还可能引发土壤重金属或有机污染物累积，损害土壤肥力及结构。经定性分析，项目风险事故发生概率较低，但一旦发生且处置不及时，将对环境造成一定程度的不利影响。</w:t>
            </w:r>
          </w:p>
          <w:p w14:paraId="53016D4D">
            <w:pPr>
              <w:spacing w:line="360" w:lineRule="auto"/>
              <w:ind w:left="420" w:left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7.3、 风险防范与应急措施</w:t>
            </w:r>
          </w:p>
          <w:p w14:paraId="6BC3556B">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（1）风险防范措施：</w:t>
            </w:r>
          </w:p>
          <w:p w14:paraId="122577A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 危险废物贮存间每季度开展一次防渗层完整性检测，发现破损立即停工修复；</w:t>
            </w:r>
          </w:p>
          <w:p w14:paraId="40148108">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 生产区安装泄漏检测报警装置，对管道、储罐区域实时监控；</w:t>
            </w:r>
          </w:p>
          <w:p w14:paraId="38230785">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③ 实验室试剂采用防泄漏托盘分类存放，建立严格的领用台账；</w:t>
            </w:r>
          </w:p>
          <w:p w14:paraId="3A1D0934">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 定期组织员工开展风险防范培训，明确岗位操作规范。</w:t>
            </w:r>
          </w:p>
          <w:p w14:paraId="43A9BBA6">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⑤冰醋酸贮区要求：贮区应采用耐腐蚀、密封性良好的储存容器，设置独立的强制通风系统，保持空气流通以降低挥发乙酸气体的聚集风险。贮区需与碱类、强氧化剂、活泼金属等禁忌物分区存放，间距符合危险化学品安全储存间距规范；</w:t>
            </w:r>
          </w:p>
          <w:p w14:paraId="45B62D70">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⑥合理安排生产，尽可能减少冰醋酸贮存量；</w:t>
            </w:r>
          </w:p>
          <w:p w14:paraId="396B9DE9">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⑦严格实施禁火管理，严禁吸烟、动火，设置严禁烟火警示标志。按照消防要求需配备消防器材，设置在明显和便于取用的地点；</w:t>
            </w:r>
          </w:p>
          <w:p w14:paraId="6A469DCD">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⑧加强员工安全培训教育，掌握冰醋酸理化特性，提高禁火意识，定期对员工开展安全考核。</w:t>
            </w:r>
          </w:p>
          <w:p w14:paraId="0B11803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⑨为保证企业及人民生命财产的安全，防止突发性环境事件发生，并在发生事故时，能迅速有序地开展救援工作，尽最大努力减少事故的危害和损失。根据环境风险物质的变化，重新编制全厂的综合应急预案。确保应急预案与当前风险物质的种类、数量及潜在环境风险特征相适配。</w:t>
            </w:r>
          </w:p>
          <w:p w14:paraId="78A3186A">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（2）应急措施：</w:t>
            </w:r>
          </w:p>
          <w:p w14:paraId="55B6949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 发生泄漏时，立即启动应急预案，切断泄漏源，用吸油毡、沙袋围堵收集污染物；</w:t>
            </w:r>
          </w:p>
          <w:p w14:paraId="3AEF429E">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 对泄漏区域土壤及地下水进行应急监测，根据结果采取土壤置换、地下水抽出处理等治理措施；</w:t>
            </w:r>
          </w:p>
          <w:p w14:paraId="1CE07302">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③ 若泄漏物进入水体，及时通报当地环保部门，并投加中和剂或吸附剂控制污染扩散；</w:t>
            </w:r>
          </w:p>
          <w:p w14:paraId="50C36C27">
            <w:pPr>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④ 每年至少组织一次应急演练，提升应急处置能力。</w:t>
            </w:r>
          </w:p>
          <w:p w14:paraId="7B328EFD">
            <w:pPr>
              <w:spacing w:line="346" w:lineRule="auto"/>
              <w:ind w:firstLine="482" w:firstLineChars="200"/>
              <w:outlineLvl w:val="2"/>
              <w:rPr>
                <w:b/>
                <w:color w:val="000000" w:themeColor="text1"/>
                <w:sz w:val="24"/>
                <w14:textFill>
                  <w14:solidFill>
                    <w14:schemeClr w14:val="tx1"/>
                  </w14:solidFill>
                </w14:textFill>
              </w:rPr>
            </w:pPr>
            <w:r>
              <w:rPr>
                <w:rFonts w:hint="eastAsia"/>
                <w:b/>
                <w:color w:val="000000" w:themeColor="text1"/>
                <w:kern w:val="1"/>
                <w:sz w:val="24"/>
                <w14:textFill>
                  <w14:solidFill>
                    <w14:schemeClr w14:val="tx1"/>
                  </w14:solidFill>
                </w14:textFill>
              </w:rPr>
              <w:t>7.4、</w:t>
            </w:r>
            <w:r>
              <w:rPr>
                <w:b/>
                <w:color w:val="000000" w:themeColor="text1"/>
                <w:sz w:val="24"/>
                <w14:textFill>
                  <w14:solidFill>
                    <w14:schemeClr w14:val="tx1"/>
                  </w14:solidFill>
                </w14:textFill>
              </w:rPr>
              <w:t>分析结论</w:t>
            </w:r>
          </w:p>
          <w:p w14:paraId="5AC1A747">
            <w:pPr>
              <w:spacing w:line="360" w:lineRule="auto"/>
              <w:ind w:firstLine="480" w:firstLineChars="200"/>
              <w:rPr>
                <w:bCs/>
                <w:color w:val="000000" w:themeColor="text1"/>
                <w:kern w:val="0"/>
                <w:sz w:val="24"/>
                <w14:textFill>
                  <w14:solidFill>
                    <w14:schemeClr w14:val="tx1"/>
                  </w14:solidFill>
                </w14:textFill>
              </w:rPr>
            </w:pPr>
            <w:r>
              <w:rPr>
                <w:color w:val="000000" w:themeColor="text1"/>
                <w:sz w:val="24"/>
                <w14:textFill>
                  <w14:solidFill>
                    <w14:schemeClr w14:val="tx1"/>
                  </w14:solidFill>
                </w14:textFill>
              </w:rPr>
              <w:t>项目运行过程中存在着泄漏、火灾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爆炸风险，在平时必须严格按照有关规范标准的要求对</w:t>
            </w:r>
            <w:r>
              <w:rPr>
                <w:rFonts w:hint="eastAsia"/>
                <w:color w:val="000000" w:themeColor="text1"/>
                <w:sz w:val="24"/>
                <w14:textFill>
                  <w14:solidFill>
                    <w14:schemeClr w14:val="tx1"/>
                  </w14:solidFill>
                </w14:textFill>
              </w:rPr>
              <w:t>废气处理装置、废水处理设施、</w:t>
            </w:r>
            <w:r>
              <w:rPr>
                <w:rFonts w:hint="eastAsia"/>
                <w:color w:val="000000" w:themeColor="text1"/>
                <w:kern w:val="0"/>
                <w:sz w:val="24"/>
                <w:lang w:bidi="ar"/>
                <w14:textFill>
                  <w14:solidFill>
                    <w14:schemeClr w14:val="tx1"/>
                  </w14:solidFill>
                </w14:textFill>
              </w:rPr>
              <w:t>危险废物贮存库</w:t>
            </w:r>
            <w:r>
              <w:rPr>
                <w:color w:val="000000" w:themeColor="text1"/>
                <w:sz w:val="24"/>
                <w14:textFill>
                  <w14:solidFill>
                    <w14:schemeClr w14:val="tx1"/>
                  </w14:solidFill>
                </w14:textFill>
              </w:rPr>
              <w:t>进行监控和管理；</w:t>
            </w:r>
            <w:r>
              <w:rPr>
                <w:rFonts w:hint="eastAsia"/>
                <w:color w:val="000000" w:themeColor="text1"/>
                <w:sz w:val="24"/>
                <w14:textFill>
                  <w14:solidFill>
                    <w14:schemeClr w14:val="tx1"/>
                  </w14:solidFill>
                </w14:textFill>
              </w:rPr>
              <w:t>按要求做好分区防渗，建设事故池，</w:t>
            </w:r>
            <w:r>
              <w:rPr>
                <w:color w:val="000000" w:themeColor="text1"/>
                <w:sz w:val="24"/>
                <w14:textFill>
                  <w14:solidFill>
                    <w14:schemeClr w14:val="tx1"/>
                  </w14:solidFill>
                </w14:textFill>
              </w:rPr>
              <w:t>编制环境风险应急预案。在认真落实</w:t>
            </w:r>
            <w:r>
              <w:rPr>
                <w:rFonts w:hint="eastAsia"/>
                <w:color w:val="000000" w:themeColor="text1"/>
                <w:sz w:val="24"/>
                <w14:textFill>
                  <w14:solidFill>
                    <w14:schemeClr w14:val="tx1"/>
                  </w14:solidFill>
                </w14:textFill>
              </w:rPr>
              <w:t>风险防范</w:t>
            </w:r>
            <w:r>
              <w:rPr>
                <w:color w:val="000000" w:themeColor="text1"/>
                <w:sz w:val="24"/>
                <w14:textFill>
                  <w14:solidFill>
                    <w14:schemeClr w14:val="tx1"/>
                  </w14:solidFill>
                </w14:textFill>
              </w:rPr>
              <w:t>措施后，项目的环境风险影响是可以接受的。</w:t>
            </w:r>
          </w:p>
        </w:tc>
      </w:tr>
    </w:tbl>
    <w:p w14:paraId="32088A9F">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bookmarkStart w:id="56" w:name="_Toc20824"/>
      <w:bookmarkStart w:id="57" w:name="_Toc16452"/>
      <w:r>
        <w:rPr>
          <w:rFonts w:hint="eastAsia"/>
          <w:color w:val="000000" w:themeColor="text1"/>
          <w:kern w:val="0"/>
          <w14:textFill>
            <w14:solidFill>
              <w14:schemeClr w14:val="tx1"/>
            </w14:solidFill>
          </w14:textFill>
        </w:rPr>
        <w:br w:type="page"/>
      </w:r>
      <w:bookmarkStart w:id="58" w:name="_Toc10227"/>
      <w:bookmarkStart w:id="59" w:name="_Toc16505"/>
      <w:r>
        <w:rPr>
          <w:rFonts w:hint="eastAsia" w:ascii="黑体" w:hAnsi="黑体" w:eastAsia="黑体"/>
          <w:color w:val="000000" w:themeColor="text1"/>
          <w:kern w:val="0"/>
          <w:sz w:val="30"/>
          <w:szCs w:val="30"/>
          <w14:textFill>
            <w14:solidFill>
              <w14:schemeClr w14:val="tx1"/>
            </w14:solidFill>
          </w14:textFill>
        </w:rPr>
        <w:t>五、</w:t>
      </w:r>
      <w:bookmarkStart w:id="60" w:name="_Hlk54167917"/>
      <w:r>
        <w:rPr>
          <w:rFonts w:hint="eastAsia" w:ascii="黑体" w:hAnsi="黑体" w:eastAsia="黑体"/>
          <w:color w:val="000000" w:themeColor="text1"/>
          <w:kern w:val="0"/>
          <w:sz w:val="30"/>
          <w:szCs w:val="30"/>
          <w14:textFill>
            <w14:solidFill>
              <w14:schemeClr w14:val="tx1"/>
            </w14:solidFill>
          </w14:textFill>
        </w:rPr>
        <w:t>环境保护措施监督检查清单</w:t>
      </w:r>
      <w:bookmarkEnd w:id="56"/>
      <w:bookmarkEnd w:id="57"/>
      <w:bookmarkEnd w:id="58"/>
      <w:bookmarkEnd w:id="59"/>
      <w:bookmarkEnd w:id="60"/>
    </w:p>
    <w:tbl>
      <w:tblPr>
        <w:tblStyle w:val="23"/>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39"/>
        <w:gridCol w:w="1192"/>
        <w:gridCol w:w="3301"/>
        <w:gridCol w:w="2381"/>
      </w:tblGrid>
      <w:tr w14:paraId="55F61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Borders>
              <w:tl2br w:val="single" w:color="auto" w:sz="4" w:space="0"/>
            </w:tcBorders>
            <w:vAlign w:val="center"/>
          </w:tcPr>
          <w:p w14:paraId="12FBB7D3">
            <w:pPr>
              <w:adjustRightInd w:val="0"/>
              <w:snapToGrid w:val="0"/>
              <w:ind w:firstLine="211" w:firstLineChars="1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14:paraId="08D91AEA">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539" w:type="dxa"/>
            <w:vAlign w:val="center"/>
          </w:tcPr>
          <w:p w14:paraId="2A85434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编号、名称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/污染源</w:t>
            </w:r>
          </w:p>
        </w:tc>
        <w:tc>
          <w:tcPr>
            <w:tcW w:w="1192" w:type="dxa"/>
            <w:vAlign w:val="center"/>
          </w:tcPr>
          <w:p w14:paraId="761CCA0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3301" w:type="dxa"/>
            <w:vAlign w:val="center"/>
          </w:tcPr>
          <w:p w14:paraId="69BCF17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381" w:type="dxa"/>
            <w:vAlign w:val="center"/>
          </w:tcPr>
          <w:p w14:paraId="530792B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1FB5A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876" w:type="dxa"/>
            <w:vMerge w:val="restart"/>
            <w:vAlign w:val="center"/>
          </w:tcPr>
          <w:p w14:paraId="5A655DA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539" w:type="dxa"/>
            <w:vAlign w:val="center"/>
          </w:tcPr>
          <w:p w14:paraId="314AD501">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0"/>
                <w14:textFill>
                  <w14:solidFill>
                    <w14:schemeClr w14:val="tx1"/>
                  </w14:solidFill>
                </w14:textFill>
              </w:rPr>
              <w:t>粉剂肥料投料、扑粉、搅拌、粉碎、筛分</w:t>
            </w:r>
            <w:r>
              <w:rPr>
                <w:rFonts w:hint="eastAsia"/>
                <w:color w:val="000000" w:themeColor="text1"/>
                <w:kern w:val="0"/>
                <w:szCs w:val="20"/>
                <w:lang w:eastAsia="zh-CN"/>
                <w14:textFill>
                  <w14:solidFill>
                    <w14:schemeClr w14:val="tx1"/>
                  </w14:solidFill>
                </w14:textFill>
              </w:rPr>
              <w:t>、</w:t>
            </w:r>
            <w:r>
              <w:rPr>
                <w:rFonts w:hint="eastAsia"/>
                <w:color w:val="000000" w:themeColor="text1"/>
                <w:kern w:val="0"/>
                <w:szCs w:val="20"/>
                <w:lang w:val="en-US" w:eastAsia="zh-CN"/>
                <w14:textFill>
                  <w14:solidFill>
                    <w14:schemeClr w14:val="tx1"/>
                  </w14:solidFill>
                </w14:textFill>
              </w:rPr>
              <w:t>厂区</w:t>
            </w:r>
          </w:p>
        </w:tc>
        <w:tc>
          <w:tcPr>
            <w:tcW w:w="1192" w:type="dxa"/>
            <w:vAlign w:val="center"/>
          </w:tcPr>
          <w:p w14:paraId="04BC840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p w14:paraId="6568A876">
            <w:pPr>
              <w:adjustRightInd w:val="0"/>
              <w:snapToGrid w:val="0"/>
              <w:jc w:val="center"/>
              <w:rPr>
                <w:color w:val="000000" w:themeColor="text1"/>
                <w:szCs w:val="21"/>
                <w14:textFill>
                  <w14:solidFill>
                    <w14:schemeClr w14:val="tx1"/>
                  </w14:solidFill>
                </w14:textFill>
              </w:rPr>
            </w:pPr>
          </w:p>
        </w:tc>
        <w:tc>
          <w:tcPr>
            <w:tcW w:w="3301" w:type="dxa"/>
            <w:vAlign w:val="center"/>
          </w:tcPr>
          <w:p w14:paraId="1EF249A6">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湿式作业（90%）+厂房沉降（78%）</w:t>
            </w:r>
          </w:p>
        </w:tc>
        <w:tc>
          <w:tcPr>
            <w:tcW w:w="2381" w:type="dxa"/>
            <w:vAlign w:val="center"/>
          </w:tcPr>
          <w:p w14:paraId="07BDB969">
            <w:pPr>
              <w:rPr>
                <w:color w:val="000000" w:themeColor="text1"/>
                <w14:textFill>
                  <w14:solidFill>
                    <w14:schemeClr w14:val="tx1"/>
                  </w14:solidFill>
                </w14:textFill>
              </w:rPr>
            </w:pPr>
            <w:r>
              <w:rPr>
                <w:rFonts w:hint="eastAsia"/>
                <w:color w:val="000000" w:themeColor="text1"/>
                <w14:textFill>
                  <w14:solidFill>
                    <w14:schemeClr w14:val="tx1"/>
                  </w14:solidFill>
                </w14:textFill>
              </w:rPr>
              <w:t>执行《大气污染物综合排放标准》（GB16297-1996）</w:t>
            </w:r>
          </w:p>
        </w:tc>
      </w:tr>
      <w:tr w14:paraId="1E401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876" w:type="dxa"/>
            <w:vMerge w:val="continue"/>
            <w:vAlign w:val="center"/>
          </w:tcPr>
          <w:p w14:paraId="191DEAEA">
            <w:pPr>
              <w:adjustRightInd w:val="0"/>
              <w:snapToGrid w:val="0"/>
              <w:jc w:val="center"/>
              <w:rPr>
                <w:color w:val="000000" w:themeColor="text1"/>
                <w:szCs w:val="21"/>
                <w14:textFill>
                  <w14:solidFill>
                    <w14:schemeClr w14:val="tx1"/>
                  </w14:solidFill>
                </w14:textFill>
              </w:rPr>
            </w:pPr>
          </w:p>
        </w:tc>
        <w:tc>
          <w:tcPr>
            <w:tcW w:w="1539" w:type="dxa"/>
            <w:vAlign w:val="center"/>
          </w:tcPr>
          <w:p w14:paraId="1E0DDE44">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0"/>
                <w14:textFill>
                  <w14:solidFill>
                    <w14:schemeClr w14:val="tx1"/>
                  </w14:solidFill>
                </w14:textFill>
              </w:rPr>
              <w:t>发酵</w:t>
            </w:r>
            <w:r>
              <w:rPr>
                <w:rFonts w:hint="eastAsia"/>
                <w:color w:val="000000" w:themeColor="text1"/>
                <w:kern w:val="0"/>
                <w:szCs w:val="20"/>
                <w:lang w:val="en-US" w:eastAsia="zh-CN"/>
                <w14:textFill>
                  <w14:solidFill>
                    <w14:schemeClr w14:val="tx1"/>
                  </w14:solidFill>
                </w14:textFill>
              </w:rPr>
              <w:t>区、厂区</w:t>
            </w:r>
          </w:p>
        </w:tc>
        <w:tc>
          <w:tcPr>
            <w:tcW w:w="1192" w:type="dxa"/>
            <w:vAlign w:val="center"/>
          </w:tcPr>
          <w:p w14:paraId="73C34FE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氨、硫化氢、</w:t>
            </w:r>
          </w:p>
          <w:p w14:paraId="7B5ACAA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臭气浓度</w:t>
            </w:r>
          </w:p>
        </w:tc>
        <w:tc>
          <w:tcPr>
            <w:tcW w:w="3301" w:type="dxa"/>
            <w:vAlign w:val="center"/>
          </w:tcPr>
          <w:p w14:paraId="5EFC98C1">
            <w:pP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14:textFill>
                  <w14:solidFill>
                    <w14:schemeClr w14:val="tx1"/>
                  </w14:solidFill>
                </w14:textFill>
              </w:rPr>
              <w:t>发酵区</w:t>
            </w:r>
            <w:r>
              <w:rPr>
                <w:rFonts w:hint="eastAsia"/>
                <w:color w:val="000000" w:themeColor="text1"/>
                <w:kern w:val="0"/>
                <w:lang w:val="en-US" w:eastAsia="zh-CN"/>
                <w14:textFill>
                  <w14:solidFill>
                    <w14:schemeClr w14:val="tx1"/>
                  </w14:solidFill>
                </w14:textFill>
              </w:rPr>
              <w:t>两侧</w:t>
            </w:r>
            <w:r>
              <w:rPr>
                <w:rFonts w:hint="eastAsia"/>
                <w:color w:val="000000" w:themeColor="text1"/>
                <w:kern w:val="0"/>
                <w14:textFill>
                  <w14:solidFill>
                    <w14:schemeClr w14:val="tx1"/>
                  </w14:solidFill>
                </w14:textFill>
              </w:rPr>
              <w:t>设</w:t>
            </w:r>
            <w:r>
              <w:rPr>
                <w:rFonts w:hint="eastAsia"/>
                <w:color w:val="000000" w:themeColor="text1"/>
                <w:kern w:val="0"/>
                <w:lang w:eastAsia="zh-CN"/>
                <w14:textFill>
                  <w14:solidFill>
                    <w14:schemeClr w14:val="tx1"/>
                  </w14:solidFill>
                </w14:textFill>
              </w:rPr>
              <w:t>置生物除臭喷淋设施</w:t>
            </w:r>
            <w:r>
              <w:rPr>
                <w:rFonts w:hint="eastAsia"/>
                <w:color w:val="000000" w:themeColor="text1"/>
                <w:kern w:val="0"/>
                <w14:textFill>
                  <w14:solidFill>
                    <w14:schemeClr w14:val="tx1"/>
                  </w14:solidFill>
                </w14:textFill>
              </w:rPr>
              <w:t>处理（去除效率</w:t>
            </w:r>
            <w:r>
              <w:rPr>
                <w:rFonts w:hint="eastAsia"/>
                <w:color w:val="000000" w:themeColor="text1"/>
                <w:kern w:val="0"/>
                <w:lang w:val="en-US" w:eastAsia="zh-CN"/>
                <w14:textFill>
                  <w14:solidFill>
                    <w14:schemeClr w14:val="tx1"/>
                  </w14:solidFill>
                </w14:textFill>
              </w:rPr>
              <w:t>75</w:t>
            </w:r>
            <w:r>
              <w:rPr>
                <w:rFonts w:hint="eastAsia"/>
                <w:color w:val="000000" w:themeColor="text1"/>
                <w:kern w:val="0"/>
                <w14:textFill>
                  <w14:solidFill>
                    <w14:schemeClr w14:val="tx1"/>
                  </w14:solidFill>
                </w14:textFill>
              </w:rPr>
              <w:t>%）</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通风换气</w:t>
            </w:r>
          </w:p>
        </w:tc>
        <w:tc>
          <w:tcPr>
            <w:tcW w:w="2381" w:type="dxa"/>
            <w:vAlign w:val="center"/>
          </w:tcPr>
          <w:p w14:paraId="661E1A49">
            <w:pPr>
              <w:rPr>
                <w:color w:val="000000" w:themeColor="text1"/>
                <w14:textFill>
                  <w14:solidFill>
                    <w14:schemeClr w14:val="tx1"/>
                  </w14:solidFill>
                </w14:textFill>
              </w:rPr>
            </w:pPr>
            <w:r>
              <w:rPr>
                <w:rFonts w:hint="eastAsia"/>
                <w:color w:val="000000" w:themeColor="text1"/>
                <w14:textFill>
                  <w14:solidFill>
                    <w14:schemeClr w14:val="tx1"/>
                  </w14:solidFill>
                </w14:textFill>
              </w:rPr>
              <w:t>执行《恶臭污染物排放标准》（GB14554-93）中表2排放标准</w:t>
            </w:r>
          </w:p>
        </w:tc>
      </w:tr>
      <w:tr w14:paraId="3B146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vAlign w:val="center"/>
          </w:tcPr>
          <w:p w14:paraId="7F3DEF6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539" w:type="dxa"/>
            <w:vAlign w:val="center"/>
          </w:tcPr>
          <w:p w14:paraId="0CC835B3">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DW001/生活污水</w:t>
            </w:r>
          </w:p>
        </w:tc>
        <w:tc>
          <w:tcPr>
            <w:tcW w:w="1192" w:type="dxa"/>
            <w:vAlign w:val="center"/>
          </w:tcPr>
          <w:p w14:paraId="4E85656C">
            <w:pPr>
              <w:adjustRightInd w:val="0"/>
              <w:snapToGrid w:val="0"/>
              <w:jc w:val="center"/>
              <w:rPr>
                <w:bCs/>
                <w:color w:val="000000" w:themeColor="text1"/>
                <w14:textFill>
                  <w14:solidFill>
                    <w14:schemeClr w14:val="tx1"/>
                  </w14:solidFill>
                </w14:textFill>
              </w:rPr>
            </w:pP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w:t>
            </w:r>
            <w:r>
              <w:rPr>
                <w:rFonts w:hint="eastAsia"/>
                <w:color w:val="000000" w:themeColor="text1"/>
                <w14:textFill>
                  <w14:solidFill>
                    <w14:schemeClr w14:val="tx1"/>
                  </w14:solidFill>
                </w14:textFill>
              </w:rPr>
              <w:t>总磷</w:t>
            </w:r>
          </w:p>
        </w:tc>
        <w:tc>
          <w:tcPr>
            <w:tcW w:w="3301" w:type="dxa"/>
            <w:vAlign w:val="center"/>
          </w:tcPr>
          <w:p w14:paraId="55996815">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餐厨废水经过隔油池与办公废水、冲厕废水一起依托现有2座共19m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化粪池收集后经市政管网排至</w:t>
            </w:r>
            <w:r>
              <w:rPr>
                <w:rFonts w:hint="eastAsia"/>
                <w:bCs/>
                <w:color w:val="000000" w:themeColor="text1"/>
                <w:kern w:val="0"/>
                <w14:textFill>
                  <w14:solidFill>
                    <w14:schemeClr w14:val="tx1"/>
                  </w14:solidFill>
                </w14:textFill>
              </w:rPr>
              <w:t>寻甸县污水处理厂处理。</w:t>
            </w:r>
          </w:p>
        </w:tc>
        <w:tc>
          <w:tcPr>
            <w:tcW w:w="2381" w:type="dxa"/>
            <w:vAlign w:val="center"/>
          </w:tcPr>
          <w:p w14:paraId="78F08C3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GB/T31962-2015《污水排入城镇下水道水质标准》表1中A等级标准</w:t>
            </w:r>
          </w:p>
        </w:tc>
      </w:tr>
      <w:tr w14:paraId="21220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vAlign w:val="center"/>
          </w:tcPr>
          <w:p w14:paraId="2CA43982">
            <w:pPr>
              <w:adjustRightInd w:val="0"/>
              <w:snapToGrid w:val="0"/>
              <w:jc w:val="center"/>
              <w:rPr>
                <w:color w:val="000000" w:themeColor="text1"/>
                <w:szCs w:val="21"/>
                <w14:textFill>
                  <w14:solidFill>
                    <w14:schemeClr w14:val="tx1"/>
                  </w14:solidFill>
                </w14:textFill>
              </w:rPr>
            </w:pPr>
          </w:p>
        </w:tc>
        <w:tc>
          <w:tcPr>
            <w:tcW w:w="1539" w:type="dxa"/>
            <w:vAlign w:val="center"/>
          </w:tcPr>
          <w:p w14:paraId="30D0174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DW001/生产废水</w:t>
            </w:r>
          </w:p>
        </w:tc>
        <w:tc>
          <w:tcPr>
            <w:tcW w:w="1192" w:type="dxa"/>
            <w:vAlign w:val="center"/>
          </w:tcPr>
          <w:p w14:paraId="6D4F627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w:t>
            </w:r>
            <w:r>
              <w:rPr>
                <w:rFonts w:hint="eastAsia"/>
                <w:color w:val="000000" w:themeColor="text1"/>
                <w14:textFill>
                  <w14:solidFill>
                    <w14:schemeClr w14:val="tx1"/>
                  </w14:solidFill>
                </w14:textFill>
              </w:rPr>
              <w:t>总磷</w:t>
            </w:r>
          </w:p>
        </w:tc>
        <w:tc>
          <w:tcPr>
            <w:tcW w:w="3301" w:type="dxa"/>
            <w:vAlign w:val="center"/>
          </w:tcPr>
          <w:p w14:paraId="271A1EE5">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清洗废水、车间地面清洗废水、脱硫废水、发酵渗滤液、设备清洗废水进入污水处理系统处理达标后汇入寻甸县污水处理厂。（污水处理系统采用固液分离—絮凝反应-臭氧强氧化—IC厌氧—水解酸化—接触氧化—混凝沉淀处理工艺，处理规模900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w:t>
            </w:r>
          </w:p>
        </w:tc>
        <w:tc>
          <w:tcPr>
            <w:tcW w:w="2381" w:type="dxa"/>
            <w:vAlign w:val="center"/>
          </w:tcPr>
          <w:p w14:paraId="1A2214E9">
            <w:pPr>
              <w:spacing w:before="48" w:beforeLines="20"/>
              <w:rPr>
                <w:color w:val="000000" w:themeColor="text1"/>
                <w:szCs w:val="21"/>
                <w14:textFill>
                  <w14:solidFill>
                    <w14:schemeClr w14:val="tx1"/>
                  </w14:solidFill>
                </w14:textFill>
              </w:rPr>
            </w:pPr>
            <w:r>
              <w:rPr>
                <w:color w:val="000000" w:themeColor="text1"/>
                <w:szCs w:val="21"/>
                <w14:textFill>
                  <w14:solidFill>
                    <w14:schemeClr w14:val="tx1"/>
                  </w14:solidFill>
                </w14:textFill>
              </w:rPr>
              <w:t>GB/T31962-2015《污水排入城镇下水道水质标准》表1中A等级标准</w:t>
            </w:r>
          </w:p>
        </w:tc>
      </w:tr>
      <w:tr w14:paraId="6F9B4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876" w:type="dxa"/>
            <w:vAlign w:val="center"/>
          </w:tcPr>
          <w:p w14:paraId="42A181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539" w:type="dxa"/>
            <w:vAlign w:val="center"/>
          </w:tcPr>
          <w:p w14:paraId="6C7683AC">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生产设备</w:t>
            </w:r>
          </w:p>
        </w:tc>
        <w:tc>
          <w:tcPr>
            <w:tcW w:w="1192" w:type="dxa"/>
            <w:vAlign w:val="center"/>
          </w:tcPr>
          <w:p w14:paraId="6F435CD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噪声</w:t>
            </w:r>
          </w:p>
        </w:tc>
        <w:tc>
          <w:tcPr>
            <w:tcW w:w="3301" w:type="dxa"/>
            <w:vAlign w:val="center"/>
          </w:tcPr>
          <w:p w14:paraId="2932AE2C">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①产噪设备采取底部减震；</w:t>
            </w:r>
          </w:p>
          <w:p w14:paraId="36F63004">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②设备置于室内，采取建筑物隔声；</w:t>
            </w:r>
          </w:p>
          <w:p w14:paraId="0C6E6DE2">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③定期维修保养。</w:t>
            </w:r>
          </w:p>
        </w:tc>
        <w:tc>
          <w:tcPr>
            <w:tcW w:w="2381" w:type="dxa"/>
            <w:vAlign w:val="center"/>
          </w:tcPr>
          <w:p w14:paraId="03C1D849">
            <w:pPr>
              <w:rPr>
                <w:color w:val="000000" w:themeColor="text1"/>
                <w14:textFill>
                  <w14:solidFill>
                    <w14:schemeClr w14:val="tx1"/>
                  </w14:solidFill>
                </w14:textFill>
              </w:rPr>
            </w:pPr>
            <w:r>
              <w:rPr>
                <w:color w:val="000000" w:themeColor="text1"/>
                <w14:textFill>
                  <w14:solidFill>
                    <w14:schemeClr w14:val="tx1"/>
                  </w14:solidFill>
                </w14:textFill>
              </w:rPr>
              <w:t>达到《工业企业厂界环境噪声排放标准》（GB12348-2008）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类标准</w:t>
            </w:r>
          </w:p>
        </w:tc>
      </w:tr>
      <w:tr w14:paraId="61AA9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194318F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539" w:type="dxa"/>
            <w:vAlign w:val="center"/>
          </w:tcPr>
          <w:p w14:paraId="5407EDF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92" w:type="dxa"/>
            <w:vAlign w:val="center"/>
          </w:tcPr>
          <w:p w14:paraId="18BE54B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301" w:type="dxa"/>
            <w:vAlign w:val="center"/>
          </w:tcPr>
          <w:p w14:paraId="45496CF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381" w:type="dxa"/>
            <w:vAlign w:val="center"/>
          </w:tcPr>
          <w:p w14:paraId="3E891B5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EB1D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6E0CB9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8413" w:type="dxa"/>
            <w:gridSpan w:val="4"/>
            <w:vAlign w:val="center"/>
          </w:tcPr>
          <w:p w14:paraId="75FE7686">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①不合格产品、有机肥</w:t>
            </w:r>
            <w:r>
              <w:rPr>
                <w:rFonts w:hint="eastAsia"/>
                <w:color w:val="000000" w:themeColor="text1"/>
                <w:szCs w:val="21"/>
                <w:lang w:val="en-US" w:eastAsia="zh-CN"/>
                <w14:textFill>
                  <w14:solidFill>
                    <w14:schemeClr w14:val="tx1"/>
                  </w14:solidFill>
                </w14:textFill>
              </w:rPr>
              <w:t>沉降物</w:t>
            </w:r>
            <w:r>
              <w:rPr>
                <w:rFonts w:hint="eastAsia"/>
                <w:color w:val="000000" w:themeColor="text1"/>
                <w:szCs w:val="21"/>
                <w14:textFill>
                  <w14:solidFill>
                    <w14:schemeClr w14:val="tx1"/>
                  </w14:solidFill>
                </w14:textFill>
              </w:rPr>
              <w:t>返回生产；②废包装物外售废旧资源回收单位；</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③</w:t>
            </w:r>
            <w:r>
              <w:rPr>
                <w:rFonts w:hint="eastAsia"/>
                <w:color w:val="000000" w:themeColor="text1"/>
                <w:kern w:val="1"/>
                <w:szCs w:val="21"/>
                <w14:textFill>
                  <w14:solidFill>
                    <w14:schemeClr w14:val="tx1"/>
                  </w14:solidFill>
                </w14:textFill>
              </w:rPr>
              <w:t>污水处理污泥：</w:t>
            </w:r>
            <w:r>
              <w:rPr>
                <w:color w:val="000000" w:themeColor="text1"/>
                <w:kern w:val="0"/>
                <w:szCs w:val="21"/>
                <w14:textFill>
                  <w14:solidFill>
                    <w14:schemeClr w14:val="tx1"/>
                  </w14:solidFill>
                </w14:textFill>
              </w:rPr>
              <w:t>运往云南龙氏肥业有限公司处置</w:t>
            </w:r>
            <w:r>
              <w:rPr>
                <w:rFonts w:hint="eastAsia"/>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④员工生活垃圾集中收集后由当地环卫部门定期清运处理；⑤化粪池污泥定期清掏，委</w:t>
            </w:r>
            <w:r>
              <w:rPr>
                <w:color w:val="000000" w:themeColor="text1"/>
                <w:kern w:val="1"/>
                <w:szCs w:val="21"/>
                <w14:textFill>
                  <w14:solidFill>
                    <w14:schemeClr w14:val="tx1"/>
                  </w14:solidFill>
                </w14:textFill>
              </w:rPr>
              <w:t>定期委托环卫部门清掏处置</w:t>
            </w:r>
            <w:r>
              <w:rPr>
                <w:rFonts w:hint="eastAsia"/>
                <w:color w:val="000000" w:themeColor="text1"/>
                <w:szCs w:val="21"/>
                <w14:textFill>
                  <w14:solidFill>
                    <w14:schemeClr w14:val="tx1"/>
                  </w14:solidFill>
                </w14:textFill>
              </w:rPr>
              <w:t>；⑥废机油危险废物，需分类收集于专用容器，交由持有危险废物经营许可证的单位处置，并严格执行危险废物转移联单制度；⑦</w:t>
            </w:r>
            <w:r>
              <w:rPr>
                <w:color w:val="000000" w:themeColor="text1"/>
                <w:kern w:val="1"/>
                <w:szCs w:val="21"/>
                <w14:textFill>
                  <w14:solidFill>
                    <w14:schemeClr w14:val="tx1"/>
                  </w14:solidFill>
                </w14:textFill>
              </w:rPr>
              <w:t>厨房废水隔油</w:t>
            </w:r>
            <w:r>
              <w:rPr>
                <w:rFonts w:hint="eastAsia"/>
                <w:color w:val="000000" w:themeColor="text1"/>
                <w:kern w:val="1"/>
                <w:szCs w:val="21"/>
                <w14:textFill>
                  <w14:solidFill>
                    <w14:schemeClr w14:val="tx1"/>
                  </w14:solidFill>
                </w14:textFill>
              </w:rPr>
              <w:t>器</w:t>
            </w:r>
            <w:r>
              <w:rPr>
                <w:color w:val="000000" w:themeColor="text1"/>
                <w:kern w:val="1"/>
                <w:szCs w:val="21"/>
                <w14:textFill>
                  <w14:solidFill>
                    <w14:schemeClr w14:val="tx1"/>
                  </w14:solidFill>
                </w14:textFill>
              </w:rPr>
              <w:t>废油自行清掏，收集于专用带盖塑料桶内，定期</w:t>
            </w:r>
            <w:r>
              <w:rPr>
                <w:color w:val="000000" w:themeColor="text1"/>
                <w:szCs w:val="21"/>
                <w14:textFill>
                  <w14:solidFill>
                    <w14:schemeClr w14:val="tx1"/>
                  </w14:solidFill>
                </w14:textFill>
              </w:rPr>
              <w:t>委托资质单位</w:t>
            </w:r>
            <w:r>
              <w:rPr>
                <w:color w:val="000000" w:themeColor="text1"/>
                <w:kern w:val="1"/>
                <w:szCs w:val="21"/>
                <w14:textFill>
                  <w14:solidFill>
                    <w14:schemeClr w14:val="tx1"/>
                  </w14:solidFill>
                </w14:textFill>
              </w:rPr>
              <w:t>清运处置。</w:t>
            </w:r>
            <w:r>
              <w:rPr>
                <w:rFonts w:hint="eastAsia"/>
                <w:color w:val="000000" w:themeColor="text1"/>
                <w:kern w:val="1"/>
                <w:szCs w:val="21"/>
                <w14:textFill>
                  <w14:solidFill>
                    <w14:schemeClr w14:val="tx1"/>
                  </w14:solidFill>
                </w14:textFill>
              </w:rPr>
              <w:t>⑧厨余垃圾，</w:t>
            </w:r>
            <w:r>
              <w:rPr>
                <w:color w:val="000000" w:themeColor="text1"/>
                <w:szCs w:val="21"/>
                <w14:textFill>
                  <w14:solidFill>
                    <w14:schemeClr w14:val="tx1"/>
                  </w14:solidFill>
                </w14:textFill>
              </w:rPr>
              <w:t>委托资质单位清运处置。</w:t>
            </w:r>
          </w:p>
        </w:tc>
      </w:tr>
      <w:tr w14:paraId="52967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7781DD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413" w:type="dxa"/>
            <w:gridSpan w:val="4"/>
            <w:vAlign w:val="center"/>
          </w:tcPr>
          <w:p w14:paraId="307CCD2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03B9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2AC59C5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土壤、地下水</w:t>
            </w:r>
          </w:p>
        </w:tc>
        <w:tc>
          <w:tcPr>
            <w:tcW w:w="8413" w:type="dxa"/>
            <w:gridSpan w:val="4"/>
            <w:vAlign w:val="center"/>
          </w:tcPr>
          <w:p w14:paraId="529940D1">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①原料库区、成品库区设置托板，采用高密度聚乙烯或聚丙烯材质，防止原料、产品直接接触地面；</w:t>
            </w:r>
          </w:p>
          <w:p w14:paraId="12D9618F">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②原料、产品堆存位置避开窗户下方、出入口附近等区域，降低雨淋、受潮风险。</w:t>
            </w:r>
          </w:p>
          <w:p w14:paraId="2B29FE4F">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③提高原料、产品周转次数，减少在项目区内的存在量；</w:t>
            </w:r>
          </w:p>
          <w:p w14:paraId="56534375">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④保持生产区域地面干爽，地面清洁采用笤帚、吸尘器进行干式清洁，禁止采用冲洗等方式。</w:t>
            </w:r>
          </w:p>
          <w:p w14:paraId="38AB4D02">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⑤生产区域目前已采取硬化措施，生产过程中发生地面硬化破损情况时，及时采取修复。</w:t>
            </w:r>
          </w:p>
          <w:p w14:paraId="04EC8E84">
            <w:pPr>
              <w:ind w:firstLine="420" w:firstLineChars="200"/>
              <w:rPr>
                <w:color w:val="000000" w:themeColor="text1"/>
                <w:kern w:val="0"/>
                <w:sz w:val="22"/>
                <w:szCs w:val="22"/>
                <w:lang w:bidi="ar"/>
                <w14:textFill>
                  <w14:solidFill>
                    <w14:schemeClr w14:val="tx1"/>
                  </w14:solidFill>
                </w14:textFill>
              </w:rPr>
            </w:pPr>
            <w:r>
              <w:rPr>
                <w:rFonts w:hint="eastAsia"/>
                <w:color w:val="000000" w:themeColor="text1"/>
                <w:szCs w:val="21"/>
                <w14:textFill>
                  <w14:solidFill>
                    <w14:schemeClr w14:val="tx1"/>
                  </w14:solidFill>
                </w14:textFill>
              </w:rPr>
              <w:t>⑥</w:t>
            </w:r>
            <w:r>
              <w:rPr>
                <w:color w:val="000000" w:themeColor="text1"/>
                <w:kern w:val="0"/>
                <w:sz w:val="22"/>
                <w:szCs w:val="22"/>
                <w:lang w:bidi="ar"/>
                <w14:textFill>
                  <w14:solidFill>
                    <w14:schemeClr w14:val="tx1"/>
                  </w14:solidFill>
                </w14:textFill>
              </w:rPr>
              <w:t>定期对污水处理设施的各个池子及处理构筑物</w:t>
            </w:r>
            <w:r>
              <w:rPr>
                <w:rFonts w:hint="eastAsia"/>
                <w:color w:val="000000" w:themeColor="text1"/>
                <w:kern w:val="0"/>
                <w:sz w:val="22"/>
                <w:szCs w:val="22"/>
                <w:lang w:bidi="ar"/>
                <w14:textFill>
                  <w14:solidFill>
                    <w14:schemeClr w14:val="tx1"/>
                  </w14:solidFill>
                </w14:textFill>
              </w:rPr>
              <w:t>、危险废物贮存库</w:t>
            </w:r>
            <w:r>
              <w:rPr>
                <w:color w:val="000000" w:themeColor="text1"/>
                <w:kern w:val="0"/>
                <w:sz w:val="22"/>
                <w:szCs w:val="22"/>
                <w:lang w:bidi="ar"/>
                <w14:textFill>
                  <w14:solidFill>
                    <w14:schemeClr w14:val="tx1"/>
                  </w14:solidFill>
                </w14:textFill>
              </w:rPr>
              <w:t>进行巡检、调节、保养、维修，及时发现可能引起事故的异常运行苗头，消除事故隐患，将污染物跑冒、滴漏降到最低限度。</w:t>
            </w:r>
          </w:p>
          <w:p w14:paraId="71D004B3">
            <w:pPr>
              <w:ind w:firstLine="440" w:firstLineChars="200"/>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⑦根据项目区域功能划分防渗等级，保障分区防渗措施持续有效运行。新建生产车间为一般防渗区，采用渗透系数不大于1.0×10</w:t>
            </w:r>
            <w:r>
              <w:rPr>
                <w:rFonts w:hint="eastAsia"/>
                <w:color w:val="000000" w:themeColor="text1"/>
                <w:kern w:val="0"/>
                <w:sz w:val="22"/>
                <w:szCs w:val="22"/>
                <w:vertAlign w:val="superscript"/>
                <w:lang w:bidi="ar"/>
                <w14:textFill>
                  <w14:solidFill>
                    <w14:schemeClr w14:val="tx1"/>
                  </w14:solidFill>
                </w14:textFill>
              </w:rPr>
              <w:t>-7</w:t>
            </w:r>
            <w:r>
              <w:rPr>
                <w:rFonts w:hint="eastAsia"/>
                <w:color w:val="000000" w:themeColor="text1"/>
                <w:kern w:val="0"/>
                <w:sz w:val="22"/>
                <w:szCs w:val="22"/>
                <w:lang w:bidi="ar"/>
                <w14:textFill>
                  <w14:solidFill>
                    <w14:schemeClr w14:val="tx1"/>
                  </w14:solidFill>
                </w14:textFill>
              </w:rPr>
              <w:t>cm/s的防渗材料进行地面及墙体铺设。新建厂区道路简单水硬化处理。其余区域依托现有工程已建成的防渗体系，包括污水处理设施及危险废物贮存库的重点防渗措施等，需定期对所有防渗区域开展完整性检测，检查防渗层是否存在裂缝、老化、脱落或渗漏迹象，每季度至少进行一次全面巡检，发现异常立即组织专业队伍修复，同时建立防渗措施检查台账，详细记录检测时间、部位、结果及修复情况，确保分区防渗措施持续有效运行，防范地下水污染风险。</w:t>
            </w:r>
          </w:p>
        </w:tc>
      </w:tr>
      <w:tr w14:paraId="7063D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730732D2">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环境风险防范措施</w:t>
            </w:r>
          </w:p>
        </w:tc>
        <w:tc>
          <w:tcPr>
            <w:tcW w:w="8413" w:type="dxa"/>
            <w:gridSpan w:val="4"/>
            <w:vAlign w:val="center"/>
          </w:tcPr>
          <w:p w14:paraId="481973C7">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① 危险废物贮存间每季度开展一次防渗层完整性检测，发现破损立即停工修复；</w:t>
            </w:r>
          </w:p>
          <w:p w14:paraId="2E07E450">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② 生产区安装泄漏检测报警装置，对管道、储罐区域实时监控；</w:t>
            </w:r>
          </w:p>
          <w:p w14:paraId="234B0E5D">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③ 实验室试剂采用防泄漏托盘分类存放，建立严格的领用台账；</w:t>
            </w:r>
          </w:p>
          <w:p w14:paraId="7DC5980F">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④ 定期组织员工开展风险防范培训，明确岗位操作规范。</w:t>
            </w:r>
          </w:p>
          <w:p w14:paraId="488889E3">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⑤冰醋酸贮区要求：贮区应采用耐腐蚀、密封性良好的储存容器，设置独立的强制通风系统，保持空气流通以降低挥发乙酸气体的聚集风险。贮区需与碱类、强氧化剂、活泼金属等禁忌物分区存放，间距符合危险化学品安全储存间距规范；</w:t>
            </w:r>
          </w:p>
          <w:p w14:paraId="7F6F4012">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⑥合理安排生产，尽可能减少冰醋酸贮存量；</w:t>
            </w:r>
          </w:p>
          <w:p w14:paraId="314DA0EB">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⑦严格实施禁火管理，严禁吸烟、动火，设置严禁烟火警示标志。按照消防要求需配备消防器材，设置在明显和便于取用的地点；</w:t>
            </w:r>
          </w:p>
          <w:p w14:paraId="68E852A3">
            <w:pPr>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⑧加强员工安全培训教育，掌握冰醋酸理化特性，提高禁火意识，定期对员工开展安全考核。</w:t>
            </w:r>
          </w:p>
          <w:p w14:paraId="4506ACD5">
            <w:pPr>
              <w:ind w:firstLine="420" w:firstLineChars="200"/>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⑨为保证企业及人民生命财产的安全，防止突发性环境事件发生，并在发生事故时，能迅速有序地开展救援工作，尽最大努力减少事故的危害和损失。根据环境风险物质的变化，重新编制全厂的综合应急预案。确保应急预案与当前风险物质的种类、数量及潜在环境风险特征相适配。</w:t>
            </w:r>
          </w:p>
        </w:tc>
      </w:tr>
      <w:tr w14:paraId="007A1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Align w:val="center"/>
          </w:tcPr>
          <w:p w14:paraId="3002F953">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其他环境管理要求</w:t>
            </w:r>
          </w:p>
        </w:tc>
        <w:tc>
          <w:tcPr>
            <w:tcW w:w="8413" w:type="dxa"/>
            <w:gridSpan w:val="4"/>
            <w:vAlign w:val="center"/>
          </w:tcPr>
          <w:p w14:paraId="6F274479">
            <w:pPr>
              <w:adjustRightInd w:val="0"/>
              <w:snapToGrid w:val="0"/>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项目在建设和</w:t>
            </w:r>
            <w:r>
              <w:rPr>
                <w:rFonts w:hint="eastAsia"/>
                <w:color w:val="000000" w:themeColor="text1"/>
                <w14:textFill>
                  <w14:solidFill>
                    <w14:schemeClr w14:val="tx1"/>
                  </w14:solidFill>
                </w14:textFill>
              </w:rPr>
              <w:t>运营</w:t>
            </w:r>
            <w:r>
              <w:rPr>
                <w:color w:val="000000" w:themeColor="text1"/>
                <w14:textFill>
                  <w14:solidFill>
                    <w14:schemeClr w14:val="tx1"/>
                  </w14:solidFill>
                </w14:textFill>
              </w:rPr>
              <w:t>中应认真执行国家、地方环境保护的有关规定和要求。按照当地环保部门的要求及时反映发生的环保问题，随时接受各级环保部门的检查监督</w:t>
            </w:r>
            <w:r>
              <w:rPr>
                <w:rFonts w:hint="eastAsia"/>
                <w:color w:val="000000" w:themeColor="text1"/>
                <w14:textFill>
                  <w14:solidFill>
                    <w14:schemeClr w14:val="tx1"/>
                  </w14:solidFill>
                </w14:textFill>
              </w:rPr>
              <w:t>；</w:t>
            </w:r>
          </w:p>
          <w:p w14:paraId="0CD26C7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建设单位以后如需增加本报告表所涉及之外的污染源或对其功能进行改变，则应按要求向有关环保部门进行申报，并按污染控制目标采取相应的污染治理措施</w:t>
            </w:r>
            <w:r>
              <w:rPr>
                <w:rFonts w:hint="eastAsia"/>
                <w:color w:val="000000" w:themeColor="text1"/>
                <w14:textFill>
                  <w14:solidFill>
                    <w14:schemeClr w14:val="tx1"/>
                  </w14:solidFill>
                </w14:textFill>
              </w:rPr>
              <w:t>；</w:t>
            </w:r>
          </w:p>
          <w:p w14:paraId="0E51704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③项目运行前按照相关排污许可证申请与核发技术规范申请办理排污许可手续；</w:t>
            </w:r>
          </w:p>
          <w:p w14:paraId="0438981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④项目投入运行且环保设施运行稳定后需尽快开展竣工环境保护验收工作，应严格按照本监督检查清单中的各项内容进行竣工环境保护验收；</w:t>
            </w:r>
          </w:p>
          <w:p w14:paraId="60373F7E">
            <w:pPr>
              <w:pStyle w:val="69"/>
              <w:snapToGrid/>
              <w:spacing w:line="240" w:lineRule="auto"/>
              <w:ind w:firstLine="436" w:firstLineChars="200"/>
              <w:jc w:val="both"/>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⑤建设单位应严格落实本评价提出的各项自行监测计划，并对各期监测报告进行妥善保存；</w:t>
            </w:r>
          </w:p>
        </w:tc>
      </w:tr>
    </w:tbl>
    <w:p w14:paraId="395834F1">
      <w:pPr>
        <w:pStyle w:val="39"/>
        <w:widowControl w:val="0"/>
        <w:spacing w:before="0" w:beforeAutospacing="0" w:after="0" w:afterAutospacing="0" w:line="360" w:lineRule="auto"/>
        <w:jc w:val="center"/>
        <w:outlineLvl w:val="0"/>
        <w:rPr>
          <w:rFonts w:hint="eastAsia" w:ascii="黑体" w:hAnsi="黑体" w:eastAsia="黑体"/>
          <w:color w:val="000000" w:themeColor="text1"/>
          <w:kern w:val="0"/>
          <w:sz w:val="30"/>
          <w:szCs w:val="30"/>
          <w14:textFill>
            <w14:solidFill>
              <w14:schemeClr w14:val="tx1"/>
            </w14:solidFill>
          </w14:textFill>
        </w:rPr>
      </w:pPr>
      <w:r>
        <w:rPr>
          <w:color w:val="000000" w:themeColor="text1"/>
          <w:kern w:val="0"/>
          <w14:textFill>
            <w14:solidFill>
              <w14:schemeClr w14:val="tx1"/>
            </w14:solidFill>
          </w14:textFill>
        </w:rPr>
        <w:br w:type="page"/>
      </w:r>
      <w:bookmarkStart w:id="61" w:name="_Toc3770"/>
      <w:bookmarkStart w:id="62" w:name="_Toc13331"/>
      <w:bookmarkStart w:id="63" w:name="_Toc10790"/>
      <w:bookmarkStart w:id="64" w:name="_Toc25173"/>
      <w:r>
        <w:rPr>
          <w:rFonts w:hint="eastAsia" w:ascii="黑体" w:hAnsi="黑体" w:eastAsia="黑体"/>
          <w:color w:val="000000" w:themeColor="text1"/>
          <w:kern w:val="0"/>
          <w:sz w:val="30"/>
          <w:szCs w:val="30"/>
          <w14:textFill>
            <w14:solidFill>
              <w14:schemeClr w14:val="tx1"/>
            </w14:solidFill>
          </w14:textFill>
        </w:rPr>
        <w:t>六、结论</w:t>
      </w:r>
      <w:bookmarkEnd w:id="61"/>
      <w:bookmarkEnd w:id="62"/>
      <w:bookmarkEnd w:id="63"/>
      <w:bookmarkEnd w:id="6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7"/>
      </w:tblGrid>
      <w:tr w14:paraId="375F1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147" w:type="dxa"/>
          </w:tcPr>
          <w:p w14:paraId="61003039">
            <w:pPr>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项目建设符合国家及地方产业政策</w:t>
            </w:r>
            <w:r>
              <w:rPr>
                <w:rFonts w:hint="eastAsia"/>
                <w:color w:val="000000" w:themeColor="text1"/>
                <w:sz w:val="24"/>
                <w14:textFill>
                  <w14:solidFill>
                    <w14:schemeClr w14:val="tx1"/>
                  </w14:solidFill>
                </w14:textFill>
              </w:rPr>
              <w:t>，与相关规划不冲突</w:t>
            </w:r>
            <w:r>
              <w:rPr>
                <w:color w:val="000000" w:themeColor="text1"/>
                <w:sz w:val="24"/>
                <w14:textFill>
                  <w14:solidFill>
                    <w14:schemeClr w14:val="tx1"/>
                  </w14:solidFill>
                </w14:textFill>
              </w:rPr>
              <w:t>。在落实环评提出的各项环保措施后，废水、废气、噪声可以实现达标排放，固体废物处置率100%，环境风险可控。故评价认为建设单位在严格执</w:t>
            </w:r>
            <w:r>
              <w:rPr>
                <w:rFonts w:hint="eastAsia" w:ascii="宋体" w:hAnsi="宋体" w:cs="宋体"/>
                <w:color w:val="000000" w:themeColor="text1"/>
                <w:sz w:val="24"/>
                <w14:textFill>
                  <w14:solidFill>
                    <w14:schemeClr w14:val="tx1"/>
                  </w14:solidFill>
                </w14:textFill>
              </w:rPr>
              <w:t>行“三同时”管</w:t>
            </w:r>
            <w:r>
              <w:rPr>
                <w:color w:val="000000" w:themeColor="text1"/>
                <w:sz w:val="24"/>
                <w14:textFill>
                  <w14:solidFill>
                    <w14:schemeClr w14:val="tx1"/>
                  </w14:solidFill>
                </w14:textFill>
              </w:rPr>
              <w:t>理要求，确保各项环保投资落实到位，切实落实环评提出的各项环保措施和对策的条件下，本项目建设可行。</w:t>
            </w:r>
          </w:p>
          <w:p w14:paraId="764BF3DD">
            <w:pPr>
              <w:spacing w:line="360" w:lineRule="auto"/>
              <w:ind w:firstLine="470" w:firstLineChars="196"/>
              <w:rPr>
                <w:color w:val="000000" w:themeColor="text1"/>
                <w:kern w:val="0"/>
                <w:sz w:val="24"/>
                <w14:textFill>
                  <w14:solidFill>
                    <w14:schemeClr w14:val="tx1"/>
                  </w14:solidFill>
                </w14:textFill>
              </w:rPr>
            </w:pPr>
          </w:p>
          <w:p w14:paraId="2F28092B">
            <w:pPr>
              <w:spacing w:line="360" w:lineRule="auto"/>
              <w:ind w:firstLine="470" w:firstLineChars="196"/>
              <w:rPr>
                <w:color w:val="000000" w:themeColor="text1"/>
                <w:kern w:val="0"/>
                <w:sz w:val="24"/>
                <w14:textFill>
                  <w14:solidFill>
                    <w14:schemeClr w14:val="tx1"/>
                  </w14:solidFill>
                </w14:textFill>
              </w:rPr>
            </w:pPr>
          </w:p>
          <w:p w14:paraId="3BC882B0">
            <w:pPr>
              <w:spacing w:line="360" w:lineRule="auto"/>
              <w:ind w:firstLine="470" w:firstLineChars="196"/>
              <w:rPr>
                <w:color w:val="000000" w:themeColor="text1"/>
                <w:kern w:val="0"/>
                <w:sz w:val="24"/>
                <w14:textFill>
                  <w14:solidFill>
                    <w14:schemeClr w14:val="tx1"/>
                  </w14:solidFill>
                </w14:textFill>
              </w:rPr>
            </w:pPr>
          </w:p>
          <w:p w14:paraId="3BC5A553">
            <w:pPr>
              <w:spacing w:line="360" w:lineRule="auto"/>
              <w:ind w:firstLine="470" w:firstLineChars="196"/>
              <w:rPr>
                <w:color w:val="000000" w:themeColor="text1"/>
                <w:kern w:val="0"/>
                <w:sz w:val="24"/>
                <w14:textFill>
                  <w14:solidFill>
                    <w14:schemeClr w14:val="tx1"/>
                  </w14:solidFill>
                </w14:textFill>
              </w:rPr>
            </w:pPr>
          </w:p>
          <w:p w14:paraId="1C5BC9BF">
            <w:pPr>
              <w:spacing w:line="360" w:lineRule="auto"/>
              <w:ind w:firstLine="470" w:firstLineChars="196"/>
              <w:rPr>
                <w:color w:val="000000" w:themeColor="text1"/>
                <w:kern w:val="0"/>
                <w:sz w:val="24"/>
                <w14:textFill>
                  <w14:solidFill>
                    <w14:schemeClr w14:val="tx1"/>
                  </w14:solidFill>
                </w14:textFill>
              </w:rPr>
            </w:pPr>
          </w:p>
          <w:p w14:paraId="4D117F6C">
            <w:pPr>
              <w:spacing w:line="360" w:lineRule="auto"/>
              <w:ind w:firstLine="470" w:firstLineChars="196"/>
              <w:rPr>
                <w:color w:val="000000" w:themeColor="text1"/>
                <w:kern w:val="0"/>
                <w:sz w:val="24"/>
                <w14:textFill>
                  <w14:solidFill>
                    <w14:schemeClr w14:val="tx1"/>
                  </w14:solidFill>
                </w14:textFill>
              </w:rPr>
            </w:pPr>
          </w:p>
          <w:p w14:paraId="7145E6E5">
            <w:pPr>
              <w:spacing w:line="360" w:lineRule="auto"/>
              <w:ind w:firstLine="470" w:firstLineChars="196"/>
              <w:rPr>
                <w:color w:val="000000" w:themeColor="text1"/>
                <w:kern w:val="0"/>
                <w:sz w:val="24"/>
                <w14:textFill>
                  <w14:solidFill>
                    <w14:schemeClr w14:val="tx1"/>
                  </w14:solidFill>
                </w14:textFill>
              </w:rPr>
            </w:pPr>
          </w:p>
          <w:p w14:paraId="0A49C575">
            <w:pPr>
              <w:spacing w:line="360" w:lineRule="auto"/>
              <w:ind w:firstLine="470" w:firstLineChars="196"/>
              <w:rPr>
                <w:color w:val="000000" w:themeColor="text1"/>
                <w:kern w:val="0"/>
                <w:sz w:val="24"/>
                <w14:textFill>
                  <w14:solidFill>
                    <w14:schemeClr w14:val="tx1"/>
                  </w14:solidFill>
                </w14:textFill>
              </w:rPr>
            </w:pPr>
          </w:p>
          <w:p w14:paraId="2B120C54">
            <w:pPr>
              <w:spacing w:line="360" w:lineRule="auto"/>
              <w:ind w:firstLine="470" w:firstLineChars="196"/>
              <w:rPr>
                <w:color w:val="000000" w:themeColor="text1"/>
                <w:kern w:val="0"/>
                <w:sz w:val="24"/>
                <w14:textFill>
                  <w14:solidFill>
                    <w14:schemeClr w14:val="tx1"/>
                  </w14:solidFill>
                </w14:textFill>
              </w:rPr>
            </w:pPr>
          </w:p>
          <w:p w14:paraId="6AB65A36">
            <w:pPr>
              <w:spacing w:line="360" w:lineRule="auto"/>
              <w:ind w:firstLine="470" w:firstLineChars="196"/>
              <w:rPr>
                <w:color w:val="000000" w:themeColor="text1"/>
                <w:kern w:val="0"/>
                <w:sz w:val="24"/>
                <w14:textFill>
                  <w14:solidFill>
                    <w14:schemeClr w14:val="tx1"/>
                  </w14:solidFill>
                </w14:textFill>
              </w:rPr>
            </w:pPr>
          </w:p>
          <w:p w14:paraId="24DC0333">
            <w:pPr>
              <w:spacing w:line="360" w:lineRule="auto"/>
              <w:ind w:firstLine="470" w:firstLineChars="196"/>
              <w:rPr>
                <w:color w:val="000000" w:themeColor="text1"/>
                <w:kern w:val="0"/>
                <w:sz w:val="24"/>
                <w14:textFill>
                  <w14:solidFill>
                    <w14:schemeClr w14:val="tx1"/>
                  </w14:solidFill>
                </w14:textFill>
              </w:rPr>
            </w:pPr>
          </w:p>
          <w:p w14:paraId="5AA0CD3B">
            <w:pPr>
              <w:spacing w:line="360" w:lineRule="auto"/>
              <w:ind w:firstLine="470" w:firstLineChars="196"/>
              <w:rPr>
                <w:color w:val="000000" w:themeColor="text1"/>
                <w:kern w:val="0"/>
                <w:sz w:val="24"/>
                <w14:textFill>
                  <w14:solidFill>
                    <w14:schemeClr w14:val="tx1"/>
                  </w14:solidFill>
                </w14:textFill>
              </w:rPr>
            </w:pPr>
          </w:p>
          <w:p w14:paraId="60B7904C">
            <w:pPr>
              <w:spacing w:line="360" w:lineRule="auto"/>
              <w:ind w:firstLine="470" w:firstLineChars="196"/>
              <w:rPr>
                <w:color w:val="000000" w:themeColor="text1"/>
                <w:kern w:val="0"/>
                <w:sz w:val="24"/>
                <w14:textFill>
                  <w14:solidFill>
                    <w14:schemeClr w14:val="tx1"/>
                  </w14:solidFill>
                </w14:textFill>
              </w:rPr>
            </w:pPr>
          </w:p>
          <w:p w14:paraId="79525C34">
            <w:pPr>
              <w:spacing w:line="360" w:lineRule="auto"/>
              <w:ind w:firstLine="470" w:firstLineChars="196"/>
              <w:rPr>
                <w:color w:val="000000" w:themeColor="text1"/>
                <w:kern w:val="0"/>
                <w:sz w:val="24"/>
                <w14:textFill>
                  <w14:solidFill>
                    <w14:schemeClr w14:val="tx1"/>
                  </w14:solidFill>
                </w14:textFill>
              </w:rPr>
            </w:pPr>
          </w:p>
          <w:p w14:paraId="2FD752CD">
            <w:pPr>
              <w:spacing w:line="360" w:lineRule="auto"/>
              <w:ind w:firstLine="470" w:firstLineChars="196"/>
              <w:rPr>
                <w:color w:val="000000" w:themeColor="text1"/>
                <w:kern w:val="0"/>
                <w:sz w:val="24"/>
                <w14:textFill>
                  <w14:solidFill>
                    <w14:schemeClr w14:val="tx1"/>
                  </w14:solidFill>
                </w14:textFill>
              </w:rPr>
            </w:pPr>
          </w:p>
          <w:p w14:paraId="08DD0FA5">
            <w:pPr>
              <w:spacing w:line="360" w:lineRule="auto"/>
              <w:ind w:firstLine="470" w:firstLineChars="196"/>
              <w:rPr>
                <w:color w:val="000000" w:themeColor="text1"/>
                <w:kern w:val="0"/>
                <w:sz w:val="24"/>
                <w14:textFill>
                  <w14:solidFill>
                    <w14:schemeClr w14:val="tx1"/>
                  </w14:solidFill>
                </w14:textFill>
              </w:rPr>
            </w:pPr>
          </w:p>
          <w:p w14:paraId="186F4AFC">
            <w:pPr>
              <w:spacing w:line="360" w:lineRule="auto"/>
              <w:ind w:firstLine="470" w:firstLineChars="196"/>
              <w:rPr>
                <w:color w:val="000000" w:themeColor="text1"/>
                <w:kern w:val="0"/>
                <w:sz w:val="24"/>
                <w14:textFill>
                  <w14:solidFill>
                    <w14:schemeClr w14:val="tx1"/>
                  </w14:solidFill>
                </w14:textFill>
              </w:rPr>
            </w:pPr>
          </w:p>
          <w:p w14:paraId="6DF2FA53">
            <w:pPr>
              <w:spacing w:line="360" w:lineRule="auto"/>
              <w:ind w:firstLine="470" w:firstLineChars="196"/>
              <w:rPr>
                <w:color w:val="000000" w:themeColor="text1"/>
                <w:kern w:val="0"/>
                <w:sz w:val="24"/>
                <w14:textFill>
                  <w14:solidFill>
                    <w14:schemeClr w14:val="tx1"/>
                  </w14:solidFill>
                </w14:textFill>
              </w:rPr>
            </w:pPr>
          </w:p>
          <w:p w14:paraId="5DF71AC1">
            <w:pPr>
              <w:spacing w:line="360" w:lineRule="auto"/>
              <w:ind w:firstLine="470" w:firstLineChars="196"/>
              <w:rPr>
                <w:color w:val="000000" w:themeColor="text1"/>
                <w:kern w:val="0"/>
                <w:sz w:val="24"/>
                <w14:textFill>
                  <w14:solidFill>
                    <w14:schemeClr w14:val="tx1"/>
                  </w14:solidFill>
                </w14:textFill>
              </w:rPr>
            </w:pPr>
          </w:p>
          <w:p w14:paraId="4331550C">
            <w:pPr>
              <w:spacing w:line="360" w:lineRule="auto"/>
              <w:ind w:firstLine="470" w:firstLineChars="196"/>
              <w:rPr>
                <w:color w:val="000000" w:themeColor="text1"/>
                <w:kern w:val="0"/>
                <w:sz w:val="24"/>
                <w14:textFill>
                  <w14:solidFill>
                    <w14:schemeClr w14:val="tx1"/>
                  </w14:solidFill>
                </w14:textFill>
              </w:rPr>
            </w:pPr>
          </w:p>
          <w:p w14:paraId="675810F8">
            <w:pPr>
              <w:spacing w:line="360" w:lineRule="auto"/>
              <w:ind w:firstLine="470" w:firstLineChars="196"/>
              <w:rPr>
                <w:color w:val="000000" w:themeColor="text1"/>
                <w:kern w:val="0"/>
                <w:sz w:val="24"/>
                <w14:textFill>
                  <w14:solidFill>
                    <w14:schemeClr w14:val="tx1"/>
                  </w14:solidFill>
                </w14:textFill>
              </w:rPr>
            </w:pPr>
          </w:p>
          <w:p w14:paraId="17EFCC5D">
            <w:pPr>
              <w:spacing w:line="360" w:lineRule="auto"/>
              <w:ind w:firstLine="470" w:firstLineChars="196"/>
              <w:rPr>
                <w:color w:val="000000" w:themeColor="text1"/>
                <w:kern w:val="0"/>
                <w:sz w:val="24"/>
                <w14:textFill>
                  <w14:solidFill>
                    <w14:schemeClr w14:val="tx1"/>
                  </w14:solidFill>
                </w14:textFill>
              </w:rPr>
            </w:pPr>
          </w:p>
          <w:p w14:paraId="7909269B">
            <w:pPr>
              <w:spacing w:line="360" w:lineRule="auto"/>
              <w:ind w:firstLine="470" w:firstLineChars="196"/>
              <w:rPr>
                <w:color w:val="000000" w:themeColor="text1"/>
                <w:kern w:val="0"/>
                <w:sz w:val="24"/>
                <w14:textFill>
                  <w14:solidFill>
                    <w14:schemeClr w14:val="tx1"/>
                  </w14:solidFill>
                </w14:textFill>
              </w:rPr>
            </w:pPr>
          </w:p>
          <w:p w14:paraId="72145815">
            <w:pPr>
              <w:spacing w:line="360" w:lineRule="auto"/>
              <w:ind w:firstLine="470" w:firstLineChars="196"/>
              <w:rPr>
                <w:color w:val="000000" w:themeColor="text1"/>
                <w:kern w:val="0"/>
                <w:sz w:val="24"/>
                <w14:textFill>
                  <w14:solidFill>
                    <w14:schemeClr w14:val="tx1"/>
                  </w14:solidFill>
                </w14:textFill>
              </w:rPr>
            </w:pPr>
          </w:p>
          <w:p w14:paraId="1F4137EC">
            <w:pPr>
              <w:spacing w:line="360" w:lineRule="auto"/>
              <w:ind w:firstLine="470" w:firstLineChars="196"/>
              <w:rPr>
                <w:color w:val="000000" w:themeColor="text1"/>
                <w:kern w:val="0"/>
                <w:sz w:val="24"/>
                <w14:textFill>
                  <w14:solidFill>
                    <w14:schemeClr w14:val="tx1"/>
                  </w14:solidFill>
                </w14:textFill>
              </w:rPr>
            </w:pPr>
          </w:p>
          <w:p w14:paraId="412D8FF3">
            <w:pPr>
              <w:spacing w:line="360" w:lineRule="auto"/>
              <w:rPr>
                <w:rFonts w:ascii="宋体" w:cs="宋体"/>
                <w:color w:val="000000" w:themeColor="text1"/>
                <w:kern w:val="0"/>
                <w:sz w:val="24"/>
                <w14:textFill>
                  <w14:solidFill>
                    <w14:schemeClr w14:val="tx1"/>
                  </w14:solidFill>
                </w14:textFill>
              </w:rPr>
            </w:pPr>
          </w:p>
        </w:tc>
      </w:tr>
    </w:tbl>
    <w:p w14:paraId="141A0199">
      <w:pPr>
        <w:rPr>
          <w:rFonts w:hint="eastAsia" w:ascii="宋体" w:hAnsi="宋体" w:eastAsia="黑体"/>
          <w:color w:val="000000" w:themeColor="text1"/>
          <w:kern w:val="0"/>
          <w14:textFill>
            <w14:solidFill>
              <w14:schemeClr w14:val="tx1"/>
            </w14:solidFill>
          </w14:textFill>
        </w:rPr>
        <w:sectPr>
          <w:footerReference r:id="rId6" w:type="default"/>
          <w:pgSz w:w="11906" w:h="16838"/>
          <w:pgMar w:top="1701" w:right="1417" w:bottom="1417" w:left="1417" w:header="851" w:footer="851" w:gutter="0"/>
          <w:cols w:space="720" w:num="1"/>
          <w:docGrid w:linePitch="312" w:charSpace="0"/>
        </w:sectPr>
      </w:pPr>
    </w:p>
    <w:p w14:paraId="727E8869">
      <w:pPr>
        <w:widowControl/>
        <w:jc w:val="left"/>
        <w:rPr>
          <w:rFonts w:hint="eastAsia" w:ascii="黑体" w:hAnsi="黑体" w:eastAsia="黑体"/>
          <w:snapToGrid w:val="0"/>
          <w:color w:val="000000" w:themeColor="text1"/>
          <w:kern w:val="0"/>
          <w:sz w:val="28"/>
          <w:szCs w:val="28"/>
          <w14:textFill>
            <w14:solidFill>
              <w14:schemeClr w14:val="tx1"/>
            </w14:solidFill>
          </w14:textFill>
        </w:rPr>
      </w:pPr>
      <w:bookmarkStart w:id="65" w:name="_Toc22570"/>
      <w:bookmarkStart w:id="66" w:name="_Toc17174"/>
      <w:bookmarkStart w:id="67" w:name="_Toc28105"/>
      <w:r>
        <w:rPr>
          <w:rFonts w:hint="eastAsia" w:ascii="黑体" w:hAnsi="黑体" w:eastAsia="黑体"/>
          <w:snapToGrid w:val="0"/>
          <w:color w:val="000000" w:themeColor="text1"/>
          <w:kern w:val="0"/>
          <w:sz w:val="28"/>
          <w:szCs w:val="28"/>
          <w14:textFill>
            <w14:solidFill>
              <w14:schemeClr w14:val="tx1"/>
            </w14:solidFill>
          </w14:textFill>
        </w:rPr>
        <w:t>附表</w:t>
      </w:r>
      <w:bookmarkEnd w:id="65"/>
    </w:p>
    <w:bookmarkEnd w:id="66"/>
    <w:bookmarkEnd w:id="67"/>
    <w:p w14:paraId="5A3592FF">
      <w:pPr>
        <w:widowControl/>
        <w:spacing w:before="120" w:beforeLines="50" w:after="120" w:afterLines="50"/>
        <w:jc w:val="center"/>
        <w:outlineLvl w:val="0"/>
        <w:rPr>
          <w:rFonts w:hint="eastAsia" w:ascii="黑体" w:hAnsi="黑体" w:eastAsia="黑体" w:cs="黑体"/>
          <w:color w:val="000000" w:themeColor="text1"/>
          <w:kern w:val="0"/>
          <w:sz w:val="28"/>
          <w:szCs w:val="21"/>
          <w14:textFill>
            <w14:solidFill>
              <w14:schemeClr w14:val="tx1"/>
            </w14:solidFill>
          </w14:textFill>
        </w:rPr>
      </w:pPr>
      <w:bookmarkStart w:id="68" w:name="_Toc4009"/>
      <w:bookmarkStart w:id="69" w:name="_Toc31760"/>
      <w:bookmarkStart w:id="70" w:name="_Toc22220"/>
      <w:bookmarkStart w:id="71" w:name="_Toc7165"/>
      <w:r>
        <w:rPr>
          <w:rFonts w:hint="eastAsia" w:ascii="黑体" w:hAnsi="黑体" w:eastAsia="黑体" w:cs="黑体"/>
          <w:color w:val="000000" w:themeColor="text1"/>
          <w:kern w:val="0"/>
          <w:sz w:val="28"/>
          <w:szCs w:val="21"/>
          <w14:textFill>
            <w14:solidFill>
              <w14:schemeClr w14:val="tx1"/>
            </w14:solidFill>
          </w14:textFill>
        </w:rPr>
        <w:t>建设项目污染物排放量汇总表</w:t>
      </w:r>
      <w:bookmarkEnd w:id="68"/>
      <w:bookmarkEnd w:id="69"/>
      <w:bookmarkEnd w:id="70"/>
      <w:bookmarkEnd w:id="71"/>
    </w:p>
    <w:tbl>
      <w:tblPr>
        <w:tblStyle w:val="23"/>
        <w:tblW w:w="14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750"/>
        <w:gridCol w:w="1658"/>
        <w:gridCol w:w="1301"/>
        <w:gridCol w:w="1735"/>
        <w:gridCol w:w="1590"/>
        <w:gridCol w:w="1796"/>
        <w:gridCol w:w="1730"/>
        <w:gridCol w:w="1110"/>
      </w:tblGrid>
      <w:tr w14:paraId="30B85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tcBorders>
              <w:tl2br w:val="single" w:color="auto" w:sz="4" w:space="0"/>
            </w:tcBorders>
            <w:tcMar>
              <w:left w:w="28" w:type="dxa"/>
              <w:right w:w="28" w:type="dxa"/>
            </w:tcMar>
            <w:vAlign w:val="center"/>
          </w:tcPr>
          <w:p w14:paraId="528F538E">
            <w:pPr>
              <w:adjustRightInd w:val="0"/>
              <w:snapToGrid w:val="0"/>
              <w:jc w:val="center"/>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 xml:space="preserve">      项目</w:t>
            </w:r>
          </w:p>
          <w:p w14:paraId="777EB314">
            <w:pPr>
              <w:spacing w:before="240" w:beforeLines="100"/>
              <w:ind w:firstLine="198" w:firstLineChars="100"/>
              <w:jc w:val="left"/>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分类</w:t>
            </w:r>
          </w:p>
        </w:tc>
        <w:tc>
          <w:tcPr>
            <w:tcW w:w="1750" w:type="dxa"/>
            <w:tcMar>
              <w:left w:w="28" w:type="dxa"/>
              <w:right w:w="28" w:type="dxa"/>
            </w:tcMar>
            <w:vAlign w:val="center"/>
          </w:tcPr>
          <w:p w14:paraId="581FAC30">
            <w:pPr>
              <w:adjustRightInd w:val="0"/>
              <w:snapToGrid w:val="0"/>
              <w:jc w:val="center"/>
              <w:rPr>
                <w:rFonts w:hint="eastAsia" w:ascii="黑体" w:hAnsi="黑体" w:eastAsia="黑体" w:cs="宋体"/>
                <w:snapToGrid w:val="0"/>
                <w:color w:val="000000" w:themeColor="text1"/>
                <w:spacing w:val="-6"/>
                <w:kern w:val="21"/>
                <w:szCs w:val="21"/>
                <w14:textFill>
                  <w14:solidFill>
                    <w14:schemeClr w14:val="tx1"/>
                  </w14:solidFill>
                </w14:textFill>
              </w:rPr>
            </w:pPr>
            <w:r>
              <w:rPr>
                <w:rFonts w:hint="eastAsia" w:ascii="黑体" w:hAnsi="黑体" w:eastAsia="黑体" w:cs="宋体"/>
                <w:snapToGrid w:val="0"/>
                <w:color w:val="000000" w:themeColor="text1"/>
                <w:spacing w:val="-6"/>
                <w:kern w:val="21"/>
                <w:szCs w:val="21"/>
                <w14:textFill>
                  <w14:solidFill>
                    <w14:schemeClr w14:val="tx1"/>
                  </w14:solidFill>
                </w14:textFill>
              </w:rPr>
              <w:t>污染物名称</w:t>
            </w:r>
          </w:p>
        </w:tc>
        <w:tc>
          <w:tcPr>
            <w:tcW w:w="1658" w:type="dxa"/>
            <w:tcMar>
              <w:left w:w="28" w:type="dxa"/>
              <w:right w:w="28" w:type="dxa"/>
            </w:tcMar>
            <w:vAlign w:val="center"/>
          </w:tcPr>
          <w:p w14:paraId="1739D4E2">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2DBD6FE1">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1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①</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301" w:type="dxa"/>
            <w:tcMar>
              <w:left w:w="28" w:type="dxa"/>
              <w:right w:w="28" w:type="dxa"/>
            </w:tcMar>
            <w:vAlign w:val="center"/>
          </w:tcPr>
          <w:p w14:paraId="63D25923">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现有工程</w:t>
            </w:r>
          </w:p>
          <w:p w14:paraId="59C22406">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许可排放量</w:t>
            </w:r>
          </w:p>
          <w:p w14:paraId="78308479">
            <w:pPr>
              <w:adjustRightInd w:val="0"/>
              <w:snapToGrid w:val="0"/>
              <w:spacing w:line="259" w:lineRule="auto"/>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2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snapToGrid w:val="0"/>
                <w:color w:val="000000" w:themeColor="text1"/>
                <w:spacing w:val="-6"/>
                <w:kern w:val="21"/>
                <w:szCs w:val="21"/>
                <w14:textFill>
                  <w14:solidFill>
                    <w14:schemeClr w14:val="tx1"/>
                  </w14:solidFill>
                </w14:textFill>
              </w:rPr>
              <w:t>②</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35" w:type="dxa"/>
            <w:tcMar>
              <w:left w:w="28" w:type="dxa"/>
              <w:right w:w="28" w:type="dxa"/>
            </w:tcMar>
            <w:vAlign w:val="center"/>
          </w:tcPr>
          <w:p w14:paraId="4E489B84">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在建工程</w:t>
            </w:r>
          </w:p>
          <w:p w14:paraId="757D6609">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3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③</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590" w:type="dxa"/>
            <w:tcMar>
              <w:left w:w="28" w:type="dxa"/>
              <w:right w:w="28" w:type="dxa"/>
            </w:tcMar>
            <w:vAlign w:val="center"/>
          </w:tcPr>
          <w:p w14:paraId="623C0C4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本项目</w:t>
            </w:r>
          </w:p>
          <w:p w14:paraId="248B0A4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排放量（固</w:t>
            </w:r>
            <w:r>
              <w:rPr>
                <w:rFonts w:hint="eastAsia" w:ascii="黑体" w:hAnsi="黑体" w:eastAsia="黑体"/>
                <w:snapToGrid w:val="0"/>
                <w:color w:val="000000" w:themeColor="text1"/>
                <w:spacing w:val="-6"/>
                <w:kern w:val="21"/>
                <w:szCs w:val="21"/>
                <w14:textFill>
                  <w14:solidFill>
                    <w14:schemeClr w14:val="tx1"/>
                  </w14:solidFill>
                </w14:textFill>
              </w:rPr>
              <w:t>体</w:t>
            </w:r>
            <w:r>
              <w:rPr>
                <w:rFonts w:ascii="黑体" w:hAnsi="黑体" w:eastAsia="黑体"/>
                <w:snapToGrid w:val="0"/>
                <w:color w:val="000000" w:themeColor="text1"/>
                <w:spacing w:val="-6"/>
                <w:kern w:val="21"/>
                <w:szCs w:val="21"/>
                <w14:textFill>
                  <w14:solidFill>
                    <w14:schemeClr w14:val="tx1"/>
                  </w14:solidFill>
                </w14:textFill>
              </w:rPr>
              <w:t>废</w:t>
            </w:r>
            <w:r>
              <w:rPr>
                <w:rFonts w:hint="eastAsia" w:ascii="黑体" w:hAnsi="黑体" w:eastAsia="黑体"/>
                <w:snapToGrid w:val="0"/>
                <w:color w:val="000000" w:themeColor="text1"/>
                <w:spacing w:val="-6"/>
                <w:kern w:val="21"/>
                <w:szCs w:val="21"/>
                <w14:textFill>
                  <w14:solidFill>
                    <w14:schemeClr w14:val="tx1"/>
                  </w14:solidFill>
                </w14:textFill>
              </w:rPr>
              <w:t>物</w:t>
            </w:r>
            <w:r>
              <w:rPr>
                <w:rFonts w:ascii="黑体" w:hAnsi="黑体" w:eastAsia="黑体"/>
                <w:snapToGrid w:val="0"/>
                <w:color w:val="000000" w:themeColor="text1"/>
                <w:spacing w:val="-6"/>
                <w:kern w:val="21"/>
                <w:szCs w:val="21"/>
                <w14:textFill>
                  <w14:solidFill>
                    <w14:schemeClr w14:val="tx1"/>
                  </w14:solidFill>
                </w14:textFill>
              </w:rPr>
              <w:t>产生量）</w:t>
            </w: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4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④</w:t>
            </w:r>
            <w:r>
              <w:rPr>
                <w:rFonts w:ascii="黑体" w:hAnsi="黑体" w:eastAsia="黑体"/>
                <w:snapToGrid w:val="0"/>
                <w:color w:val="000000" w:themeColor="text1"/>
                <w:spacing w:val="-6"/>
                <w:kern w:val="21"/>
                <w:szCs w:val="21"/>
                <w14:textFill>
                  <w14:solidFill>
                    <w14:schemeClr w14:val="tx1"/>
                  </w14:solidFill>
                </w14:textFill>
              </w:rPr>
              <w:fldChar w:fldCharType="end"/>
            </w:r>
          </w:p>
        </w:tc>
        <w:tc>
          <w:tcPr>
            <w:tcW w:w="1796" w:type="dxa"/>
            <w:tcMar>
              <w:left w:w="28" w:type="dxa"/>
              <w:right w:w="28" w:type="dxa"/>
            </w:tcMar>
            <w:vAlign w:val="center"/>
          </w:tcPr>
          <w:p w14:paraId="661536D9">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以新带老削减量</w:t>
            </w:r>
          </w:p>
          <w:p w14:paraId="74D4C9E4">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（新建项目不填）</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5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⑤</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730" w:type="dxa"/>
            <w:tcMar>
              <w:left w:w="28" w:type="dxa"/>
              <w:right w:w="28" w:type="dxa"/>
            </w:tcMar>
            <w:vAlign w:val="center"/>
          </w:tcPr>
          <w:p w14:paraId="7C185C24">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ascii="黑体" w:hAnsi="黑体" w:eastAsia="黑体"/>
                <w:snapToGrid w:val="0"/>
                <w:color w:val="000000" w:themeColor="text1"/>
                <w:spacing w:val="-16"/>
                <w:kern w:val="21"/>
                <w:szCs w:val="21"/>
                <w14:textFill>
                  <w14:solidFill>
                    <w14:schemeClr w14:val="tx1"/>
                  </w14:solidFill>
                </w14:textFill>
              </w:rPr>
              <w:t>本项目建成后</w:t>
            </w:r>
          </w:p>
          <w:p w14:paraId="3281E231">
            <w:pPr>
              <w:adjustRightInd w:val="0"/>
              <w:snapToGrid w:val="0"/>
              <w:jc w:val="center"/>
              <w:rPr>
                <w:rFonts w:hint="eastAsia" w:ascii="黑体" w:hAnsi="黑体" w:eastAsia="黑体"/>
                <w:snapToGrid w:val="0"/>
                <w:color w:val="000000" w:themeColor="text1"/>
                <w:spacing w:val="-16"/>
                <w:kern w:val="21"/>
                <w:szCs w:val="21"/>
                <w14:textFill>
                  <w14:solidFill>
                    <w14:schemeClr w14:val="tx1"/>
                  </w14:solidFill>
                </w14:textFill>
              </w:rPr>
            </w:pPr>
            <w:r>
              <w:rPr>
                <w:rFonts w:hint="eastAsia" w:ascii="黑体" w:hAnsi="黑体" w:eastAsia="黑体"/>
                <w:snapToGrid w:val="0"/>
                <w:color w:val="000000" w:themeColor="text1"/>
                <w:spacing w:val="-16"/>
                <w:kern w:val="21"/>
                <w:szCs w:val="21"/>
                <w14:textFill>
                  <w14:solidFill>
                    <w14:schemeClr w14:val="tx1"/>
                  </w14:solidFill>
                </w14:textFill>
              </w:rPr>
              <w:t>全厂</w:t>
            </w:r>
            <w:r>
              <w:rPr>
                <w:rFonts w:ascii="黑体" w:hAnsi="黑体" w:eastAsia="黑体"/>
                <w:snapToGrid w:val="0"/>
                <w:color w:val="000000" w:themeColor="text1"/>
                <w:spacing w:val="-16"/>
                <w:kern w:val="21"/>
                <w:szCs w:val="21"/>
                <w14:textFill>
                  <w14:solidFill>
                    <w14:schemeClr w14:val="tx1"/>
                  </w14:solidFill>
                </w14:textFill>
              </w:rPr>
              <w:t>排放量（固</w:t>
            </w:r>
            <w:r>
              <w:rPr>
                <w:rFonts w:hint="eastAsia" w:ascii="黑体" w:hAnsi="黑体" w:eastAsia="黑体"/>
                <w:snapToGrid w:val="0"/>
                <w:color w:val="000000" w:themeColor="text1"/>
                <w:spacing w:val="-16"/>
                <w:kern w:val="21"/>
                <w:szCs w:val="21"/>
                <w14:textFill>
                  <w14:solidFill>
                    <w14:schemeClr w14:val="tx1"/>
                  </w14:solidFill>
                </w14:textFill>
              </w:rPr>
              <w:t>体</w:t>
            </w:r>
            <w:r>
              <w:rPr>
                <w:rFonts w:ascii="黑体" w:hAnsi="黑体" w:eastAsia="黑体"/>
                <w:snapToGrid w:val="0"/>
                <w:color w:val="000000" w:themeColor="text1"/>
                <w:spacing w:val="-16"/>
                <w:kern w:val="21"/>
                <w:szCs w:val="21"/>
                <w14:textFill>
                  <w14:solidFill>
                    <w14:schemeClr w14:val="tx1"/>
                  </w14:solidFill>
                </w14:textFill>
              </w:rPr>
              <w:t>废</w:t>
            </w:r>
            <w:r>
              <w:rPr>
                <w:rFonts w:hint="eastAsia" w:ascii="黑体" w:hAnsi="黑体" w:eastAsia="黑体"/>
                <w:snapToGrid w:val="0"/>
                <w:color w:val="000000" w:themeColor="text1"/>
                <w:spacing w:val="-16"/>
                <w:kern w:val="21"/>
                <w:szCs w:val="21"/>
                <w14:textFill>
                  <w14:solidFill>
                    <w14:schemeClr w14:val="tx1"/>
                  </w14:solidFill>
                </w14:textFill>
              </w:rPr>
              <w:t>物</w:t>
            </w:r>
            <w:r>
              <w:rPr>
                <w:rFonts w:ascii="黑体" w:hAnsi="黑体" w:eastAsia="黑体"/>
                <w:snapToGrid w:val="0"/>
                <w:color w:val="000000" w:themeColor="text1"/>
                <w:spacing w:val="-16"/>
                <w:kern w:val="21"/>
                <w:szCs w:val="21"/>
                <w14:textFill>
                  <w14:solidFill>
                    <w14:schemeClr w14:val="tx1"/>
                  </w14:solidFill>
                </w14:textFill>
              </w:rPr>
              <w:t>产生量）</w:t>
            </w:r>
            <w:r>
              <w:rPr>
                <w:rFonts w:ascii="黑体" w:hAnsi="黑体" w:eastAsia="黑体"/>
                <w:snapToGrid w:val="0"/>
                <w:color w:val="000000" w:themeColor="text1"/>
                <w:spacing w:val="-16"/>
                <w:kern w:val="21"/>
                <w:szCs w:val="21"/>
                <w14:textFill>
                  <w14:solidFill>
                    <w14:schemeClr w14:val="tx1"/>
                  </w14:solidFill>
                </w14:textFill>
              </w:rPr>
              <w:fldChar w:fldCharType="begin"/>
            </w:r>
            <w:r>
              <w:rPr>
                <w:rFonts w:ascii="黑体" w:hAnsi="黑体" w:eastAsia="黑体"/>
                <w:snapToGrid w:val="0"/>
                <w:color w:val="000000" w:themeColor="text1"/>
                <w:spacing w:val="-16"/>
                <w:kern w:val="21"/>
                <w:szCs w:val="21"/>
                <w14:textFill>
                  <w14:solidFill>
                    <w14:schemeClr w14:val="tx1"/>
                  </w14:solidFill>
                </w14:textFill>
              </w:rPr>
              <w:instrText xml:space="preserve"> = 6 \* GB3 \* MERGEFORMAT </w:instrText>
            </w:r>
            <w:r>
              <w:rPr>
                <w:rFonts w:ascii="黑体" w:hAnsi="黑体" w:eastAsia="黑体"/>
                <w:snapToGrid w:val="0"/>
                <w:color w:val="000000" w:themeColor="text1"/>
                <w:spacing w:val="-1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⑥</w:t>
            </w:r>
            <w:r>
              <w:rPr>
                <w:rFonts w:ascii="黑体" w:hAnsi="黑体" w:eastAsia="黑体"/>
                <w:snapToGrid w:val="0"/>
                <w:color w:val="000000" w:themeColor="text1"/>
                <w:spacing w:val="-16"/>
                <w:kern w:val="21"/>
                <w:szCs w:val="21"/>
                <w14:textFill>
                  <w14:solidFill>
                    <w14:schemeClr w14:val="tx1"/>
                  </w14:solidFill>
                </w14:textFill>
              </w:rPr>
              <w:fldChar w:fldCharType="end"/>
            </w:r>
          </w:p>
        </w:tc>
        <w:tc>
          <w:tcPr>
            <w:tcW w:w="1110" w:type="dxa"/>
            <w:tcMar>
              <w:left w:w="28" w:type="dxa"/>
              <w:right w:w="28" w:type="dxa"/>
            </w:tcMar>
            <w:vAlign w:val="center"/>
          </w:tcPr>
          <w:p w14:paraId="767ED66D">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t>变化量</w:t>
            </w:r>
          </w:p>
          <w:p w14:paraId="176C48CC">
            <w:pPr>
              <w:adjustRightInd w:val="0"/>
              <w:snapToGrid w:val="0"/>
              <w:jc w:val="center"/>
              <w:rPr>
                <w:rFonts w:hint="eastAsia" w:ascii="黑体" w:hAnsi="黑体" w:eastAsia="黑体"/>
                <w:snapToGrid w:val="0"/>
                <w:color w:val="000000" w:themeColor="text1"/>
                <w:spacing w:val="-6"/>
                <w:kern w:val="21"/>
                <w:szCs w:val="21"/>
                <w14:textFill>
                  <w14:solidFill>
                    <w14:schemeClr w14:val="tx1"/>
                  </w14:solidFill>
                </w14:textFill>
              </w:rPr>
            </w:pPr>
            <w:r>
              <w:rPr>
                <w:rFonts w:ascii="黑体" w:hAnsi="黑体" w:eastAsia="黑体"/>
                <w:snapToGrid w:val="0"/>
                <w:color w:val="000000" w:themeColor="text1"/>
                <w:spacing w:val="-6"/>
                <w:kern w:val="21"/>
                <w:szCs w:val="21"/>
                <w14:textFill>
                  <w14:solidFill>
                    <w14:schemeClr w14:val="tx1"/>
                  </w14:solidFill>
                </w14:textFill>
              </w:rPr>
              <w:fldChar w:fldCharType="begin"/>
            </w:r>
            <w:r>
              <w:rPr>
                <w:rFonts w:ascii="黑体" w:hAnsi="黑体" w:eastAsia="黑体"/>
                <w:snapToGrid w:val="0"/>
                <w:color w:val="000000" w:themeColor="text1"/>
                <w:spacing w:val="-6"/>
                <w:kern w:val="21"/>
                <w:szCs w:val="21"/>
                <w14:textFill>
                  <w14:solidFill>
                    <w14:schemeClr w14:val="tx1"/>
                  </w14:solidFill>
                </w14:textFill>
              </w:rPr>
              <w:instrText xml:space="preserve"> = 7 \* GB3 \* MERGEFORMAT </w:instrText>
            </w:r>
            <w:r>
              <w:rPr>
                <w:rFonts w:ascii="黑体" w:hAnsi="黑体" w:eastAsia="黑体"/>
                <w:snapToGrid w:val="0"/>
                <w:color w:val="000000" w:themeColor="text1"/>
                <w:spacing w:val="-6"/>
                <w:kern w:val="21"/>
                <w:szCs w:val="21"/>
                <w14:textFill>
                  <w14:solidFill>
                    <w14:schemeClr w14:val="tx1"/>
                  </w14:solidFill>
                </w14:textFill>
              </w:rPr>
              <w:fldChar w:fldCharType="separate"/>
            </w:r>
            <w:r>
              <w:rPr>
                <w:rFonts w:hint="eastAsia" w:ascii="黑体" w:hAnsi="黑体" w:eastAsia="黑体" w:cs="宋体"/>
                <w:color w:val="000000" w:themeColor="text1"/>
                <w:szCs w:val="21"/>
                <w14:textFill>
                  <w14:solidFill>
                    <w14:schemeClr w14:val="tx1"/>
                  </w14:solidFill>
                </w14:textFill>
              </w:rPr>
              <w:t>⑦</w:t>
            </w:r>
            <w:r>
              <w:rPr>
                <w:rFonts w:ascii="黑体" w:hAnsi="黑体" w:eastAsia="黑体"/>
                <w:snapToGrid w:val="0"/>
                <w:color w:val="000000" w:themeColor="text1"/>
                <w:spacing w:val="-6"/>
                <w:kern w:val="21"/>
                <w:szCs w:val="21"/>
                <w14:textFill>
                  <w14:solidFill>
                    <w14:schemeClr w14:val="tx1"/>
                  </w14:solidFill>
                </w14:textFill>
              </w:rPr>
              <w:fldChar w:fldCharType="end"/>
            </w:r>
          </w:p>
        </w:tc>
      </w:tr>
      <w:tr w14:paraId="66BF1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restart"/>
            <w:vAlign w:val="center"/>
          </w:tcPr>
          <w:p w14:paraId="0E5DF6F3">
            <w:pPr>
              <w:widowControl/>
              <w:jc w:val="center"/>
              <w:textAlignment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废气</w:t>
            </w:r>
          </w:p>
        </w:tc>
        <w:tc>
          <w:tcPr>
            <w:tcW w:w="1750" w:type="dxa"/>
            <w:vAlign w:val="top"/>
          </w:tcPr>
          <w:p w14:paraId="1624A254">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1658" w:type="dxa"/>
            <w:vAlign w:val="center"/>
          </w:tcPr>
          <w:p w14:paraId="406B34B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1.955 </w:t>
            </w:r>
          </w:p>
        </w:tc>
        <w:tc>
          <w:tcPr>
            <w:tcW w:w="1301" w:type="dxa"/>
            <w:vAlign w:val="center"/>
          </w:tcPr>
          <w:p w14:paraId="1DF85FE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677B0C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0D44A89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0.650 </w:t>
            </w:r>
          </w:p>
        </w:tc>
        <w:tc>
          <w:tcPr>
            <w:tcW w:w="1796" w:type="dxa"/>
            <w:vAlign w:val="center"/>
          </w:tcPr>
          <w:p w14:paraId="493CCB9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1.760 </w:t>
            </w:r>
          </w:p>
        </w:tc>
        <w:tc>
          <w:tcPr>
            <w:tcW w:w="1730" w:type="dxa"/>
            <w:vAlign w:val="center"/>
          </w:tcPr>
          <w:p w14:paraId="481A7C1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0.846 </w:t>
            </w:r>
          </w:p>
        </w:tc>
        <w:tc>
          <w:tcPr>
            <w:tcW w:w="1110" w:type="dxa"/>
            <w:vAlign w:val="center"/>
          </w:tcPr>
          <w:p w14:paraId="1E6CFC2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-1.110 </w:t>
            </w:r>
          </w:p>
        </w:tc>
      </w:tr>
      <w:tr w14:paraId="48D80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780EC966">
            <w:pPr>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top"/>
          </w:tcPr>
          <w:p w14:paraId="6AE56C03">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1658" w:type="dxa"/>
            <w:vAlign w:val="center"/>
          </w:tcPr>
          <w:p w14:paraId="0EDD13A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1.122 </w:t>
            </w:r>
          </w:p>
        </w:tc>
        <w:tc>
          <w:tcPr>
            <w:tcW w:w="1301" w:type="dxa"/>
            <w:vAlign w:val="center"/>
          </w:tcPr>
          <w:p w14:paraId="79AB10F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E4EE2C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3D5110C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929306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1.010 </w:t>
            </w:r>
          </w:p>
        </w:tc>
        <w:tc>
          <w:tcPr>
            <w:tcW w:w="1730" w:type="dxa"/>
            <w:vAlign w:val="center"/>
          </w:tcPr>
          <w:p w14:paraId="50ABAD4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0.112 </w:t>
            </w:r>
          </w:p>
        </w:tc>
        <w:tc>
          <w:tcPr>
            <w:tcW w:w="1110" w:type="dxa"/>
            <w:vAlign w:val="center"/>
          </w:tcPr>
          <w:p w14:paraId="1F8542D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-1.010 </w:t>
            </w:r>
          </w:p>
        </w:tc>
      </w:tr>
      <w:tr w14:paraId="75397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1287263E">
            <w:pPr>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top"/>
          </w:tcPr>
          <w:p w14:paraId="14147ABB">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x</w:t>
            </w:r>
          </w:p>
        </w:tc>
        <w:tc>
          <w:tcPr>
            <w:tcW w:w="1658" w:type="dxa"/>
            <w:vAlign w:val="center"/>
          </w:tcPr>
          <w:p w14:paraId="2E0131D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8.272 </w:t>
            </w:r>
          </w:p>
        </w:tc>
        <w:tc>
          <w:tcPr>
            <w:tcW w:w="1301" w:type="dxa"/>
            <w:vAlign w:val="center"/>
          </w:tcPr>
          <w:p w14:paraId="7417EAD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B8C3D5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7C4AEBE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0D0F55E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7.445 </w:t>
            </w:r>
          </w:p>
        </w:tc>
        <w:tc>
          <w:tcPr>
            <w:tcW w:w="1730" w:type="dxa"/>
            <w:vAlign w:val="center"/>
          </w:tcPr>
          <w:p w14:paraId="00CEAA0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0.827 </w:t>
            </w:r>
          </w:p>
        </w:tc>
        <w:tc>
          <w:tcPr>
            <w:tcW w:w="1110" w:type="dxa"/>
            <w:vAlign w:val="center"/>
          </w:tcPr>
          <w:p w14:paraId="291ADD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-7.445 </w:t>
            </w:r>
          </w:p>
        </w:tc>
      </w:tr>
      <w:tr w14:paraId="2D7A4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07551773">
            <w:pPr>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top"/>
          </w:tcPr>
          <w:p w14:paraId="57CA6C4A">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p>
        </w:tc>
        <w:tc>
          <w:tcPr>
            <w:tcW w:w="1658" w:type="dxa"/>
            <w:vAlign w:val="center"/>
          </w:tcPr>
          <w:p w14:paraId="7C81451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0.368 </w:t>
            </w:r>
          </w:p>
        </w:tc>
        <w:tc>
          <w:tcPr>
            <w:tcW w:w="1301" w:type="dxa"/>
            <w:vAlign w:val="center"/>
          </w:tcPr>
          <w:p w14:paraId="6A72B71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0464262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48907F3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0.467 </w:t>
            </w:r>
          </w:p>
        </w:tc>
        <w:tc>
          <w:tcPr>
            <w:tcW w:w="1796" w:type="dxa"/>
            <w:vAlign w:val="center"/>
          </w:tcPr>
          <w:p w14:paraId="3E1A42B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0.331 </w:t>
            </w:r>
          </w:p>
        </w:tc>
        <w:tc>
          <w:tcPr>
            <w:tcW w:w="1730" w:type="dxa"/>
            <w:vAlign w:val="center"/>
          </w:tcPr>
          <w:p w14:paraId="4EF4048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0.504 </w:t>
            </w:r>
          </w:p>
        </w:tc>
        <w:tc>
          <w:tcPr>
            <w:tcW w:w="1110" w:type="dxa"/>
            <w:vAlign w:val="center"/>
          </w:tcPr>
          <w:p w14:paraId="48F38F6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0.136 </w:t>
            </w:r>
          </w:p>
        </w:tc>
      </w:tr>
      <w:tr w14:paraId="728C4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241CA4F6">
            <w:pPr>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top"/>
          </w:tcPr>
          <w:p w14:paraId="63C80396">
            <w:pPr>
              <w:keepNext w:val="0"/>
              <w:keepLines w:val="0"/>
              <w:widowControl/>
              <w:suppressLineNumbers w:val="0"/>
              <w:jc w:val="center"/>
              <w:textAlignment w:val="top"/>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w:t>
            </w:r>
          </w:p>
        </w:tc>
        <w:tc>
          <w:tcPr>
            <w:tcW w:w="1658" w:type="dxa"/>
            <w:vAlign w:val="center"/>
          </w:tcPr>
          <w:p w14:paraId="2E5310B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0.070 </w:t>
            </w:r>
          </w:p>
        </w:tc>
        <w:tc>
          <w:tcPr>
            <w:tcW w:w="1301" w:type="dxa"/>
            <w:vAlign w:val="center"/>
          </w:tcPr>
          <w:p w14:paraId="559FFBE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5E4E90A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49452F5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0.300 </w:t>
            </w:r>
          </w:p>
        </w:tc>
        <w:tc>
          <w:tcPr>
            <w:tcW w:w="1796" w:type="dxa"/>
            <w:vAlign w:val="center"/>
          </w:tcPr>
          <w:p w14:paraId="717000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0.063 </w:t>
            </w:r>
          </w:p>
        </w:tc>
        <w:tc>
          <w:tcPr>
            <w:tcW w:w="1730" w:type="dxa"/>
            <w:vAlign w:val="center"/>
          </w:tcPr>
          <w:p w14:paraId="268D259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0.307 </w:t>
            </w:r>
          </w:p>
        </w:tc>
        <w:tc>
          <w:tcPr>
            <w:tcW w:w="1110" w:type="dxa"/>
            <w:vAlign w:val="center"/>
          </w:tcPr>
          <w:p w14:paraId="4E145B0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0.237 </w:t>
            </w:r>
          </w:p>
        </w:tc>
      </w:tr>
      <w:tr w14:paraId="73168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390" w:type="dxa"/>
            <w:vMerge w:val="continue"/>
            <w:vAlign w:val="center"/>
          </w:tcPr>
          <w:p w14:paraId="687196CD">
            <w:pPr>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288C5FC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油烟kg/a</w:t>
            </w:r>
          </w:p>
        </w:tc>
        <w:tc>
          <w:tcPr>
            <w:tcW w:w="1658" w:type="dxa"/>
            <w:vAlign w:val="center"/>
          </w:tcPr>
          <w:p w14:paraId="1DF36DF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2.264 </w:t>
            </w:r>
          </w:p>
        </w:tc>
        <w:tc>
          <w:tcPr>
            <w:tcW w:w="1301" w:type="dxa"/>
            <w:vAlign w:val="center"/>
          </w:tcPr>
          <w:p w14:paraId="47006B1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82065A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1984045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0.023 </w:t>
            </w:r>
          </w:p>
        </w:tc>
        <w:tc>
          <w:tcPr>
            <w:tcW w:w="1796" w:type="dxa"/>
            <w:vAlign w:val="center"/>
          </w:tcPr>
          <w:p w14:paraId="64B3FCB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06922F4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2.287 </w:t>
            </w:r>
          </w:p>
        </w:tc>
        <w:tc>
          <w:tcPr>
            <w:tcW w:w="1110" w:type="dxa"/>
            <w:vAlign w:val="center"/>
          </w:tcPr>
          <w:p w14:paraId="142097C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0.023 </w:t>
            </w:r>
          </w:p>
        </w:tc>
      </w:tr>
      <w:tr w14:paraId="2D5CB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restart"/>
            <w:vAlign w:val="center"/>
          </w:tcPr>
          <w:p w14:paraId="7CC001F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废水</w:t>
            </w:r>
          </w:p>
        </w:tc>
        <w:tc>
          <w:tcPr>
            <w:tcW w:w="1750" w:type="dxa"/>
            <w:vAlign w:val="center"/>
          </w:tcPr>
          <w:p w14:paraId="29B2A388">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w:t>
            </w:r>
          </w:p>
        </w:tc>
        <w:tc>
          <w:tcPr>
            <w:tcW w:w="1658" w:type="dxa"/>
            <w:vAlign w:val="center"/>
          </w:tcPr>
          <w:p w14:paraId="560530C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237486.276 </w:t>
            </w:r>
          </w:p>
        </w:tc>
        <w:tc>
          <w:tcPr>
            <w:tcW w:w="1301" w:type="dxa"/>
            <w:vAlign w:val="center"/>
          </w:tcPr>
          <w:p w14:paraId="62C5557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ECD5A4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4943B6A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5599.720 </w:t>
            </w:r>
          </w:p>
        </w:tc>
        <w:tc>
          <w:tcPr>
            <w:tcW w:w="1796" w:type="dxa"/>
            <w:vAlign w:val="center"/>
          </w:tcPr>
          <w:p w14:paraId="50E3536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7188.144 </w:t>
            </w:r>
          </w:p>
        </w:tc>
        <w:tc>
          <w:tcPr>
            <w:tcW w:w="1730" w:type="dxa"/>
            <w:vAlign w:val="center"/>
          </w:tcPr>
          <w:p w14:paraId="341ED10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235897.852 </w:t>
            </w:r>
          </w:p>
        </w:tc>
        <w:tc>
          <w:tcPr>
            <w:tcW w:w="1110" w:type="dxa"/>
            <w:vAlign w:val="center"/>
          </w:tcPr>
          <w:p w14:paraId="65ED3AC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-1588.424 </w:t>
            </w:r>
          </w:p>
        </w:tc>
      </w:tr>
      <w:tr w14:paraId="7CFFD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42637897">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2098757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生活污水</w:t>
            </w:r>
          </w:p>
        </w:tc>
        <w:tc>
          <w:tcPr>
            <w:tcW w:w="1658" w:type="dxa"/>
            <w:vAlign w:val="center"/>
          </w:tcPr>
          <w:p w14:paraId="0A4ABF7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909.756 </w:t>
            </w:r>
          </w:p>
        </w:tc>
        <w:tc>
          <w:tcPr>
            <w:tcW w:w="1301" w:type="dxa"/>
            <w:vAlign w:val="center"/>
          </w:tcPr>
          <w:p w14:paraId="5642D8C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0B6E4E1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73214CF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47.952 </w:t>
            </w:r>
          </w:p>
        </w:tc>
        <w:tc>
          <w:tcPr>
            <w:tcW w:w="1796" w:type="dxa"/>
            <w:vAlign w:val="center"/>
          </w:tcPr>
          <w:p w14:paraId="6476686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05078A4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957.708 </w:t>
            </w:r>
          </w:p>
        </w:tc>
        <w:tc>
          <w:tcPr>
            <w:tcW w:w="1110" w:type="dxa"/>
            <w:vAlign w:val="center"/>
          </w:tcPr>
          <w:p w14:paraId="5E12156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47.952 </w:t>
            </w:r>
          </w:p>
        </w:tc>
      </w:tr>
      <w:tr w14:paraId="22B83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restart"/>
            <w:vAlign w:val="center"/>
          </w:tcPr>
          <w:p w14:paraId="4FFBECE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一般工业</w:t>
            </w:r>
          </w:p>
          <w:p w14:paraId="67E26857">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固体废物</w:t>
            </w:r>
          </w:p>
        </w:tc>
        <w:tc>
          <w:tcPr>
            <w:tcW w:w="1750" w:type="dxa"/>
            <w:vAlign w:val="center"/>
          </w:tcPr>
          <w:p w14:paraId="09003068">
            <w:pPr>
              <w:keepNext w:val="0"/>
              <w:keepLines w:val="0"/>
              <w:widowControl/>
              <w:suppressLineNumbers w:val="0"/>
              <w:jc w:val="center"/>
              <w:textAlignment w:val="center"/>
              <w:rPr>
                <w:color w:val="000000" w:themeColor="text1"/>
                <w:kern w:val="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生活垃圾</w:t>
            </w:r>
          </w:p>
        </w:tc>
        <w:tc>
          <w:tcPr>
            <w:tcW w:w="1658" w:type="dxa"/>
            <w:vAlign w:val="center"/>
          </w:tcPr>
          <w:p w14:paraId="3329FF8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6.670 </w:t>
            </w:r>
          </w:p>
        </w:tc>
        <w:tc>
          <w:tcPr>
            <w:tcW w:w="1301" w:type="dxa"/>
            <w:vAlign w:val="center"/>
          </w:tcPr>
          <w:p w14:paraId="285634A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C338EE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593B62C6">
            <w:pPr>
              <w:keepNext w:val="0"/>
              <w:keepLines w:val="0"/>
              <w:widowControl/>
              <w:suppressLineNumbers w:val="0"/>
              <w:jc w:val="center"/>
              <w:textAlignment w:val="center"/>
              <w:rPr>
                <w:color w:val="000000" w:themeColor="text1"/>
                <w:kern w:val="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0.999 </w:t>
            </w:r>
          </w:p>
        </w:tc>
        <w:tc>
          <w:tcPr>
            <w:tcW w:w="1796" w:type="dxa"/>
            <w:vAlign w:val="center"/>
          </w:tcPr>
          <w:p w14:paraId="32490E9B">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3F609E7B">
            <w:pPr>
              <w:keepNext w:val="0"/>
              <w:keepLines w:val="0"/>
              <w:widowControl/>
              <w:suppressLineNumbers w:val="0"/>
              <w:jc w:val="center"/>
              <w:textAlignment w:val="center"/>
              <w:rPr>
                <w:color w:val="000000" w:themeColor="text1"/>
                <w:kern w:val="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7.669 </w:t>
            </w:r>
          </w:p>
        </w:tc>
        <w:tc>
          <w:tcPr>
            <w:tcW w:w="1110" w:type="dxa"/>
            <w:vAlign w:val="center"/>
          </w:tcPr>
          <w:p w14:paraId="062A5755">
            <w:pPr>
              <w:keepNext w:val="0"/>
              <w:keepLines w:val="0"/>
              <w:widowControl/>
              <w:suppressLineNumbers w:val="0"/>
              <w:jc w:val="center"/>
              <w:textAlignment w:val="center"/>
              <w:rPr>
                <w:color w:val="000000" w:themeColor="text1"/>
                <w:kern w:val="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0.999 </w:t>
            </w:r>
          </w:p>
        </w:tc>
      </w:tr>
      <w:tr w14:paraId="4D870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4746BF4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1526D335">
            <w:pPr>
              <w:keepNext w:val="0"/>
              <w:keepLines w:val="0"/>
              <w:widowControl/>
              <w:suppressLineNumbers w:val="0"/>
              <w:jc w:val="center"/>
              <w:textAlignment w:val="center"/>
              <w:rPr>
                <w:snapToGrid w:val="0"/>
                <w:color w:val="000000" w:themeColor="text1"/>
                <w:kern w:val="0"/>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厨房废水隔油器废油</w:t>
            </w:r>
          </w:p>
        </w:tc>
        <w:tc>
          <w:tcPr>
            <w:tcW w:w="1658" w:type="dxa"/>
            <w:vAlign w:val="center"/>
          </w:tcPr>
          <w:p w14:paraId="33291C78">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c>
          <w:tcPr>
            <w:tcW w:w="1301" w:type="dxa"/>
            <w:vAlign w:val="center"/>
          </w:tcPr>
          <w:p w14:paraId="2550284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0613485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05C5F980">
            <w:pPr>
              <w:keepNext w:val="0"/>
              <w:keepLines w:val="0"/>
              <w:widowControl/>
              <w:suppressLineNumbers w:val="0"/>
              <w:jc w:val="center"/>
              <w:textAlignment w:val="center"/>
              <w:rPr>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c>
          <w:tcPr>
            <w:tcW w:w="1796" w:type="dxa"/>
            <w:vAlign w:val="center"/>
          </w:tcPr>
          <w:p w14:paraId="267B36A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5EF871BC">
            <w:pPr>
              <w:keepNext w:val="0"/>
              <w:keepLines w:val="0"/>
              <w:widowControl/>
              <w:suppressLineNumbers w:val="0"/>
              <w:jc w:val="center"/>
              <w:textAlignment w:val="center"/>
              <w:rPr>
                <w:snapToGrid w:val="0"/>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0.090 </w:t>
            </w:r>
          </w:p>
        </w:tc>
        <w:tc>
          <w:tcPr>
            <w:tcW w:w="1110" w:type="dxa"/>
            <w:vAlign w:val="center"/>
          </w:tcPr>
          <w:p w14:paraId="7ABA3A91">
            <w:pPr>
              <w:keepNext w:val="0"/>
              <w:keepLines w:val="0"/>
              <w:widowControl/>
              <w:suppressLineNumbers w:val="0"/>
              <w:jc w:val="center"/>
              <w:textAlignment w:val="center"/>
              <w:rPr>
                <w:snapToGrid w:val="0"/>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r>
      <w:tr w14:paraId="11EFF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4BC4FEB5">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7E63D089">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厨余垃圾</w:t>
            </w:r>
          </w:p>
        </w:tc>
        <w:tc>
          <w:tcPr>
            <w:tcW w:w="1658" w:type="dxa"/>
            <w:vAlign w:val="center"/>
          </w:tcPr>
          <w:p w14:paraId="3D0FE9D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1.670 </w:t>
            </w:r>
          </w:p>
        </w:tc>
        <w:tc>
          <w:tcPr>
            <w:tcW w:w="1301" w:type="dxa"/>
            <w:vAlign w:val="center"/>
          </w:tcPr>
          <w:p w14:paraId="6F3F24E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9159B1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35642284">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0.200 </w:t>
            </w:r>
          </w:p>
        </w:tc>
        <w:tc>
          <w:tcPr>
            <w:tcW w:w="1796" w:type="dxa"/>
            <w:vAlign w:val="center"/>
          </w:tcPr>
          <w:p w14:paraId="5DC55F6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5BC6A26F">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1.870 </w:t>
            </w:r>
          </w:p>
        </w:tc>
        <w:tc>
          <w:tcPr>
            <w:tcW w:w="1110" w:type="dxa"/>
            <w:vAlign w:val="center"/>
          </w:tcPr>
          <w:p w14:paraId="03E3A030">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0.200 </w:t>
            </w:r>
          </w:p>
        </w:tc>
      </w:tr>
      <w:tr w14:paraId="5DA4F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4C3764F1">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06E0A4B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化粪池污泥</w:t>
            </w:r>
          </w:p>
        </w:tc>
        <w:tc>
          <w:tcPr>
            <w:tcW w:w="1658" w:type="dxa"/>
            <w:vAlign w:val="center"/>
          </w:tcPr>
          <w:p w14:paraId="5C96A37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0.906 </w:t>
            </w:r>
          </w:p>
        </w:tc>
        <w:tc>
          <w:tcPr>
            <w:tcW w:w="1301" w:type="dxa"/>
            <w:vAlign w:val="center"/>
          </w:tcPr>
          <w:p w14:paraId="7A6D789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746E316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7C2E93C7">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0.047 </w:t>
            </w:r>
          </w:p>
        </w:tc>
        <w:tc>
          <w:tcPr>
            <w:tcW w:w="1796" w:type="dxa"/>
            <w:vAlign w:val="center"/>
          </w:tcPr>
          <w:p w14:paraId="6C961F4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51926B4B">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0.953 </w:t>
            </w:r>
          </w:p>
        </w:tc>
        <w:tc>
          <w:tcPr>
            <w:tcW w:w="1110" w:type="dxa"/>
            <w:vAlign w:val="center"/>
          </w:tcPr>
          <w:p w14:paraId="0F1705AA">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0.047 </w:t>
            </w:r>
          </w:p>
        </w:tc>
      </w:tr>
      <w:tr w14:paraId="087AA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21A7239E">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bookmarkStart w:id="72" w:name="_Toc31070"/>
          </w:p>
        </w:tc>
        <w:tc>
          <w:tcPr>
            <w:tcW w:w="1750" w:type="dxa"/>
            <w:vAlign w:val="center"/>
          </w:tcPr>
          <w:p w14:paraId="2300B47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生产废水处理系统污泥</w:t>
            </w:r>
          </w:p>
        </w:tc>
        <w:tc>
          <w:tcPr>
            <w:tcW w:w="1658" w:type="dxa"/>
            <w:vAlign w:val="center"/>
          </w:tcPr>
          <w:p w14:paraId="7EA2BD1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2.000 </w:t>
            </w:r>
          </w:p>
        </w:tc>
        <w:tc>
          <w:tcPr>
            <w:tcW w:w="1301" w:type="dxa"/>
            <w:vAlign w:val="center"/>
          </w:tcPr>
          <w:p w14:paraId="1D398DF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4BF2BDC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4D42A392">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2BB4FB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3CEA3783">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2.000 </w:t>
            </w:r>
          </w:p>
        </w:tc>
        <w:tc>
          <w:tcPr>
            <w:tcW w:w="1110" w:type="dxa"/>
            <w:vAlign w:val="center"/>
          </w:tcPr>
          <w:p w14:paraId="7ED78B03">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r>
      <w:tr w14:paraId="7BC3C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264A82EF">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45A4003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生物质燃烧灰渣</w:t>
            </w:r>
          </w:p>
        </w:tc>
        <w:tc>
          <w:tcPr>
            <w:tcW w:w="1658" w:type="dxa"/>
            <w:vAlign w:val="center"/>
          </w:tcPr>
          <w:p w14:paraId="102AC43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180.000 </w:t>
            </w:r>
          </w:p>
        </w:tc>
        <w:tc>
          <w:tcPr>
            <w:tcW w:w="1301" w:type="dxa"/>
            <w:vAlign w:val="center"/>
          </w:tcPr>
          <w:p w14:paraId="50B199B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95A7ADD">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7C8CF148">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82668D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162.000 </w:t>
            </w:r>
          </w:p>
        </w:tc>
        <w:tc>
          <w:tcPr>
            <w:tcW w:w="1730" w:type="dxa"/>
            <w:vAlign w:val="center"/>
          </w:tcPr>
          <w:p w14:paraId="7FA0A3A0">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18.000 </w:t>
            </w:r>
          </w:p>
        </w:tc>
        <w:tc>
          <w:tcPr>
            <w:tcW w:w="1110" w:type="dxa"/>
            <w:vAlign w:val="center"/>
          </w:tcPr>
          <w:p w14:paraId="26A054F2">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-162.000 </w:t>
            </w:r>
          </w:p>
        </w:tc>
      </w:tr>
      <w:tr w14:paraId="45B60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5B31E679">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47039456">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收尘渣</w:t>
            </w:r>
          </w:p>
        </w:tc>
        <w:tc>
          <w:tcPr>
            <w:tcW w:w="1658" w:type="dxa"/>
            <w:vAlign w:val="center"/>
          </w:tcPr>
          <w:p w14:paraId="6E3484C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7.000 </w:t>
            </w:r>
          </w:p>
        </w:tc>
        <w:tc>
          <w:tcPr>
            <w:tcW w:w="1301" w:type="dxa"/>
            <w:vAlign w:val="center"/>
          </w:tcPr>
          <w:p w14:paraId="40365EF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C1D166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34220554">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566F187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6.300 </w:t>
            </w:r>
          </w:p>
        </w:tc>
        <w:tc>
          <w:tcPr>
            <w:tcW w:w="1730" w:type="dxa"/>
            <w:vAlign w:val="center"/>
          </w:tcPr>
          <w:p w14:paraId="2ADAA904">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0.700 </w:t>
            </w:r>
          </w:p>
        </w:tc>
        <w:tc>
          <w:tcPr>
            <w:tcW w:w="1110" w:type="dxa"/>
            <w:vAlign w:val="center"/>
          </w:tcPr>
          <w:p w14:paraId="05A66E3B">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-6.300 </w:t>
            </w:r>
          </w:p>
        </w:tc>
      </w:tr>
      <w:tr w14:paraId="73D82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24518DB1">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3228FE2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废活性炭</w:t>
            </w:r>
          </w:p>
        </w:tc>
        <w:tc>
          <w:tcPr>
            <w:tcW w:w="1658" w:type="dxa"/>
            <w:vAlign w:val="center"/>
          </w:tcPr>
          <w:p w14:paraId="1945B3A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12.000 </w:t>
            </w:r>
          </w:p>
        </w:tc>
        <w:tc>
          <w:tcPr>
            <w:tcW w:w="1301" w:type="dxa"/>
            <w:vAlign w:val="center"/>
          </w:tcPr>
          <w:p w14:paraId="784261D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50854F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2E07BA19">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96" w:type="dxa"/>
            <w:vAlign w:val="center"/>
          </w:tcPr>
          <w:p w14:paraId="07B1F6B2">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72103804">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12.000 </w:t>
            </w:r>
          </w:p>
        </w:tc>
        <w:tc>
          <w:tcPr>
            <w:tcW w:w="1110" w:type="dxa"/>
            <w:vAlign w:val="center"/>
          </w:tcPr>
          <w:p w14:paraId="0F9223FA">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r>
      <w:tr w14:paraId="7DFFD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54FC4B84">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58B5584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不合格产品</w:t>
            </w:r>
          </w:p>
        </w:tc>
        <w:tc>
          <w:tcPr>
            <w:tcW w:w="1658" w:type="dxa"/>
            <w:vAlign w:val="center"/>
          </w:tcPr>
          <w:p w14:paraId="482866E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301" w:type="dxa"/>
            <w:vAlign w:val="center"/>
          </w:tcPr>
          <w:p w14:paraId="21B98E5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3DEE1AC5">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6400279B">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c>
          <w:tcPr>
            <w:tcW w:w="1796" w:type="dxa"/>
            <w:vAlign w:val="center"/>
          </w:tcPr>
          <w:p w14:paraId="3A149BE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14B27B06">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c>
          <w:tcPr>
            <w:tcW w:w="1110" w:type="dxa"/>
            <w:vAlign w:val="center"/>
          </w:tcPr>
          <w:p w14:paraId="3347274C">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880.000 </w:t>
            </w:r>
          </w:p>
        </w:tc>
      </w:tr>
      <w:tr w14:paraId="30AF8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14C62664">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7DEC1BC8">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沉降粉尘</w:t>
            </w:r>
          </w:p>
        </w:tc>
        <w:tc>
          <w:tcPr>
            <w:tcW w:w="1658" w:type="dxa"/>
            <w:vAlign w:val="center"/>
          </w:tcPr>
          <w:p w14:paraId="7149C3D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301" w:type="dxa"/>
            <w:vAlign w:val="center"/>
          </w:tcPr>
          <w:p w14:paraId="710E6E3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F27806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4A6DF035">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c>
          <w:tcPr>
            <w:tcW w:w="1796" w:type="dxa"/>
            <w:vAlign w:val="center"/>
          </w:tcPr>
          <w:p w14:paraId="287AC1F1">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76CDE2BE">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c>
          <w:tcPr>
            <w:tcW w:w="1110" w:type="dxa"/>
            <w:vAlign w:val="center"/>
          </w:tcPr>
          <w:p w14:paraId="49C7D76C">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28.950 </w:t>
            </w:r>
          </w:p>
        </w:tc>
      </w:tr>
      <w:tr w14:paraId="5CCC2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Merge w:val="continue"/>
            <w:vAlign w:val="center"/>
          </w:tcPr>
          <w:p w14:paraId="4B6654FF">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p>
        </w:tc>
        <w:tc>
          <w:tcPr>
            <w:tcW w:w="1750" w:type="dxa"/>
            <w:vAlign w:val="center"/>
          </w:tcPr>
          <w:p w14:paraId="69E6340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废包装物</w:t>
            </w:r>
          </w:p>
        </w:tc>
        <w:tc>
          <w:tcPr>
            <w:tcW w:w="1658" w:type="dxa"/>
            <w:vAlign w:val="center"/>
          </w:tcPr>
          <w:p w14:paraId="3CDB21E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301" w:type="dxa"/>
            <w:vAlign w:val="center"/>
          </w:tcPr>
          <w:p w14:paraId="08DF88B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6FFE61E3">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5E514D25">
            <w:pPr>
              <w:keepNext w:val="0"/>
              <w:keepLines w:val="0"/>
              <w:widowControl/>
              <w:suppressLineNumbers w:val="0"/>
              <w:jc w:val="center"/>
              <w:textAlignment w:val="center"/>
              <w:rPr>
                <w:color w:val="000000" w:themeColor="text1"/>
                <w:kern w:val="0"/>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c>
          <w:tcPr>
            <w:tcW w:w="1796" w:type="dxa"/>
            <w:vAlign w:val="center"/>
          </w:tcPr>
          <w:p w14:paraId="37D1176F">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5BDCCCA6">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c>
          <w:tcPr>
            <w:tcW w:w="1110" w:type="dxa"/>
            <w:vAlign w:val="center"/>
          </w:tcPr>
          <w:p w14:paraId="11282242">
            <w:pPr>
              <w:keepNext w:val="0"/>
              <w:keepLines w:val="0"/>
              <w:widowControl/>
              <w:suppressLineNumbers w:val="0"/>
              <w:jc w:val="center"/>
              <w:textAlignment w:val="center"/>
              <w:rPr>
                <w:color w:val="000000" w:themeColor="text1"/>
                <w:sz w:val="24"/>
                <w:szCs w:val="32"/>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97.000 </w:t>
            </w:r>
          </w:p>
        </w:tc>
      </w:tr>
      <w:tr w14:paraId="66CD6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0" w:type="dxa"/>
            <w:vAlign w:val="center"/>
          </w:tcPr>
          <w:p w14:paraId="3B8A6C5A">
            <w:pPr>
              <w:adjustRightInd w:val="0"/>
              <w:snapToGrid w:val="0"/>
              <w:jc w:val="center"/>
              <w:rPr>
                <w:rFonts w:hint="eastAsia" w:ascii="宋体" w:hAnsi="宋体" w:cs="宋体"/>
                <w:snapToGrid w:val="0"/>
                <w:color w:val="000000" w:themeColor="text1"/>
                <w:kern w:val="21"/>
                <w:szCs w:val="21"/>
                <w14:textFill>
                  <w14:solidFill>
                    <w14:schemeClr w14:val="tx1"/>
                  </w14:solidFill>
                </w14:textFill>
              </w:rPr>
            </w:pPr>
            <w:r>
              <w:rPr>
                <w:rFonts w:hint="eastAsia" w:ascii="宋体" w:hAnsi="宋体" w:cs="宋体"/>
                <w:snapToGrid w:val="0"/>
                <w:color w:val="000000" w:themeColor="text1"/>
                <w:kern w:val="21"/>
                <w:szCs w:val="21"/>
                <w14:textFill>
                  <w14:solidFill>
                    <w14:schemeClr w14:val="tx1"/>
                  </w14:solidFill>
                </w14:textFill>
              </w:rPr>
              <w:t>危险废物</w:t>
            </w:r>
          </w:p>
        </w:tc>
        <w:tc>
          <w:tcPr>
            <w:tcW w:w="1750" w:type="dxa"/>
            <w:vAlign w:val="center"/>
          </w:tcPr>
          <w:p w14:paraId="2A886CE7">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废机油</w:t>
            </w:r>
          </w:p>
        </w:tc>
        <w:tc>
          <w:tcPr>
            <w:tcW w:w="1658" w:type="dxa"/>
            <w:vAlign w:val="center"/>
          </w:tcPr>
          <w:p w14:paraId="4FDE81F9">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0.050 </w:t>
            </w:r>
          </w:p>
        </w:tc>
        <w:tc>
          <w:tcPr>
            <w:tcW w:w="1301" w:type="dxa"/>
            <w:vAlign w:val="center"/>
          </w:tcPr>
          <w:p w14:paraId="7A325AA4">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735" w:type="dxa"/>
            <w:vAlign w:val="center"/>
          </w:tcPr>
          <w:p w14:paraId="1BAA20B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590" w:type="dxa"/>
            <w:vAlign w:val="center"/>
          </w:tcPr>
          <w:p w14:paraId="79C89D40">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 </w:t>
            </w:r>
          </w:p>
        </w:tc>
        <w:tc>
          <w:tcPr>
            <w:tcW w:w="1796" w:type="dxa"/>
            <w:vAlign w:val="center"/>
          </w:tcPr>
          <w:p w14:paraId="07F56CAC">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730" w:type="dxa"/>
            <w:vAlign w:val="center"/>
          </w:tcPr>
          <w:p w14:paraId="4C3B4B3E">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0.060 </w:t>
            </w:r>
          </w:p>
        </w:tc>
        <w:tc>
          <w:tcPr>
            <w:tcW w:w="1110" w:type="dxa"/>
            <w:vAlign w:val="center"/>
          </w:tcPr>
          <w:p w14:paraId="5902D98A">
            <w:pPr>
              <w:keepNext w:val="0"/>
              <w:keepLines w:val="0"/>
              <w:widowControl/>
              <w:suppressLineNumbers w:val="0"/>
              <w:jc w:val="center"/>
              <w:textAlignment w:val="center"/>
              <w:rPr>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 </w:t>
            </w:r>
          </w:p>
        </w:tc>
      </w:tr>
    </w:tbl>
    <w:p w14:paraId="2B5C84BD">
      <w:pPr>
        <w:adjustRightInd w:val="0"/>
        <w:snapToGrid w:val="0"/>
        <w:spacing w:before="192" w:beforeLines="80" w:after="24" w:afterLines="10" w:line="260" w:lineRule="auto"/>
        <w:jc w:val="left"/>
        <w:rPr>
          <w:rFonts w:hint="eastAsia" w:hAnsi="宋体"/>
          <w:snapToGrid w:val="0"/>
          <w:color w:val="000000" w:themeColor="text1"/>
          <w:spacing w:val="-6"/>
          <w:kern w:val="21"/>
          <w:szCs w:val="21"/>
          <w14:textFill>
            <w14:solidFill>
              <w14:schemeClr w14:val="tx1"/>
            </w14:solidFill>
          </w14:textFill>
        </w:rPr>
      </w:pPr>
      <w:r>
        <w:rPr>
          <w:rFonts w:ascii="宋体" w:hAnsi="宋体"/>
          <w:snapToGrid w:val="0"/>
          <w:color w:val="000000" w:themeColor="text1"/>
          <w:kern w:val="21"/>
          <w:szCs w:val="21"/>
          <w14:textFill>
            <w14:solidFill>
              <w14:schemeClr w14:val="tx1"/>
            </w14:solidFill>
          </w14:textFill>
        </w:rPr>
        <w:t>注：</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③</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④</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⑤</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⑦</w:t>
      </w:r>
      <w:r>
        <w:rPr>
          <w:rFonts w:ascii="宋体" w:hAnsi="宋体"/>
          <w:snapToGrid w:val="0"/>
          <w:color w:val="000000" w:themeColor="text1"/>
          <w:spacing w:val="-6"/>
          <w:kern w:val="21"/>
          <w:szCs w:val="21"/>
          <w14:textFill>
            <w14:solidFill>
              <w14:schemeClr w14:val="tx1"/>
            </w14:solidFill>
          </w14:textFill>
        </w:rPr>
        <w:fldChar w:fldCharType="end"/>
      </w:r>
      <w:r>
        <w:rPr>
          <w:rFonts w:ascii="宋体" w:hAnsi="宋体"/>
          <w:snapToGrid w:val="0"/>
          <w:color w:val="000000" w:themeColor="text1"/>
          <w:spacing w:val="-6"/>
          <w:kern w:val="21"/>
          <w:szCs w:val="21"/>
          <w14:textFill>
            <w14:solidFill>
              <w14:schemeClr w14:val="tx1"/>
            </w14:solidFill>
          </w14:textFill>
        </w:rPr>
        <w:t>=</w:t>
      </w:r>
      <w:r>
        <w:rPr>
          <w:rFonts w:ascii="宋体" w:hAnsi="宋体"/>
          <w:snapToGrid w:val="0"/>
          <w:color w:val="000000" w:themeColor="text1"/>
          <w:spacing w:val="-16"/>
          <w:kern w:val="21"/>
          <w:szCs w:val="21"/>
          <w14:textFill>
            <w14:solidFill>
              <w14:schemeClr w14:val="tx1"/>
            </w14:solidFill>
          </w14:textFill>
        </w:rPr>
        <w:fldChar w:fldCharType="begin"/>
      </w:r>
      <w:r>
        <w:rPr>
          <w:rFonts w:ascii="宋体" w:hAnsi="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snapToGrid w:val="0"/>
          <w:color w:val="000000" w:themeColor="text1"/>
          <w:spacing w:val="-1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⑥</w:t>
      </w:r>
      <w:r>
        <w:rPr>
          <w:rFonts w:ascii="宋体" w:hAnsi="宋体"/>
          <w:snapToGrid w:val="0"/>
          <w:color w:val="000000" w:themeColor="text1"/>
          <w:spacing w:val="-16"/>
          <w:kern w:val="21"/>
          <w:szCs w:val="21"/>
          <w14:textFill>
            <w14:solidFill>
              <w14:schemeClr w14:val="tx1"/>
            </w14:solidFill>
          </w14:textFill>
        </w:rPr>
        <w:fldChar w:fldCharType="end"/>
      </w:r>
      <w:r>
        <w:rPr>
          <w:rFonts w:ascii="宋体" w:hAnsi="宋体"/>
          <w:snapToGrid w:val="0"/>
          <w:color w:val="000000" w:themeColor="text1"/>
          <w:spacing w:val="-16"/>
          <w:kern w:val="21"/>
          <w:szCs w:val="21"/>
          <w14:textFill>
            <w14:solidFill>
              <w14:schemeClr w14:val="tx1"/>
            </w14:solidFill>
          </w14:textFill>
        </w:rPr>
        <w:t>-</w:t>
      </w:r>
      <w:r>
        <w:rPr>
          <w:rFonts w:ascii="宋体" w:hAnsi="宋体"/>
          <w:snapToGrid w:val="0"/>
          <w:color w:val="000000" w:themeColor="text1"/>
          <w:spacing w:val="-6"/>
          <w:kern w:val="21"/>
          <w:szCs w:val="21"/>
          <w14:textFill>
            <w14:solidFill>
              <w14:schemeClr w14:val="tx1"/>
            </w14:solidFill>
          </w14:textFill>
        </w:rPr>
        <w:fldChar w:fldCharType="begin"/>
      </w:r>
      <w:r>
        <w:rPr>
          <w:rFonts w:ascii="宋体" w:hAnsi="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snapToGrid w:val="0"/>
          <w:color w:val="000000" w:themeColor="text1"/>
          <w:spacing w:val="-6"/>
          <w:kern w:val="21"/>
          <w:szCs w:val="21"/>
          <w14:textFill>
            <w14:solidFill>
              <w14:schemeClr w14:val="tx1"/>
            </w14:solidFill>
          </w14:textFill>
        </w:rPr>
        <w:fldChar w:fldCharType="separate"/>
      </w:r>
      <w:r>
        <w:rPr>
          <w:rFonts w:hint="eastAsia" w:ascii="宋体" w:hAnsi="宋体"/>
          <w:color w:val="000000" w:themeColor="text1"/>
          <w:kern w:val="0"/>
          <w:szCs w:val="21"/>
          <w14:textFill>
            <w14:solidFill>
              <w14:schemeClr w14:val="tx1"/>
            </w14:solidFill>
          </w14:textFill>
        </w:rPr>
        <w:t>①</w:t>
      </w:r>
      <w:r>
        <w:rPr>
          <w:rFonts w:ascii="宋体" w:hAnsi="宋体"/>
          <w:snapToGrid w:val="0"/>
          <w:color w:val="000000" w:themeColor="text1"/>
          <w:spacing w:val="-6"/>
          <w:kern w:val="21"/>
          <w:szCs w:val="21"/>
          <w14:textFill>
            <w14:solidFill>
              <w14:schemeClr w14:val="tx1"/>
            </w14:solidFill>
          </w14:textFill>
        </w:rPr>
        <w:fldChar w:fldCharType="end"/>
      </w:r>
      <w:bookmarkEnd w:id="72"/>
    </w:p>
    <w:sectPr>
      <w:footerReference r:id="rId7" w:type="default"/>
      <w:pgSz w:w="16838" w:h="11906" w:orient="landscape"/>
      <w:pgMar w:top="1327" w:right="1800" w:bottom="1440" w:left="180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DC7F47-5A5C-4E72-868D-4A2323E066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06FFB9B-FA81-4743-98FA-AE2C83730F41}"/>
  </w:font>
  <w:font w:name="仿宋_GB2312">
    <w:altName w:val="仿宋"/>
    <w:panose1 w:val="0201060903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A524313E-790F-4F6D-8C33-4638364F13C1}"/>
  </w:font>
  <w:font w:name="方正小标宋_GBK">
    <w:panose1 w:val="02000000000000000000"/>
    <w:charset w:val="86"/>
    <w:family w:val="script"/>
    <w:pitch w:val="default"/>
    <w:sig w:usb0="A00002BF" w:usb1="38CF7CFA" w:usb2="00082016" w:usb3="00000000" w:csb0="00040001" w:csb1="00000000"/>
    <w:embedRegular r:id="rId4" w:fontKey="{EA32B935-F6FD-4892-9F04-A97920871E14}"/>
  </w:font>
  <w:font w:name="华文仿宋">
    <w:panose1 w:val="02010600040101010101"/>
    <w:charset w:val="86"/>
    <w:family w:val="auto"/>
    <w:pitch w:val="default"/>
    <w:sig w:usb0="00000287" w:usb1="080F0000" w:usb2="00000000" w:usb3="00000000" w:csb0="0004009F" w:csb1="DFD70000"/>
    <w:embedRegular r:id="rId5" w:fontKey="{C96C24A3-CD45-4B3C-85DE-E8366751E34D}"/>
  </w:font>
  <w:font w:name="仿宋">
    <w:panose1 w:val="02010609060101010101"/>
    <w:charset w:val="86"/>
    <w:family w:val="auto"/>
    <w:pitch w:val="default"/>
    <w:sig w:usb0="800002BF" w:usb1="38CF7CFA" w:usb2="00000016" w:usb3="00000000" w:csb0="00040001" w:csb1="00000000"/>
    <w:embedRegular r:id="rId6" w:fontKey="{13760989-6055-4CDC-899C-9230EF984506}"/>
  </w:font>
  <w:font w:name="楷体">
    <w:panose1 w:val="02010609060101010101"/>
    <w:charset w:val="86"/>
    <w:family w:val="auto"/>
    <w:pitch w:val="default"/>
    <w:sig w:usb0="800002BF" w:usb1="38CF7CFA" w:usb2="00000016" w:usb3="00000000" w:csb0="00040001" w:csb1="00000000"/>
    <w:embedRegular r:id="rId7" w:fontKey="{21EA218B-FEAB-4255-9241-B28F81DCCEE0}"/>
  </w:font>
  <w:font w:name="Wingdings 2">
    <w:panose1 w:val="05020102010507070707"/>
    <w:charset w:val="02"/>
    <w:family w:val="roman"/>
    <w:pitch w:val="default"/>
    <w:sig w:usb0="00000000" w:usb1="00000000" w:usb2="00000000" w:usb3="00000000" w:csb0="80000000" w:csb1="00000000"/>
    <w:embedRegular r:id="rId8" w:fontKey="{C287F255-BF6D-491C-AC32-8EF329264467}"/>
  </w:font>
  <w:font w:name="微软雅黑">
    <w:panose1 w:val="020B0503020204020204"/>
    <w:charset w:val="86"/>
    <w:family w:val="swiss"/>
    <w:pitch w:val="default"/>
    <w:sig w:usb0="80000287" w:usb1="2ACF3C50" w:usb2="00000016" w:usb3="00000000" w:csb0="0004001F" w:csb1="00000000"/>
    <w:embedRegular r:id="rId9" w:fontKey="{41CB776E-C108-4C8A-B84A-6E68CB30772A}"/>
  </w:font>
  <w:font w:name="方正仿宋_GB2312">
    <w:panose1 w:val="02000000000000000000"/>
    <w:charset w:val="86"/>
    <w:family w:val="auto"/>
    <w:pitch w:val="default"/>
    <w:sig w:usb0="A00002BF" w:usb1="184F6CFA" w:usb2="00000012" w:usb3="00000000" w:csb0="00040001" w:csb1="00000000"/>
    <w:embedRegular r:id="rId10" w:fontKey="{0B438012-CD33-46BF-AD7B-9E935F486E4D}"/>
  </w:font>
  <w:font w:name="Tahoma">
    <w:panose1 w:val="020B0604030504040204"/>
    <w:charset w:val="00"/>
    <w:family w:val="swiss"/>
    <w:pitch w:val="default"/>
    <w:sig w:usb0="E1002EFF" w:usb1="C000605B" w:usb2="00000029" w:usb3="00000000" w:csb0="200101FF" w:csb1="20280000"/>
    <w:embedRegular r:id="rId11" w:fontKey="{1991FAED-BADB-40C8-9209-ABC42CE414CD}"/>
  </w:font>
  <w:font w:name="WPSEMBED2">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0F07D">
    <w:pPr>
      <w:pStyle w:val="1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AE5EF">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2D7AE5E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E8E7A">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DB88A78">
                          <w:pPr>
                            <w:pStyle w:val="18"/>
                            <w:rPr>
                              <w:sz w:val="28"/>
                              <w:szCs w:val="32"/>
                            </w:rPr>
                          </w:pPr>
                          <w:r>
                            <w:rPr>
                              <w:sz w:val="28"/>
                              <w:szCs w:val="32"/>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sz w:val="28"/>
                              <w:szCs w:val="32"/>
                            </w:rPr>
                            <w:t xml:space="preserve"> —</w:t>
                          </w:r>
                        </w:p>
                      </w:txbxContent>
                    </wps:txbx>
                    <wps:bodyPr vert="horz" wrap="none" lIns="0" tIns="0" rIns="0" bIns="0" upright="1">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W5UtAAAAAFAQAADwAAAAAAAAABACAAAAAiAAAAZHJzL2Rvd25y&#10;ZXYueG1sUEsBAhQAFAAAAAgAh07iQILbdjbNAQAAnQMAAA4AAAAAAAAAAQAgAAAAHwEAAGRycy9l&#10;Mm9Eb2MueG1sUEsFBgAAAAAGAAYAWQEAAF4FAAAAAA==&#10;">
              <v:fill on="f" focussize="0,0"/>
              <v:stroke on="f"/>
              <v:imagedata o:title=""/>
              <o:lock v:ext="edit" aspectratio="f"/>
              <v:textbox inset="0mm,0mm,0mm,0mm" style="mso-fit-shape-to-text:t;">
                <w:txbxContent>
                  <w:p w14:paraId="1DB88A78">
                    <w:pPr>
                      <w:pStyle w:val="18"/>
                      <w:rPr>
                        <w:sz w:val="28"/>
                        <w:szCs w:val="32"/>
                      </w:rPr>
                    </w:pPr>
                    <w:r>
                      <w:rPr>
                        <w:sz w:val="28"/>
                        <w:szCs w:val="32"/>
                      </w:rPr>
                      <w:t xml:space="preserve">— </w:t>
                    </w:r>
                    <w:r>
                      <w:rPr>
                        <w:sz w:val="28"/>
                        <w:szCs w:val="32"/>
                      </w:rPr>
                      <w:fldChar w:fldCharType="begin"/>
                    </w:r>
                    <w:r>
                      <w:rPr>
                        <w:sz w:val="28"/>
                        <w:szCs w:val="32"/>
                      </w:rPr>
                      <w:instrText xml:space="preserve"> PAGE  \* MERGEFORMAT </w:instrText>
                    </w:r>
                    <w:r>
                      <w:rPr>
                        <w:sz w:val="28"/>
                        <w:szCs w:val="32"/>
                      </w:rPr>
                      <w:fldChar w:fldCharType="separate"/>
                    </w:r>
                    <w:r>
                      <w:rPr>
                        <w:sz w:val="28"/>
                        <w:szCs w:val="32"/>
                      </w:rPr>
                      <w:t>1</w:t>
                    </w:r>
                    <w:r>
                      <w:rPr>
                        <w:sz w:val="28"/>
                        <w:szCs w:val="32"/>
                      </w:rPr>
                      <w:fldChar w:fldCharType="end"/>
                    </w:r>
                    <w:r>
                      <w:rPr>
                        <w:sz w:val="28"/>
                        <w:szCs w:val="32"/>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31C4">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F0D33AB">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42</w:t>
                          </w:r>
                          <w:r>
                            <w:rPr>
                              <w:sz w:val="24"/>
                              <w:szCs w:val="28"/>
                            </w:rPr>
                            <w:fldChar w:fldCharType="end"/>
                          </w:r>
                          <w:r>
                            <w:rPr>
                              <w:sz w:val="24"/>
                              <w:szCs w:val="28"/>
                            </w:rPr>
                            <w:t xml:space="preserve"> —</w:t>
                          </w:r>
                        </w:p>
                      </w:txbxContent>
                    </wps:txbx>
                    <wps:bodyPr vert="horz" wrap="none" lIns="0" tIns="0" rIns="0" bIns="0" upright="1">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eMki7zgEAAJ0DAAAOAAAAAAAAAAEAIAAAAB8BAABkcnMv&#10;ZTJvRG9jLnhtbFBLBQYAAAAABgAGAFkBAABfBQAAAAA=&#10;">
              <v:fill on="f" focussize="0,0"/>
              <v:stroke on="f"/>
              <v:imagedata o:title=""/>
              <o:lock v:ext="edit" aspectratio="f"/>
              <v:textbox inset="0mm,0mm,0mm,0mm" style="mso-fit-shape-to-text:t;">
                <w:txbxContent>
                  <w:p w14:paraId="6F0D33AB">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42</w:t>
                    </w:r>
                    <w:r>
                      <w:rPr>
                        <w:sz w:val="24"/>
                        <w:szCs w:val="28"/>
                      </w:rPr>
                      <w:fldChar w:fldCharType="end"/>
                    </w:r>
                    <w:r>
                      <w:rPr>
                        <w:sz w:val="24"/>
                        <w:szCs w:val="28"/>
                      </w:rP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5B35">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6A1352D">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sz w:val="24"/>
                              <w:szCs w:val="28"/>
                            </w:rPr>
                            <w:t xml:space="preserve"> —</w:t>
                          </w:r>
                        </w:p>
                      </w:txbxContent>
                    </wps:txbx>
                    <wps:bodyPr vert="horz" wrap="none" lIns="0" tIns="0" rIns="0" bIns="0" upright="1">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PcsyJzgEAAJ0DAAAOAAAAAAAAAAEAIAAAAB8BAABkcnMv&#10;ZTJvRG9jLnhtbFBLBQYAAAAABgAGAFkBAABfBQAAAAA=&#10;">
              <v:fill on="f" focussize="0,0"/>
              <v:stroke on="f"/>
              <v:imagedata o:title=""/>
              <o:lock v:ext="edit" aspectratio="f"/>
              <v:textbox inset="0mm,0mm,0mm,0mm" style="mso-fit-shape-to-text:t;">
                <w:txbxContent>
                  <w:p w14:paraId="56A1352D">
                    <w:pPr>
                      <w:pStyle w:val="18"/>
                      <w:rPr>
                        <w:sz w:val="24"/>
                        <w:szCs w:val="28"/>
                      </w:rPr>
                    </w:pPr>
                    <w:r>
                      <w:rPr>
                        <w:sz w:val="24"/>
                        <w:szCs w:val="28"/>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71</w:t>
                    </w:r>
                    <w:r>
                      <w:rPr>
                        <w:sz w:val="24"/>
                        <w:szCs w:val="28"/>
                      </w:rPr>
                      <w:fldChar w:fldCharType="end"/>
                    </w:r>
                    <w:r>
                      <w:rPr>
                        <w:sz w:val="24"/>
                        <w:szCs w:val="28"/>
                      </w:rPr>
                      <w:t xml:space="preserve"> —</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7028A">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6AB7F"/>
    <w:multiLevelType w:val="singleLevel"/>
    <w:tmpl w:val="8086AB7F"/>
    <w:lvl w:ilvl="0" w:tentative="0">
      <w:start w:val="1"/>
      <w:numFmt w:val="decimal"/>
      <w:suff w:val="nothing"/>
      <w:lvlText w:val="（%1）"/>
      <w:lvlJc w:val="left"/>
    </w:lvl>
  </w:abstractNum>
  <w:abstractNum w:abstractNumId="1">
    <w:nsid w:val="961E7243"/>
    <w:multiLevelType w:val="singleLevel"/>
    <w:tmpl w:val="961E7243"/>
    <w:lvl w:ilvl="0" w:tentative="0">
      <w:start w:val="2"/>
      <w:numFmt w:val="decimal"/>
      <w:suff w:val="nothing"/>
      <w:lvlText w:val="（%1）"/>
      <w:lvlJc w:val="left"/>
    </w:lvl>
  </w:abstractNum>
  <w:abstractNum w:abstractNumId="2">
    <w:nsid w:val="9A415368"/>
    <w:multiLevelType w:val="multilevel"/>
    <w:tmpl w:val="9A415368"/>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0"/>
        </w:tabs>
        <w:ind w:left="0" w:firstLine="0"/>
      </w:pPr>
      <w:rPr>
        <w:rFonts w:hint="default" w:ascii="宋体" w:hAnsi="宋体" w:eastAsia="宋体" w:cs="宋体"/>
      </w:rPr>
    </w:lvl>
    <w:lvl w:ilvl="2" w:tentative="0">
      <w:start w:val="1"/>
      <w:numFmt w:val="decimal"/>
      <w:suff w:val="space"/>
      <w:lvlText w:val="%1.%2.%3"/>
      <w:lvlJc w:val="left"/>
      <w:pPr>
        <w:tabs>
          <w:tab w:val="left" w:pos="0"/>
        </w:tabs>
        <w:ind w:left="0" w:firstLine="0"/>
      </w:pPr>
      <w:rPr>
        <w:rFonts w:hint="default" w:ascii="宋体" w:hAnsi="宋体" w:eastAsia="宋体" w:cs="宋体"/>
      </w:rPr>
    </w:lvl>
    <w:lvl w:ilvl="3" w:tentative="0">
      <w:start w:val="1"/>
      <w:numFmt w:val="decimal"/>
      <w:lvlRestart w:val="2"/>
      <w:pStyle w:val="122"/>
      <w:suff w:val="space"/>
      <w:lvlText w:val="表%1.%2-%4 "/>
      <w:lvlJc w:val="left"/>
      <w:pPr>
        <w:tabs>
          <w:tab w:val="left" w:pos="0"/>
        </w:tabs>
        <w:ind w:left="0" w:firstLine="0"/>
      </w:pPr>
      <w:rPr>
        <w:rFonts w:hint="default" w:ascii="宋体" w:hAnsi="宋体" w:eastAsia="宋体" w:cs="宋体"/>
        <w:b/>
        <w:bCs/>
        <w:color w:val="auto"/>
        <w:sz w:val="24"/>
        <w:szCs w:val="24"/>
      </w:rPr>
    </w:lvl>
    <w:lvl w:ilvl="4" w:tentative="0">
      <w:start w:val="1"/>
      <w:numFmt w:val="decimal"/>
      <w:lvlRestart w:val="3"/>
      <w:suff w:val="space"/>
      <w:lvlText w:val="%1.%2.%3.%5"/>
      <w:lvlJc w:val="left"/>
      <w:pPr>
        <w:tabs>
          <w:tab w:val="left" w:pos="0"/>
        </w:tabs>
        <w:ind w:left="0" w:firstLine="0"/>
      </w:pPr>
      <w:rPr>
        <w:rFonts w:hint="default" w:ascii="宋体" w:hAnsi="宋体" w:eastAsia="宋体" w:cs="宋体"/>
      </w:rPr>
    </w:lvl>
    <w:lvl w:ilvl="5" w:tentative="0">
      <w:start w:val="1"/>
      <w:numFmt w:val="decimal"/>
      <w:lvlRestart w:val="2"/>
      <w:suff w:val="space"/>
      <w:lvlText w:val="图%1.%2-%6 "/>
      <w:lvlJc w:val="left"/>
      <w:pPr>
        <w:tabs>
          <w:tab w:val="left" w:pos="0"/>
        </w:tabs>
        <w:ind w:left="0" w:firstLine="0"/>
      </w:pPr>
      <w:rPr>
        <w:rFonts w:hint="default" w:ascii="Times New Roman" w:hAnsi="Times New Roman" w:eastAsia="宋体" w:cs="Times New Roman"/>
        <w:b/>
        <w:bCs/>
        <w:sz w:val="24"/>
        <w:szCs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C032B845"/>
    <w:multiLevelType w:val="singleLevel"/>
    <w:tmpl w:val="C032B845"/>
    <w:lvl w:ilvl="0" w:tentative="0">
      <w:start w:val="1"/>
      <w:numFmt w:val="decimal"/>
      <w:suff w:val="nothing"/>
      <w:lvlText w:val="（%1）"/>
      <w:lvlJc w:val="left"/>
    </w:lvl>
  </w:abstractNum>
  <w:abstractNum w:abstractNumId="4">
    <w:nsid w:val="C126C3F3"/>
    <w:multiLevelType w:val="singleLevel"/>
    <w:tmpl w:val="C126C3F3"/>
    <w:lvl w:ilvl="0" w:tentative="0">
      <w:start w:val="3"/>
      <w:numFmt w:val="chineseCounting"/>
      <w:suff w:val="nothing"/>
      <w:lvlText w:val="%1、"/>
      <w:lvlJc w:val="left"/>
      <w:rPr>
        <w:rFonts w:hint="eastAsia"/>
      </w:rPr>
    </w:lvl>
  </w:abstractNum>
  <w:abstractNum w:abstractNumId="5">
    <w:nsid w:val="C809BA99"/>
    <w:multiLevelType w:val="singleLevel"/>
    <w:tmpl w:val="C809BA99"/>
    <w:lvl w:ilvl="0" w:tentative="0">
      <w:start w:val="2"/>
      <w:numFmt w:val="decimal"/>
      <w:suff w:val="nothing"/>
      <w:lvlText w:val="%1）"/>
      <w:lvlJc w:val="left"/>
    </w:lvl>
  </w:abstractNum>
  <w:abstractNum w:abstractNumId="6">
    <w:nsid w:val="CE1F493D"/>
    <w:multiLevelType w:val="singleLevel"/>
    <w:tmpl w:val="CE1F493D"/>
    <w:lvl w:ilvl="0" w:tentative="0">
      <w:start w:val="2"/>
      <w:numFmt w:val="decimal"/>
      <w:suff w:val="nothing"/>
      <w:lvlText w:val="（%1）"/>
      <w:lvlJc w:val="left"/>
    </w:lvl>
  </w:abstractNum>
  <w:abstractNum w:abstractNumId="7">
    <w:nsid w:val="EB5025CE"/>
    <w:multiLevelType w:val="singleLevel"/>
    <w:tmpl w:val="EB5025CE"/>
    <w:lvl w:ilvl="0" w:tentative="0">
      <w:start w:val="1"/>
      <w:numFmt w:val="decimal"/>
      <w:suff w:val="nothing"/>
      <w:lvlText w:val="%1、"/>
      <w:lvlJc w:val="left"/>
    </w:lvl>
  </w:abstractNum>
  <w:abstractNum w:abstractNumId="8">
    <w:nsid w:val="00000007"/>
    <w:multiLevelType w:val="singleLevel"/>
    <w:tmpl w:val="00000007"/>
    <w:lvl w:ilvl="0" w:tentative="0">
      <w:start w:val="1"/>
      <w:numFmt w:val="decimal"/>
      <w:pStyle w:val="90"/>
      <w:lvlText w:val="%1."/>
      <w:lvlJc w:val="left"/>
      <w:pPr>
        <w:tabs>
          <w:tab w:val="left" w:pos="2040"/>
        </w:tabs>
        <w:ind w:left="2040" w:hanging="360"/>
      </w:pPr>
    </w:lvl>
  </w:abstractNum>
  <w:abstractNum w:abstractNumId="9">
    <w:nsid w:val="0000000A"/>
    <w:multiLevelType w:val="multilevel"/>
    <w:tmpl w:val="0000000A"/>
    <w:lvl w:ilvl="0" w:tentative="0">
      <w:start w:val="1"/>
      <w:numFmt w:val="decimal"/>
      <w:pStyle w:val="79"/>
      <w:lvlText w:val="表1-%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17C0D9A"/>
    <w:multiLevelType w:val="singleLevel"/>
    <w:tmpl w:val="017C0D9A"/>
    <w:lvl w:ilvl="0" w:tentative="0">
      <w:start w:val="1"/>
      <w:numFmt w:val="decimal"/>
      <w:suff w:val="nothing"/>
      <w:lvlText w:val="（%1）"/>
      <w:lvlJc w:val="left"/>
    </w:lvl>
  </w:abstractNum>
  <w:abstractNum w:abstractNumId="11">
    <w:nsid w:val="0317181F"/>
    <w:multiLevelType w:val="singleLevel"/>
    <w:tmpl w:val="0317181F"/>
    <w:lvl w:ilvl="0" w:tentative="0">
      <w:start w:val="7"/>
      <w:numFmt w:val="chineseCounting"/>
      <w:suff w:val="nothing"/>
      <w:lvlText w:val="%1、"/>
      <w:lvlJc w:val="left"/>
      <w:rPr>
        <w:rFonts w:hint="eastAsia"/>
      </w:rPr>
    </w:lvl>
  </w:abstractNum>
  <w:abstractNum w:abstractNumId="12">
    <w:nsid w:val="2EE9FBA2"/>
    <w:multiLevelType w:val="singleLevel"/>
    <w:tmpl w:val="2EE9FBA2"/>
    <w:lvl w:ilvl="0" w:tentative="0">
      <w:start w:val="4"/>
      <w:numFmt w:val="decimal"/>
      <w:suff w:val="nothing"/>
      <w:lvlText w:val="%1、"/>
      <w:lvlJc w:val="left"/>
    </w:lvl>
  </w:abstractNum>
  <w:abstractNum w:abstractNumId="13">
    <w:nsid w:val="42360410"/>
    <w:multiLevelType w:val="singleLevel"/>
    <w:tmpl w:val="42360410"/>
    <w:lvl w:ilvl="0" w:tentative="0">
      <w:start w:val="2"/>
      <w:numFmt w:val="chineseCounting"/>
      <w:suff w:val="nothing"/>
      <w:lvlText w:val="（%1）"/>
      <w:lvlJc w:val="left"/>
      <w:rPr>
        <w:rFonts w:hint="eastAsia"/>
      </w:rPr>
    </w:lvl>
  </w:abstractNum>
  <w:abstractNum w:abstractNumId="14">
    <w:nsid w:val="4E806ABB"/>
    <w:multiLevelType w:val="singleLevel"/>
    <w:tmpl w:val="4E806ABB"/>
    <w:lvl w:ilvl="0" w:tentative="0">
      <w:start w:val="2"/>
      <w:numFmt w:val="decimal"/>
      <w:suff w:val="nothing"/>
      <w:lvlText w:val="（%1）"/>
      <w:lvlJc w:val="left"/>
    </w:lvl>
  </w:abstractNum>
  <w:abstractNum w:abstractNumId="15">
    <w:nsid w:val="6D0E1432"/>
    <w:multiLevelType w:val="multilevel"/>
    <w:tmpl w:val="6D0E1432"/>
    <w:lvl w:ilvl="0" w:tentative="0">
      <w:start w:val="1"/>
      <w:numFmt w:val="decimal"/>
      <w:suff w:val="nothing"/>
      <w:lvlText w:val="（%1）"/>
      <w:lvlJc w:val="left"/>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6">
    <w:nsid w:val="6E7C06FC"/>
    <w:multiLevelType w:val="singleLevel"/>
    <w:tmpl w:val="6E7C06FC"/>
    <w:lvl w:ilvl="0" w:tentative="0">
      <w:start w:val="2"/>
      <w:numFmt w:val="decimal"/>
      <w:suff w:val="nothing"/>
      <w:lvlText w:val="（%1）"/>
      <w:lvlJc w:val="left"/>
    </w:lvl>
  </w:abstractNum>
  <w:abstractNum w:abstractNumId="17">
    <w:nsid w:val="7EF16345"/>
    <w:multiLevelType w:val="singleLevel"/>
    <w:tmpl w:val="7EF16345"/>
    <w:lvl w:ilvl="0" w:tentative="0">
      <w:start w:val="9"/>
      <w:numFmt w:val="decimal"/>
      <w:suff w:val="nothing"/>
      <w:lvlText w:val="（%1）"/>
      <w:lvlJc w:val="left"/>
    </w:lvl>
  </w:abstractNum>
  <w:abstractNum w:abstractNumId="18">
    <w:nsid w:val="7EFB1E1F"/>
    <w:multiLevelType w:val="singleLevel"/>
    <w:tmpl w:val="7EFB1E1F"/>
    <w:lvl w:ilvl="0" w:tentative="0">
      <w:start w:val="1"/>
      <w:numFmt w:val="decimal"/>
      <w:suff w:val="nothing"/>
      <w:lvlText w:val="%1、"/>
      <w:lvlJc w:val="left"/>
    </w:lvl>
  </w:abstractNum>
  <w:num w:numId="1">
    <w:abstractNumId w:val="9"/>
  </w:num>
  <w:num w:numId="2">
    <w:abstractNumId w:val="8"/>
  </w:num>
  <w:num w:numId="3">
    <w:abstractNumId w:val="2"/>
  </w:num>
  <w:num w:numId="4">
    <w:abstractNumId w:val="10"/>
  </w:num>
  <w:num w:numId="5">
    <w:abstractNumId w:val="18"/>
  </w:num>
  <w:num w:numId="6">
    <w:abstractNumId w:val="7"/>
  </w:num>
  <w:num w:numId="7">
    <w:abstractNumId w:val="14"/>
  </w:num>
  <w:num w:numId="8">
    <w:abstractNumId w:val="0"/>
  </w:num>
  <w:num w:numId="9">
    <w:abstractNumId w:val="3"/>
  </w:num>
  <w:num w:numId="10">
    <w:abstractNumId w:val="17"/>
  </w:num>
  <w:num w:numId="11">
    <w:abstractNumId w:val="1"/>
  </w:num>
  <w:num w:numId="12">
    <w:abstractNumId w:val="13"/>
  </w:num>
  <w:num w:numId="13">
    <w:abstractNumId w:val="4"/>
  </w:num>
  <w:num w:numId="14">
    <w:abstractNumId w:val="16"/>
  </w:num>
  <w:num w:numId="15">
    <w:abstractNumId w:val="6"/>
  </w:num>
  <w:num w:numId="16">
    <w:abstractNumId w:val="15"/>
  </w:num>
  <w:num w:numId="17">
    <w:abstractNumId w:val="12"/>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3C"/>
    <w:rsid w:val="00037876"/>
    <w:rsid w:val="000F3A3F"/>
    <w:rsid w:val="00116B88"/>
    <w:rsid w:val="00172A27"/>
    <w:rsid w:val="0017710E"/>
    <w:rsid w:val="002C12A0"/>
    <w:rsid w:val="002C3270"/>
    <w:rsid w:val="002D269B"/>
    <w:rsid w:val="002D621C"/>
    <w:rsid w:val="00357707"/>
    <w:rsid w:val="004A6602"/>
    <w:rsid w:val="004B39F4"/>
    <w:rsid w:val="004C2594"/>
    <w:rsid w:val="0051345C"/>
    <w:rsid w:val="005948F2"/>
    <w:rsid w:val="0064653C"/>
    <w:rsid w:val="00663093"/>
    <w:rsid w:val="006F5B77"/>
    <w:rsid w:val="00735E4F"/>
    <w:rsid w:val="007931C9"/>
    <w:rsid w:val="007A338F"/>
    <w:rsid w:val="007C2838"/>
    <w:rsid w:val="007C37A9"/>
    <w:rsid w:val="00846C47"/>
    <w:rsid w:val="008A0FC9"/>
    <w:rsid w:val="008A7200"/>
    <w:rsid w:val="008C1910"/>
    <w:rsid w:val="0094427F"/>
    <w:rsid w:val="0094462F"/>
    <w:rsid w:val="00A07195"/>
    <w:rsid w:val="00A1695D"/>
    <w:rsid w:val="00A512F2"/>
    <w:rsid w:val="00A66428"/>
    <w:rsid w:val="00B157BE"/>
    <w:rsid w:val="00B34D18"/>
    <w:rsid w:val="00B62BB5"/>
    <w:rsid w:val="00BB6F91"/>
    <w:rsid w:val="00C01BF2"/>
    <w:rsid w:val="00C3146C"/>
    <w:rsid w:val="00C61CDA"/>
    <w:rsid w:val="00D70D3A"/>
    <w:rsid w:val="00D96E44"/>
    <w:rsid w:val="00DA31C8"/>
    <w:rsid w:val="00E664A0"/>
    <w:rsid w:val="00E82184"/>
    <w:rsid w:val="00EC7FC8"/>
    <w:rsid w:val="00F97174"/>
    <w:rsid w:val="00FD21B0"/>
    <w:rsid w:val="011C7345"/>
    <w:rsid w:val="01301C55"/>
    <w:rsid w:val="020E6922"/>
    <w:rsid w:val="02300221"/>
    <w:rsid w:val="02BC4E78"/>
    <w:rsid w:val="03E67D83"/>
    <w:rsid w:val="0429473C"/>
    <w:rsid w:val="042F3950"/>
    <w:rsid w:val="049327EB"/>
    <w:rsid w:val="08E62812"/>
    <w:rsid w:val="09F62D9A"/>
    <w:rsid w:val="0A6C2012"/>
    <w:rsid w:val="0A8B26E5"/>
    <w:rsid w:val="0A902E09"/>
    <w:rsid w:val="0B44489D"/>
    <w:rsid w:val="0B6B22C9"/>
    <w:rsid w:val="0BAB2AA6"/>
    <w:rsid w:val="0BB65DBB"/>
    <w:rsid w:val="0C8F45CB"/>
    <w:rsid w:val="0CBE28CD"/>
    <w:rsid w:val="0CE9152F"/>
    <w:rsid w:val="0D0414C3"/>
    <w:rsid w:val="0D5D1006"/>
    <w:rsid w:val="0D5D4B8B"/>
    <w:rsid w:val="0E386E38"/>
    <w:rsid w:val="0E417312"/>
    <w:rsid w:val="0E9B4C74"/>
    <w:rsid w:val="0EF07BD2"/>
    <w:rsid w:val="0EF83E74"/>
    <w:rsid w:val="0F3D186A"/>
    <w:rsid w:val="0FAB0EE6"/>
    <w:rsid w:val="108E3427"/>
    <w:rsid w:val="10AD0C8E"/>
    <w:rsid w:val="10ED3781"/>
    <w:rsid w:val="11DC5CCF"/>
    <w:rsid w:val="120B0305"/>
    <w:rsid w:val="122F74DD"/>
    <w:rsid w:val="124E6D7F"/>
    <w:rsid w:val="12877022"/>
    <w:rsid w:val="12E46D79"/>
    <w:rsid w:val="12ED7A68"/>
    <w:rsid w:val="130D010A"/>
    <w:rsid w:val="13622204"/>
    <w:rsid w:val="136D221A"/>
    <w:rsid w:val="145C3ADA"/>
    <w:rsid w:val="145E0C1D"/>
    <w:rsid w:val="14DD6BBD"/>
    <w:rsid w:val="14EB7FD7"/>
    <w:rsid w:val="159643E7"/>
    <w:rsid w:val="15C90318"/>
    <w:rsid w:val="162B467B"/>
    <w:rsid w:val="16B5089D"/>
    <w:rsid w:val="16DA097F"/>
    <w:rsid w:val="16E34270"/>
    <w:rsid w:val="175E7186"/>
    <w:rsid w:val="176F4EEF"/>
    <w:rsid w:val="17776E51"/>
    <w:rsid w:val="17E05DED"/>
    <w:rsid w:val="18E45469"/>
    <w:rsid w:val="19073E7B"/>
    <w:rsid w:val="194D300E"/>
    <w:rsid w:val="195167E2"/>
    <w:rsid w:val="1A4107FE"/>
    <w:rsid w:val="1A7D49DD"/>
    <w:rsid w:val="1B617245"/>
    <w:rsid w:val="1C1C0814"/>
    <w:rsid w:val="1C200EAE"/>
    <w:rsid w:val="1C22061E"/>
    <w:rsid w:val="1C44694B"/>
    <w:rsid w:val="1D4D12E2"/>
    <w:rsid w:val="1DAB6D83"/>
    <w:rsid w:val="1EFB33BF"/>
    <w:rsid w:val="1F3D388A"/>
    <w:rsid w:val="201C5A29"/>
    <w:rsid w:val="20B71E49"/>
    <w:rsid w:val="20F546B7"/>
    <w:rsid w:val="211649B3"/>
    <w:rsid w:val="218872DA"/>
    <w:rsid w:val="218912A4"/>
    <w:rsid w:val="218E2416"/>
    <w:rsid w:val="22252D7A"/>
    <w:rsid w:val="225F1E54"/>
    <w:rsid w:val="22745AB0"/>
    <w:rsid w:val="22B61C24"/>
    <w:rsid w:val="22CB70E1"/>
    <w:rsid w:val="239F090A"/>
    <w:rsid w:val="239F4DAE"/>
    <w:rsid w:val="23BA3996"/>
    <w:rsid w:val="24A3699F"/>
    <w:rsid w:val="24FD1D8D"/>
    <w:rsid w:val="26C91EA4"/>
    <w:rsid w:val="27181100"/>
    <w:rsid w:val="27DD5EA5"/>
    <w:rsid w:val="27F21AE8"/>
    <w:rsid w:val="28074CD0"/>
    <w:rsid w:val="282633A8"/>
    <w:rsid w:val="296D30C1"/>
    <w:rsid w:val="29EE7EF6"/>
    <w:rsid w:val="29FF6BE5"/>
    <w:rsid w:val="2A570191"/>
    <w:rsid w:val="2A930A9D"/>
    <w:rsid w:val="2AFA5B67"/>
    <w:rsid w:val="2B1265D3"/>
    <w:rsid w:val="2B195446"/>
    <w:rsid w:val="2B7679E1"/>
    <w:rsid w:val="2BD0215F"/>
    <w:rsid w:val="2BD1187D"/>
    <w:rsid w:val="2CD77367"/>
    <w:rsid w:val="2D411C4E"/>
    <w:rsid w:val="2DC01BA9"/>
    <w:rsid w:val="2DF8044C"/>
    <w:rsid w:val="2E65167C"/>
    <w:rsid w:val="2EA63495"/>
    <w:rsid w:val="2EFF3095"/>
    <w:rsid w:val="2F0B46E6"/>
    <w:rsid w:val="2F0C286A"/>
    <w:rsid w:val="2F7F0633"/>
    <w:rsid w:val="2FCF4325"/>
    <w:rsid w:val="2FE73E15"/>
    <w:rsid w:val="30336FAA"/>
    <w:rsid w:val="311C17EC"/>
    <w:rsid w:val="313326C8"/>
    <w:rsid w:val="315E40F0"/>
    <w:rsid w:val="31903F88"/>
    <w:rsid w:val="31CC3212"/>
    <w:rsid w:val="31DB16A7"/>
    <w:rsid w:val="3200110E"/>
    <w:rsid w:val="324F174E"/>
    <w:rsid w:val="32933D30"/>
    <w:rsid w:val="33522495"/>
    <w:rsid w:val="33743B62"/>
    <w:rsid w:val="34362B7F"/>
    <w:rsid w:val="34362BC5"/>
    <w:rsid w:val="356B5681"/>
    <w:rsid w:val="367407E3"/>
    <w:rsid w:val="374643BF"/>
    <w:rsid w:val="3790083E"/>
    <w:rsid w:val="3805122C"/>
    <w:rsid w:val="38461530"/>
    <w:rsid w:val="38623F02"/>
    <w:rsid w:val="391C048E"/>
    <w:rsid w:val="3974645A"/>
    <w:rsid w:val="397C551E"/>
    <w:rsid w:val="3A2F2590"/>
    <w:rsid w:val="3AFC50E0"/>
    <w:rsid w:val="3B621402"/>
    <w:rsid w:val="3B7D0526"/>
    <w:rsid w:val="3BB865B6"/>
    <w:rsid w:val="3C1934F8"/>
    <w:rsid w:val="3CDF116D"/>
    <w:rsid w:val="3D3462AF"/>
    <w:rsid w:val="3DA45043"/>
    <w:rsid w:val="3DDA6CB7"/>
    <w:rsid w:val="3DFA2EB5"/>
    <w:rsid w:val="3E815CDE"/>
    <w:rsid w:val="3F43088C"/>
    <w:rsid w:val="3F61102C"/>
    <w:rsid w:val="3F7B7E3A"/>
    <w:rsid w:val="40694322"/>
    <w:rsid w:val="409137D4"/>
    <w:rsid w:val="413D3910"/>
    <w:rsid w:val="416E2A21"/>
    <w:rsid w:val="41A3382D"/>
    <w:rsid w:val="41B15F81"/>
    <w:rsid w:val="41E37962"/>
    <w:rsid w:val="42092C46"/>
    <w:rsid w:val="42207EDF"/>
    <w:rsid w:val="42927B60"/>
    <w:rsid w:val="42AB15F5"/>
    <w:rsid w:val="42C635BE"/>
    <w:rsid w:val="43994F1E"/>
    <w:rsid w:val="441A037D"/>
    <w:rsid w:val="445C6678"/>
    <w:rsid w:val="44754869"/>
    <w:rsid w:val="45126D36"/>
    <w:rsid w:val="451A208F"/>
    <w:rsid w:val="457667CA"/>
    <w:rsid w:val="45921C25"/>
    <w:rsid w:val="45E00128"/>
    <w:rsid w:val="461F4288"/>
    <w:rsid w:val="464C07A8"/>
    <w:rsid w:val="4671257C"/>
    <w:rsid w:val="46C71DC4"/>
    <w:rsid w:val="46DD1A9B"/>
    <w:rsid w:val="47081961"/>
    <w:rsid w:val="48926515"/>
    <w:rsid w:val="49441611"/>
    <w:rsid w:val="49995C78"/>
    <w:rsid w:val="4A0327C1"/>
    <w:rsid w:val="4A054B02"/>
    <w:rsid w:val="4A445DB6"/>
    <w:rsid w:val="4AD71C6D"/>
    <w:rsid w:val="4B766681"/>
    <w:rsid w:val="4BBC5EB2"/>
    <w:rsid w:val="4C080E93"/>
    <w:rsid w:val="4C110BF4"/>
    <w:rsid w:val="4C426DCB"/>
    <w:rsid w:val="4C585006"/>
    <w:rsid w:val="4C9B7178"/>
    <w:rsid w:val="4CB678D6"/>
    <w:rsid w:val="4CF919F3"/>
    <w:rsid w:val="4D9431AD"/>
    <w:rsid w:val="4DD23507"/>
    <w:rsid w:val="4DD66164"/>
    <w:rsid w:val="4DE615CB"/>
    <w:rsid w:val="4E4424BF"/>
    <w:rsid w:val="4F223B59"/>
    <w:rsid w:val="4F6267DE"/>
    <w:rsid w:val="4F6E7478"/>
    <w:rsid w:val="4F950C90"/>
    <w:rsid w:val="50655046"/>
    <w:rsid w:val="506F6CD6"/>
    <w:rsid w:val="509B2F99"/>
    <w:rsid w:val="50D8564A"/>
    <w:rsid w:val="50E27F05"/>
    <w:rsid w:val="510C7ACF"/>
    <w:rsid w:val="51624BA2"/>
    <w:rsid w:val="516D5A40"/>
    <w:rsid w:val="51735001"/>
    <w:rsid w:val="51D174B1"/>
    <w:rsid w:val="51D419CD"/>
    <w:rsid w:val="51F53C68"/>
    <w:rsid w:val="521833B2"/>
    <w:rsid w:val="523302EC"/>
    <w:rsid w:val="524A5A1C"/>
    <w:rsid w:val="528D20F2"/>
    <w:rsid w:val="52AC13C7"/>
    <w:rsid w:val="52F537F4"/>
    <w:rsid w:val="53195734"/>
    <w:rsid w:val="53264E31"/>
    <w:rsid w:val="53332C9A"/>
    <w:rsid w:val="53364538"/>
    <w:rsid w:val="538017A0"/>
    <w:rsid w:val="54C16083"/>
    <w:rsid w:val="54F5082C"/>
    <w:rsid w:val="553C5CE7"/>
    <w:rsid w:val="55D423D7"/>
    <w:rsid w:val="560C332E"/>
    <w:rsid w:val="563E5B18"/>
    <w:rsid w:val="566D64C3"/>
    <w:rsid w:val="56CE2FCA"/>
    <w:rsid w:val="571A00EB"/>
    <w:rsid w:val="58365C18"/>
    <w:rsid w:val="59413C36"/>
    <w:rsid w:val="5AA91A93"/>
    <w:rsid w:val="5B3A4F19"/>
    <w:rsid w:val="5BCD355F"/>
    <w:rsid w:val="5C7802D9"/>
    <w:rsid w:val="5CC03DE6"/>
    <w:rsid w:val="5D535CE6"/>
    <w:rsid w:val="5D5B2280"/>
    <w:rsid w:val="5DFA1FB3"/>
    <w:rsid w:val="5E4E6BDA"/>
    <w:rsid w:val="5E706136"/>
    <w:rsid w:val="5E736001"/>
    <w:rsid w:val="5EB821B1"/>
    <w:rsid w:val="5EFF39EF"/>
    <w:rsid w:val="5FBB029F"/>
    <w:rsid w:val="5FE315A4"/>
    <w:rsid w:val="603E6E98"/>
    <w:rsid w:val="60803296"/>
    <w:rsid w:val="60A9110D"/>
    <w:rsid w:val="61552D86"/>
    <w:rsid w:val="615958DA"/>
    <w:rsid w:val="61D513C0"/>
    <w:rsid w:val="61DE2D0B"/>
    <w:rsid w:val="63260125"/>
    <w:rsid w:val="632B4F06"/>
    <w:rsid w:val="63715118"/>
    <w:rsid w:val="639E2CC4"/>
    <w:rsid w:val="63A26B33"/>
    <w:rsid w:val="641D3FEC"/>
    <w:rsid w:val="646C600B"/>
    <w:rsid w:val="64FF6124"/>
    <w:rsid w:val="652A1A23"/>
    <w:rsid w:val="653754E0"/>
    <w:rsid w:val="657D4C36"/>
    <w:rsid w:val="66707909"/>
    <w:rsid w:val="66787717"/>
    <w:rsid w:val="66F83B86"/>
    <w:rsid w:val="670562A3"/>
    <w:rsid w:val="67AD6FA5"/>
    <w:rsid w:val="67F962C1"/>
    <w:rsid w:val="683B3D55"/>
    <w:rsid w:val="684B23DC"/>
    <w:rsid w:val="68701AA4"/>
    <w:rsid w:val="68873CFE"/>
    <w:rsid w:val="69456E2B"/>
    <w:rsid w:val="69625FE3"/>
    <w:rsid w:val="69AF24F6"/>
    <w:rsid w:val="69CB5582"/>
    <w:rsid w:val="6A820078"/>
    <w:rsid w:val="6B35798D"/>
    <w:rsid w:val="6BBB58D5"/>
    <w:rsid w:val="6C0A61A9"/>
    <w:rsid w:val="6C226FA5"/>
    <w:rsid w:val="6C823EF2"/>
    <w:rsid w:val="6C830727"/>
    <w:rsid w:val="6C9F26B1"/>
    <w:rsid w:val="6CC17839"/>
    <w:rsid w:val="6CDF1345"/>
    <w:rsid w:val="6E3B3B2D"/>
    <w:rsid w:val="6EE342A1"/>
    <w:rsid w:val="6F1D465B"/>
    <w:rsid w:val="6F5B59A0"/>
    <w:rsid w:val="6FBC771B"/>
    <w:rsid w:val="700D7F77"/>
    <w:rsid w:val="7013229E"/>
    <w:rsid w:val="710A284E"/>
    <w:rsid w:val="715636AD"/>
    <w:rsid w:val="72435ED2"/>
    <w:rsid w:val="72DF209E"/>
    <w:rsid w:val="737E1108"/>
    <w:rsid w:val="738507A7"/>
    <w:rsid w:val="741E1223"/>
    <w:rsid w:val="74232316"/>
    <w:rsid w:val="744101B6"/>
    <w:rsid w:val="744150F5"/>
    <w:rsid w:val="749B262E"/>
    <w:rsid w:val="74C24042"/>
    <w:rsid w:val="74D6127F"/>
    <w:rsid w:val="750C2DB4"/>
    <w:rsid w:val="75271A80"/>
    <w:rsid w:val="75A82C1C"/>
    <w:rsid w:val="76106754"/>
    <w:rsid w:val="76147BCB"/>
    <w:rsid w:val="771F0CBB"/>
    <w:rsid w:val="777D6013"/>
    <w:rsid w:val="78016613"/>
    <w:rsid w:val="7814294B"/>
    <w:rsid w:val="785A48F6"/>
    <w:rsid w:val="785C1CE5"/>
    <w:rsid w:val="78727511"/>
    <w:rsid w:val="798412AA"/>
    <w:rsid w:val="79AD1671"/>
    <w:rsid w:val="79CB512B"/>
    <w:rsid w:val="7AD95CFB"/>
    <w:rsid w:val="7AED10D1"/>
    <w:rsid w:val="7B116B6D"/>
    <w:rsid w:val="7B811F45"/>
    <w:rsid w:val="7B933A26"/>
    <w:rsid w:val="7B982F0A"/>
    <w:rsid w:val="7C06069C"/>
    <w:rsid w:val="7C09018C"/>
    <w:rsid w:val="7C2D3E7B"/>
    <w:rsid w:val="7DC266CD"/>
    <w:rsid w:val="7DE94FAB"/>
    <w:rsid w:val="7E257626"/>
    <w:rsid w:val="7E6159D7"/>
    <w:rsid w:val="7E910172"/>
    <w:rsid w:val="7EF1021C"/>
    <w:rsid w:val="7F5022C2"/>
    <w:rsid w:val="7F8246B3"/>
    <w:rsid w:val="7FC359E6"/>
    <w:rsid w:val="7FC37564"/>
    <w:rsid w:val="7FDE1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9"/>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8">
    <w:name w:val="heading 3"/>
    <w:basedOn w:val="1"/>
    <w:next w:val="1"/>
    <w:qFormat/>
    <w:uiPriority w:val="0"/>
    <w:pPr>
      <w:ind w:left="1132"/>
      <w:outlineLvl w:val="2"/>
    </w:pPr>
    <w:rPr>
      <w:rFonts w:ascii="宋体" w:hAnsi="宋体" w:cs="宋体"/>
      <w:b/>
      <w:bCs/>
      <w:sz w:val="24"/>
    </w:rPr>
  </w:style>
  <w:style w:type="paragraph" w:styleId="9">
    <w:name w:val="heading 4"/>
    <w:basedOn w:val="1"/>
    <w:next w:val="1"/>
    <w:qFormat/>
    <w:uiPriority w:val="0"/>
    <w:pPr>
      <w:spacing w:line="360" w:lineRule="auto"/>
      <w:outlineLvl w:val="3"/>
    </w:pPr>
    <w:rPr>
      <w:rFonts w:cs="宋体"/>
      <w:b/>
      <w:bCs/>
      <w:sz w:val="24"/>
      <w:lang w:eastAsia="en-US"/>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Body Text First Indent"/>
    <w:basedOn w:val="5"/>
    <w:next w:val="1"/>
    <w:qFormat/>
    <w:uiPriority w:val="0"/>
    <w:pPr>
      <w:ind w:firstLine="420" w:firstLineChars="100"/>
    </w:pPr>
  </w:style>
  <w:style w:type="paragraph" w:styleId="5">
    <w:name w:val="Body Text"/>
    <w:basedOn w:val="1"/>
    <w:next w:val="1"/>
    <w:link w:val="31"/>
    <w:qFormat/>
    <w:uiPriority w:val="0"/>
    <w:pPr>
      <w:widowControl/>
      <w:snapToGrid w:val="0"/>
      <w:spacing w:before="60" w:after="160" w:line="259" w:lineRule="auto"/>
      <w:ind w:right="113"/>
    </w:pPr>
    <w:rPr>
      <w:sz w:val="18"/>
    </w:rPr>
  </w:style>
  <w:style w:type="paragraph" w:styleId="10">
    <w:name w:val="Normal Indent"/>
    <w:basedOn w:val="1"/>
    <w:next w:val="11"/>
    <w:qFormat/>
    <w:uiPriority w:val="0"/>
    <w:pPr>
      <w:ind w:firstLine="420"/>
    </w:pPr>
    <w:rPr>
      <w:sz w:val="24"/>
      <w:szCs w:val="20"/>
    </w:rPr>
  </w:style>
  <w:style w:type="paragraph" w:customStyle="1" w:styleId="11">
    <w:name w:val="表头"/>
    <w:basedOn w:val="12"/>
    <w:next w:val="1"/>
    <w:qFormat/>
    <w:uiPriority w:val="0"/>
    <w:pPr>
      <w:spacing w:line="240" w:lineRule="auto"/>
      <w:ind w:firstLine="0" w:firstLineChars="0"/>
      <w:jc w:val="center"/>
    </w:pPr>
    <w:rPr>
      <w:bCs/>
      <w:sz w:val="21"/>
      <w:szCs w:val="21"/>
    </w:rPr>
  </w:style>
  <w:style w:type="paragraph" w:customStyle="1" w:styleId="12">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3">
    <w:name w:val="caption"/>
    <w:basedOn w:val="1"/>
    <w:next w:val="1"/>
    <w:qFormat/>
    <w:uiPriority w:val="0"/>
    <w:pPr>
      <w:jc w:val="center"/>
    </w:pPr>
    <w:rPr>
      <w:b/>
      <w:szCs w:val="20"/>
    </w:rPr>
  </w:style>
  <w:style w:type="paragraph" w:styleId="14">
    <w:name w:val="annotation text"/>
    <w:basedOn w:val="1"/>
    <w:link w:val="30"/>
    <w:qFormat/>
    <w:uiPriority w:val="0"/>
    <w:pPr>
      <w:jc w:val="left"/>
    </w:pPr>
    <w:rPr>
      <w:sz w:val="24"/>
    </w:rPr>
  </w:style>
  <w:style w:type="paragraph" w:styleId="15">
    <w:name w:val="Salutation"/>
    <w:basedOn w:val="1"/>
    <w:next w:val="1"/>
    <w:unhideWhenUsed/>
    <w:qFormat/>
    <w:uiPriority w:val="99"/>
  </w:style>
  <w:style w:type="paragraph" w:styleId="16">
    <w:name w:val="Plain Text"/>
    <w:basedOn w:val="1"/>
    <w:qFormat/>
    <w:uiPriority w:val="0"/>
    <w:pPr>
      <w:spacing w:line="240" w:lineRule="atLeast"/>
    </w:pPr>
    <w:rPr>
      <w:rFonts w:ascii="宋体" w:hAnsi="Courier New"/>
      <w:sz w:val="28"/>
      <w:szCs w:val="21"/>
    </w:rPr>
  </w:style>
  <w:style w:type="paragraph" w:styleId="17">
    <w:name w:val="Balloon Text"/>
    <w:basedOn w:val="1"/>
    <w:link w:val="32"/>
    <w:qFormat/>
    <w:uiPriority w:val="0"/>
    <w:rPr>
      <w:sz w:val="18"/>
    </w:rPr>
  </w:style>
  <w:style w:type="paragraph" w:styleId="18">
    <w:name w:val="footer"/>
    <w:basedOn w:val="1"/>
    <w:link w:val="33"/>
    <w:qFormat/>
    <w:uiPriority w:val="0"/>
    <w:pPr>
      <w:tabs>
        <w:tab w:val="center" w:pos="4153"/>
        <w:tab w:val="right" w:pos="8306"/>
      </w:tabs>
      <w:snapToGrid w:val="0"/>
      <w:jc w:val="left"/>
    </w:pPr>
    <w:rPr>
      <w:sz w:val="18"/>
    </w:rPr>
  </w:style>
  <w:style w:type="paragraph" w:styleId="19">
    <w:name w:val="header"/>
    <w:basedOn w:val="1"/>
    <w:next w:val="1"/>
    <w:link w:val="34"/>
    <w:qFormat/>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0"/>
  </w:style>
  <w:style w:type="paragraph" w:styleId="21">
    <w:name w:val="Normal (Web)"/>
    <w:basedOn w:val="1"/>
    <w:qFormat/>
    <w:uiPriority w:val="0"/>
    <w:pPr>
      <w:spacing w:beforeAutospacing="1" w:afterAutospacing="1"/>
      <w:jc w:val="left"/>
    </w:pPr>
    <w:rPr>
      <w:kern w:val="0"/>
      <w:sz w:val="24"/>
    </w:rPr>
  </w:style>
  <w:style w:type="paragraph" w:styleId="22">
    <w:name w:val="annotation subject"/>
    <w:basedOn w:val="14"/>
    <w:next w:val="14"/>
    <w:link w:val="124"/>
    <w:qFormat/>
    <w:uiPriority w:val="0"/>
    <w:rPr>
      <w:b/>
      <w:bCs/>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Hyperlink"/>
    <w:basedOn w:val="25"/>
    <w:qFormat/>
    <w:uiPriority w:val="0"/>
    <w:rPr>
      <w:color w:val="0000FF"/>
      <w:u w:val="single"/>
    </w:rPr>
  </w:style>
  <w:style w:type="character" w:styleId="28">
    <w:name w:val="annotation reference"/>
    <w:semiHidden/>
    <w:qFormat/>
    <w:uiPriority w:val="0"/>
    <w:rPr>
      <w:sz w:val="21"/>
    </w:rPr>
  </w:style>
  <w:style w:type="character" w:customStyle="1" w:styleId="29">
    <w:name w:val="标题 1 字符"/>
    <w:link w:val="6"/>
    <w:qFormat/>
    <w:uiPriority w:val="0"/>
    <w:rPr>
      <w:rFonts w:eastAsia="黑体"/>
      <w:b/>
      <w:bCs/>
      <w:color w:val="000000"/>
      <w:kern w:val="44"/>
      <w:sz w:val="30"/>
      <w:szCs w:val="30"/>
    </w:rPr>
  </w:style>
  <w:style w:type="character" w:customStyle="1" w:styleId="30">
    <w:name w:val="批注文字 字符"/>
    <w:link w:val="14"/>
    <w:qFormat/>
    <w:uiPriority w:val="0"/>
    <w:rPr>
      <w:rFonts w:ascii="Times New Roman" w:hAnsi="Times New Roman" w:eastAsia="宋体"/>
      <w:sz w:val="24"/>
    </w:rPr>
  </w:style>
  <w:style w:type="character" w:customStyle="1" w:styleId="31">
    <w:name w:val="正文文本 字符"/>
    <w:link w:val="5"/>
    <w:qFormat/>
    <w:uiPriority w:val="0"/>
    <w:rPr>
      <w:sz w:val="18"/>
    </w:rPr>
  </w:style>
  <w:style w:type="character" w:customStyle="1" w:styleId="32">
    <w:name w:val="批注框文本 字符"/>
    <w:link w:val="17"/>
    <w:qFormat/>
    <w:uiPriority w:val="0"/>
    <w:rPr>
      <w:rFonts w:ascii="Times New Roman" w:hAnsi="Times New Roman" w:eastAsia="宋体"/>
      <w:sz w:val="18"/>
    </w:rPr>
  </w:style>
  <w:style w:type="character" w:customStyle="1" w:styleId="33">
    <w:name w:val="页脚 字符1"/>
    <w:link w:val="18"/>
    <w:qFormat/>
    <w:uiPriority w:val="0"/>
    <w:rPr>
      <w:sz w:val="18"/>
    </w:rPr>
  </w:style>
  <w:style w:type="character" w:customStyle="1" w:styleId="34">
    <w:name w:val="页眉 字符"/>
    <w:link w:val="19"/>
    <w:qFormat/>
    <w:uiPriority w:val="0"/>
    <w:rPr>
      <w:sz w:val="18"/>
    </w:rPr>
  </w:style>
  <w:style w:type="character" w:customStyle="1" w:styleId="35">
    <w:name w:val="正文文本缩进 Char"/>
    <w:link w:val="36"/>
    <w:qFormat/>
    <w:uiPriority w:val="0"/>
    <w:rPr>
      <w:rFonts w:ascii="Times New Roman" w:hAnsi="Times New Roman" w:eastAsia="宋体"/>
      <w:sz w:val="24"/>
    </w:rPr>
  </w:style>
  <w:style w:type="paragraph" w:customStyle="1" w:styleId="36">
    <w:name w:val="正文文本缩进1"/>
    <w:basedOn w:val="1"/>
    <w:next w:val="37"/>
    <w:link w:val="35"/>
    <w:qFormat/>
    <w:uiPriority w:val="0"/>
    <w:pPr>
      <w:spacing w:after="120"/>
      <w:ind w:left="420" w:leftChars="200"/>
    </w:pPr>
    <w:rPr>
      <w:sz w:val="24"/>
    </w:rPr>
  </w:style>
  <w:style w:type="paragraph" w:customStyle="1" w:styleId="37">
    <w:name w:val="正文缩进1"/>
    <w:basedOn w:val="1"/>
    <w:next w:val="1"/>
    <w:qFormat/>
    <w:uiPriority w:val="0"/>
    <w:pPr>
      <w:ind w:firstLine="420"/>
    </w:pPr>
    <w:rPr>
      <w:sz w:val="24"/>
      <w:szCs w:val="20"/>
    </w:rPr>
  </w:style>
  <w:style w:type="character" w:customStyle="1" w:styleId="38">
    <w:name w:val="普通(网站) Char"/>
    <w:link w:val="39"/>
    <w:qFormat/>
    <w:uiPriority w:val="0"/>
    <w:rPr>
      <w:rFonts w:ascii="宋体" w:hAnsi="宋体" w:eastAsia="宋体"/>
      <w:sz w:val="24"/>
    </w:rPr>
  </w:style>
  <w:style w:type="paragraph" w:customStyle="1" w:styleId="39">
    <w:name w:val="普通(网站)1"/>
    <w:basedOn w:val="1"/>
    <w:link w:val="38"/>
    <w:qFormat/>
    <w:uiPriority w:val="0"/>
    <w:pPr>
      <w:widowControl/>
      <w:spacing w:before="100" w:beforeAutospacing="1" w:after="100" w:afterAutospacing="1"/>
      <w:jc w:val="left"/>
    </w:pPr>
    <w:rPr>
      <w:rFonts w:ascii="宋体" w:hAnsi="宋体"/>
      <w:sz w:val="24"/>
    </w:rPr>
  </w:style>
  <w:style w:type="character" w:customStyle="1" w:styleId="40">
    <w:name w:val="日期 Char"/>
    <w:link w:val="41"/>
    <w:qFormat/>
    <w:uiPriority w:val="0"/>
    <w:rPr>
      <w:rFonts w:ascii="Times New Roman" w:hAnsi="Times New Roman" w:eastAsia="宋体"/>
      <w:sz w:val="24"/>
    </w:rPr>
  </w:style>
  <w:style w:type="paragraph" w:customStyle="1" w:styleId="41">
    <w:name w:val="日期1"/>
    <w:basedOn w:val="1"/>
    <w:next w:val="1"/>
    <w:link w:val="40"/>
    <w:qFormat/>
    <w:uiPriority w:val="0"/>
    <w:pPr>
      <w:ind w:left="100" w:leftChars="2500"/>
    </w:pPr>
    <w:rPr>
      <w:sz w:val="24"/>
    </w:rPr>
  </w:style>
  <w:style w:type="character" w:customStyle="1" w:styleId="42">
    <w:name w:val="批注主题 Char"/>
    <w:link w:val="43"/>
    <w:qFormat/>
    <w:uiPriority w:val="0"/>
    <w:rPr>
      <w:rFonts w:ascii="Times New Roman" w:hAnsi="Times New Roman" w:eastAsia="宋体"/>
      <w:b/>
      <w:kern w:val="2"/>
      <w:sz w:val="24"/>
    </w:rPr>
  </w:style>
  <w:style w:type="paragraph" w:customStyle="1" w:styleId="43">
    <w:name w:val="批注主题1"/>
    <w:basedOn w:val="14"/>
    <w:next w:val="14"/>
    <w:link w:val="42"/>
    <w:qFormat/>
    <w:uiPriority w:val="0"/>
    <w:rPr>
      <w:b/>
    </w:rPr>
  </w:style>
  <w:style w:type="character" w:customStyle="1" w:styleId="44">
    <w:name w:val="页脚 字符"/>
    <w:basedOn w:val="25"/>
    <w:qFormat/>
    <w:uiPriority w:val="0"/>
  </w:style>
  <w:style w:type="character" w:customStyle="1" w:styleId="45">
    <w:name w:val="NormalCharacter"/>
    <w:qFormat/>
    <w:uiPriority w:val="0"/>
  </w:style>
  <w:style w:type="character" w:customStyle="1" w:styleId="46">
    <w:name w:val="表格 Char Char"/>
    <w:link w:val="47"/>
    <w:qFormat/>
    <w:uiPriority w:val="0"/>
    <w:rPr>
      <w:rFonts w:ascii="宋体"/>
      <w:sz w:val="21"/>
    </w:rPr>
  </w:style>
  <w:style w:type="paragraph" w:customStyle="1" w:styleId="47">
    <w:name w:val="表格"/>
    <w:basedOn w:val="11"/>
    <w:next w:val="1"/>
    <w:link w:val="46"/>
    <w:qFormat/>
    <w:uiPriority w:val="0"/>
    <w:pPr>
      <w:spacing w:before="31" w:beforeLines="10" w:after="31" w:afterLines="10" w:line="259" w:lineRule="auto"/>
    </w:pPr>
    <w:rPr>
      <w:rFonts w:ascii="宋体"/>
    </w:rPr>
  </w:style>
  <w:style w:type="character" w:customStyle="1" w:styleId="48">
    <w:name w:val="font61"/>
    <w:basedOn w:val="25"/>
    <w:qFormat/>
    <w:uiPriority w:val="0"/>
    <w:rPr>
      <w:rFonts w:hint="eastAsia" w:ascii="宋体" w:hAnsi="宋体" w:eastAsia="宋体" w:cs="宋体"/>
      <w:color w:val="000000"/>
      <w:sz w:val="21"/>
      <w:szCs w:val="21"/>
      <w:u w:val="none"/>
    </w:rPr>
  </w:style>
  <w:style w:type="character" w:customStyle="1" w:styleId="49">
    <w:name w:val="font31"/>
    <w:basedOn w:val="25"/>
    <w:qFormat/>
    <w:uiPriority w:val="0"/>
    <w:rPr>
      <w:rFonts w:ascii="Arial" w:hAnsi="Arial" w:cs="Arial"/>
      <w:b/>
      <w:bCs/>
      <w:color w:val="000000"/>
      <w:sz w:val="21"/>
      <w:szCs w:val="21"/>
      <w:u w:val="none"/>
    </w:rPr>
  </w:style>
  <w:style w:type="character" w:customStyle="1" w:styleId="50">
    <w:name w:val="批注引用1"/>
    <w:qFormat/>
    <w:uiPriority w:val="0"/>
    <w:rPr>
      <w:sz w:val="21"/>
    </w:rPr>
  </w:style>
  <w:style w:type="character" w:customStyle="1" w:styleId="51">
    <w:name w:val="font21"/>
    <w:basedOn w:val="25"/>
    <w:qFormat/>
    <w:uiPriority w:val="0"/>
    <w:rPr>
      <w:rFonts w:hint="eastAsia" w:ascii="宋体" w:hAnsi="宋体" w:eastAsia="宋体" w:cs="宋体"/>
      <w:b/>
      <w:bCs/>
      <w:color w:val="000000"/>
      <w:sz w:val="21"/>
      <w:szCs w:val="21"/>
      <w:u w:val="none"/>
    </w:rPr>
  </w:style>
  <w:style w:type="character" w:customStyle="1" w:styleId="52">
    <w:name w:val="正文文本 字符1"/>
    <w:qFormat/>
    <w:uiPriority w:val="0"/>
    <w:rPr>
      <w:rFonts w:ascii="Times New Roman" w:hAnsi="Times New Roman" w:eastAsia="宋体"/>
      <w:sz w:val="24"/>
    </w:rPr>
  </w:style>
  <w:style w:type="character" w:customStyle="1" w:styleId="53">
    <w:name w:val="font41"/>
    <w:basedOn w:val="25"/>
    <w:qFormat/>
    <w:uiPriority w:val="0"/>
    <w:rPr>
      <w:rFonts w:hint="default" w:ascii="Times New Roman" w:hAnsi="Times New Roman" w:cs="Times New Roman"/>
      <w:color w:val="000000"/>
      <w:sz w:val="21"/>
      <w:szCs w:val="21"/>
      <w:u w:val="none"/>
    </w:rPr>
  </w:style>
  <w:style w:type="character" w:customStyle="1" w:styleId="54">
    <w:name w:val="批注文字 字符1"/>
    <w:qFormat/>
    <w:uiPriority w:val="0"/>
    <w:rPr>
      <w:rFonts w:ascii="Times New Roman" w:hAnsi="Times New Roman" w:eastAsia="宋体"/>
      <w:sz w:val="24"/>
    </w:rPr>
  </w:style>
  <w:style w:type="character" w:customStyle="1" w:styleId="55">
    <w:name w:val="font11"/>
    <w:basedOn w:val="25"/>
    <w:qFormat/>
    <w:uiPriority w:val="0"/>
    <w:rPr>
      <w:rFonts w:hint="eastAsia" w:ascii="宋体" w:hAnsi="宋体" w:eastAsia="宋体" w:cs="宋体"/>
      <w:color w:val="000000"/>
      <w:sz w:val="21"/>
      <w:szCs w:val="21"/>
      <w:u w:val="none"/>
    </w:rPr>
  </w:style>
  <w:style w:type="character" w:customStyle="1" w:styleId="56">
    <w:name w:val="页码1"/>
    <w:basedOn w:val="25"/>
    <w:qFormat/>
    <w:uiPriority w:val="0"/>
  </w:style>
  <w:style w:type="character" w:customStyle="1" w:styleId="57">
    <w:name w:val="font01"/>
    <w:basedOn w:val="25"/>
    <w:qFormat/>
    <w:uiPriority w:val="0"/>
    <w:rPr>
      <w:rFonts w:hint="default" w:ascii="Calibri" w:hAnsi="Calibri" w:cs="Calibri"/>
      <w:b/>
      <w:bCs/>
      <w:color w:val="000000"/>
      <w:sz w:val="21"/>
      <w:szCs w:val="21"/>
      <w:u w:val="none"/>
    </w:rPr>
  </w:style>
  <w:style w:type="character" w:customStyle="1" w:styleId="58">
    <w:name w:val="日期 字符"/>
    <w:qFormat/>
    <w:uiPriority w:val="0"/>
    <w:rPr>
      <w:rFonts w:ascii="Times New Roman" w:hAnsi="Times New Roman" w:eastAsia="宋体"/>
      <w:sz w:val="24"/>
    </w:rPr>
  </w:style>
  <w:style w:type="character" w:customStyle="1" w:styleId="59">
    <w:name w:val="font51"/>
    <w:basedOn w:val="25"/>
    <w:qFormat/>
    <w:uiPriority w:val="0"/>
    <w:rPr>
      <w:rFonts w:hint="eastAsia" w:ascii="宋体" w:hAnsi="宋体" w:eastAsia="宋体" w:cs="宋体"/>
      <w:b/>
      <w:bCs/>
      <w:color w:val="000000"/>
      <w:sz w:val="20"/>
      <w:szCs w:val="20"/>
      <w:u w:val="none"/>
    </w:rPr>
  </w:style>
  <w:style w:type="paragraph" w:customStyle="1" w:styleId="60">
    <w:name w:val="报告正文"/>
    <w:basedOn w:val="1"/>
    <w:qFormat/>
    <w:uiPriority w:val="0"/>
    <w:pPr>
      <w:spacing w:line="360" w:lineRule="auto"/>
      <w:ind w:firstLine="536" w:firstLineChars="200"/>
    </w:pPr>
    <w:rPr>
      <w:spacing w:val="14"/>
      <w:sz w:val="24"/>
    </w:rPr>
  </w:style>
  <w:style w:type="paragraph" w:customStyle="1" w:styleId="61">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62">
    <w:name w:val="无间隔1"/>
    <w:next w:val="1"/>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3">
    <w:name w:val="页眉1"/>
    <w:basedOn w:val="1"/>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64">
    <w:name w:val="大表格内容"/>
    <w:basedOn w:val="1"/>
    <w:next w:val="1"/>
    <w:qFormat/>
    <w:uiPriority w:val="0"/>
    <w:pPr>
      <w:adjustRightInd w:val="0"/>
      <w:snapToGrid w:val="0"/>
      <w:jc w:val="center"/>
    </w:pPr>
    <w:rPr>
      <w:rFonts w:ascii="宋体" w:hAnsi="宋体"/>
      <w:kern w:val="0"/>
      <w:szCs w:val="20"/>
    </w:rPr>
  </w:style>
  <w:style w:type="paragraph" w:customStyle="1" w:styleId="65">
    <w:name w:val="Table Text"/>
    <w:basedOn w:val="1"/>
    <w:qFormat/>
    <w:uiPriority w:val="0"/>
    <w:rPr>
      <w:rFonts w:ascii="宋体" w:hAnsi="宋体" w:cs="宋体"/>
      <w:sz w:val="20"/>
      <w:szCs w:val="20"/>
      <w:lang w:eastAsia="en-US"/>
    </w:rPr>
  </w:style>
  <w:style w:type="paragraph" w:customStyle="1" w:styleId="66">
    <w:name w:val="称呼1"/>
    <w:basedOn w:val="1"/>
    <w:next w:val="1"/>
    <w:qFormat/>
    <w:uiPriority w:val="0"/>
    <w:pPr>
      <w:widowControl/>
      <w:jc w:val="left"/>
    </w:pPr>
    <w:rPr>
      <w:kern w:val="0"/>
      <w:sz w:val="24"/>
    </w:rPr>
  </w:style>
  <w:style w:type="paragraph" w:customStyle="1" w:styleId="67">
    <w:name w:val="列表1"/>
    <w:basedOn w:val="1"/>
    <w:qFormat/>
    <w:uiPriority w:val="0"/>
    <w:pPr>
      <w:ind w:left="200" w:hanging="200" w:hangingChars="200"/>
    </w:pPr>
  </w:style>
  <w:style w:type="paragraph" w:customStyle="1" w:styleId="68">
    <w:name w:val="正文文本首行缩进1"/>
    <w:basedOn w:val="5"/>
    <w:next w:val="1"/>
    <w:qFormat/>
    <w:uiPriority w:val="0"/>
    <w:pPr>
      <w:widowControl w:val="0"/>
      <w:snapToGrid/>
      <w:spacing w:before="0" w:after="120" w:line="240" w:lineRule="auto"/>
      <w:ind w:right="0" w:firstLine="420" w:firstLineChars="100"/>
    </w:pPr>
    <w:rPr>
      <w:sz w:val="21"/>
    </w:rPr>
  </w:style>
  <w:style w:type="paragraph" w:customStyle="1" w:styleId="69">
    <w:name w:val="文本正文"/>
    <w:basedOn w:val="1"/>
    <w:qFormat/>
    <w:uiPriority w:val="0"/>
    <w:pPr>
      <w:snapToGrid w:val="0"/>
      <w:spacing w:line="360" w:lineRule="auto"/>
      <w:ind w:firstLine="510"/>
      <w:jc w:val="left"/>
    </w:pPr>
    <w:rPr>
      <w:spacing w:val="4"/>
      <w:kern w:val="24"/>
      <w:lang w:val="zh-CN"/>
    </w:rPr>
  </w:style>
  <w:style w:type="paragraph" w:customStyle="1" w:styleId="70">
    <w:name w:val="纯文本1"/>
    <w:basedOn w:val="1"/>
    <w:qFormat/>
    <w:uiPriority w:val="0"/>
    <w:pPr>
      <w:adjustRightInd w:val="0"/>
      <w:textAlignment w:val="baseline"/>
    </w:pPr>
    <w:rPr>
      <w:rFonts w:ascii="宋体" w:hAnsi="Courier New"/>
      <w:szCs w:val="20"/>
    </w:rPr>
  </w:style>
  <w:style w:type="paragraph" w:customStyle="1" w:styleId="71">
    <w:name w:val="表文中"/>
    <w:basedOn w:val="1"/>
    <w:qFormat/>
    <w:uiPriority w:val="0"/>
    <w:pPr>
      <w:jc w:val="center"/>
    </w:pPr>
    <w:rPr>
      <w:szCs w:val="21"/>
    </w:rPr>
  </w:style>
  <w:style w:type="paragraph" w:customStyle="1" w:styleId="72">
    <w:name w:val="样式1"/>
    <w:basedOn w:val="1"/>
    <w:qFormat/>
    <w:uiPriority w:val="0"/>
    <w:pPr>
      <w:spacing w:line="360" w:lineRule="auto"/>
      <w:ind w:firstLine="720" w:firstLineChars="200"/>
    </w:pPr>
    <w:rPr>
      <w:spacing w:val="-7"/>
      <w:sz w:val="24"/>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4">
    <w:name w:val="1.5倍行距"/>
    <w:basedOn w:val="1"/>
    <w:next w:val="1"/>
    <w:qFormat/>
    <w:uiPriority w:val="0"/>
    <w:pPr>
      <w:spacing w:line="360" w:lineRule="auto"/>
      <w:ind w:firstLine="200" w:firstLineChars="200"/>
      <w:jc w:val="left"/>
    </w:pPr>
  </w:style>
  <w:style w:type="paragraph" w:customStyle="1" w:styleId="75">
    <w:name w:val="正文文本缩进 31"/>
    <w:basedOn w:val="1"/>
    <w:qFormat/>
    <w:uiPriority w:val="0"/>
    <w:pPr>
      <w:ind w:left="420" w:leftChars="200"/>
    </w:pPr>
    <w:rPr>
      <w:sz w:val="16"/>
      <w:szCs w:val="16"/>
    </w:rPr>
  </w:style>
  <w:style w:type="paragraph" w:customStyle="1" w:styleId="76">
    <w:name w:val="正文文本首行缩进 21"/>
    <w:basedOn w:val="36"/>
    <w:next w:val="68"/>
    <w:qFormat/>
    <w:uiPriority w:val="0"/>
    <w:pPr>
      <w:ind w:firstLine="420" w:firstLineChars="200"/>
    </w:pPr>
    <w:rPr>
      <w:sz w:val="21"/>
    </w:rPr>
  </w:style>
  <w:style w:type="paragraph" w:customStyle="1" w:styleId="77">
    <w:name w:val="表格文字1"/>
    <w:basedOn w:val="1"/>
    <w:qFormat/>
    <w:uiPriority w:val="0"/>
    <w:pPr>
      <w:snapToGrid w:val="0"/>
      <w:spacing w:line="360" w:lineRule="atLeast"/>
      <w:jc w:val="center"/>
    </w:pPr>
    <w:rPr>
      <w:sz w:val="18"/>
      <w:szCs w:val="20"/>
    </w:rPr>
  </w:style>
  <w:style w:type="paragraph" w:customStyle="1" w:styleId="7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表1"/>
    <w:next w:val="1"/>
    <w:qFormat/>
    <w:uiPriority w:val="0"/>
    <w:pPr>
      <w:numPr>
        <w:ilvl w:val="0"/>
        <w:numId w:val="1"/>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80">
    <w:name w:val="正文(首行缩进)"/>
    <w:basedOn w:val="1"/>
    <w:qFormat/>
    <w:uiPriority w:val="0"/>
    <w:pPr>
      <w:adjustRightInd w:val="0"/>
      <w:snapToGrid w:val="0"/>
      <w:ind w:firstLine="200"/>
    </w:pPr>
    <w:rPr>
      <w:kern w:val="0"/>
    </w:rPr>
  </w:style>
  <w:style w:type="paragraph" w:customStyle="1" w:styleId="81">
    <w:name w:val="纯文本2"/>
    <w:basedOn w:val="1"/>
    <w:next w:val="1"/>
    <w:qFormat/>
    <w:uiPriority w:val="0"/>
    <w:rPr>
      <w:rFonts w:ascii="宋体" w:hAnsi="Courier New"/>
      <w:kern w:val="0"/>
      <w:szCs w:val="21"/>
    </w:rPr>
  </w:style>
  <w:style w:type="paragraph" w:customStyle="1" w:styleId="82">
    <w:name w:val="p15"/>
    <w:basedOn w:val="1"/>
    <w:qFormat/>
    <w:uiPriority w:val="0"/>
    <w:pPr>
      <w:widowControl/>
      <w:spacing w:line="360" w:lineRule="auto"/>
    </w:pPr>
    <w:rPr>
      <w:rFonts w:ascii="Arial" w:hAnsi="Arial" w:cs="Arial"/>
      <w:kern w:val="0"/>
      <w:sz w:val="20"/>
      <w:szCs w:val="20"/>
    </w:rPr>
  </w:style>
  <w:style w:type="paragraph" w:customStyle="1" w:styleId="83">
    <w:name w:val="表格标题"/>
    <w:basedOn w:val="1"/>
    <w:next w:val="1"/>
    <w:qFormat/>
    <w:uiPriority w:val="0"/>
    <w:pPr>
      <w:jc w:val="center"/>
    </w:pPr>
    <w:rPr>
      <w:b/>
    </w:rPr>
  </w:style>
  <w:style w:type="paragraph" w:customStyle="1" w:styleId="84">
    <w:name w:val="表格内容"/>
    <w:basedOn w:val="83"/>
    <w:qFormat/>
    <w:uiPriority w:val="0"/>
    <w:rPr>
      <w:szCs w:val="21"/>
    </w:rPr>
  </w:style>
  <w:style w:type="paragraph" w:customStyle="1" w:styleId="85">
    <w:name w:val="表格内容（标）"/>
    <w:next w:val="1"/>
    <w:qFormat/>
    <w:uiPriority w:val="0"/>
    <w:pPr>
      <w:widowControl w:val="0"/>
      <w:spacing w:line="360" w:lineRule="exact"/>
      <w:jc w:val="center"/>
    </w:pPr>
    <w:rPr>
      <w:rFonts w:ascii="Times New Roman" w:hAnsi="Times New Roman" w:eastAsia="宋体" w:cs="宋体"/>
      <w:kern w:val="2"/>
      <w:sz w:val="21"/>
      <w:lang w:val="en-US" w:eastAsia="zh-CN" w:bidi="ar-SA"/>
    </w:rPr>
  </w:style>
  <w:style w:type="paragraph" w:customStyle="1" w:styleId="86">
    <w:name w:val="文本"/>
    <w:basedOn w:val="37"/>
    <w:qFormat/>
    <w:uiPriority w:val="0"/>
    <w:pPr>
      <w:autoSpaceDE w:val="0"/>
      <w:autoSpaceDN w:val="0"/>
      <w:ind w:firstLine="480"/>
    </w:pPr>
    <w:rPr>
      <w:szCs w:val="24"/>
      <w:lang w:val="zh-CN"/>
    </w:rPr>
  </w:style>
  <w:style w:type="paragraph" w:customStyle="1" w:styleId="87">
    <w:name w:val="表头字体"/>
    <w:basedOn w:val="1"/>
    <w:qFormat/>
    <w:uiPriority w:val="0"/>
    <w:pPr>
      <w:jc w:val="center"/>
    </w:pPr>
    <w:rPr>
      <w:b/>
    </w:rPr>
  </w:style>
  <w:style w:type="paragraph" w:customStyle="1" w:styleId="88">
    <w:name w:val="正文文字"/>
    <w:basedOn w:val="1"/>
    <w:qFormat/>
    <w:uiPriority w:val="0"/>
    <w:pPr>
      <w:spacing w:line="360" w:lineRule="auto"/>
      <w:ind w:firstLine="480" w:firstLineChars="200"/>
      <w:jc w:val="left"/>
    </w:pPr>
    <w:rPr>
      <w:sz w:val="24"/>
    </w:rPr>
  </w:style>
  <w:style w:type="paragraph" w:customStyle="1" w:styleId="89">
    <w:name w:val="表格文本"/>
    <w:basedOn w:val="1"/>
    <w:qFormat/>
    <w:uiPriority w:val="0"/>
    <w:pPr>
      <w:snapToGrid w:val="0"/>
      <w:spacing w:line="312" w:lineRule="auto"/>
      <w:jc w:val="center"/>
    </w:pPr>
    <w:rPr>
      <w:szCs w:val="22"/>
      <w:lang w:val="zh-CN"/>
    </w:rPr>
  </w:style>
  <w:style w:type="paragraph" w:customStyle="1" w:styleId="90">
    <w:name w:val="列表编号 51"/>
    <w:basedOn w:val="1"/>
    <w:qFormat/>
    <w:uiPriority w:val="0"/>
    <w:pPr>
      <w:numPr>
        <w:ilvl w:val="0"/>
        <w:numId w:val="2"/>
      </w:numPr>
    </w:pPr>
  </w:style>
  <w:style w:type="paragraph" w:customStyle="1" w:styleId="91">
    <w:name w:val="表标题"/>
    <w:basedOn w:val="1"/>
    <w:next w:val="1"/>
    <w:qFormat/>
    <w:uiPriority w:val="0"/>
    <w:pPr>
      <w:keepNext/>
      <w:jc w:val="center"/>
    </w:pPr>
    <w:rPr>
      <w:b/>
    </w:rPr>
  </w:style>
  <w:style w:type="paragraph" w:customStyle="1" w:styleId="92">
    <w:name w:val="表格文字"/>
    <w:basedOn w:val="62"/>
    <w:next w:val="1"/>
    <w:qFormat/>
    <w:uiPriority w:val="0"/>
    <w:pPr>
      <w:adjustRightInd w:val="0"/>
      <w:spacing w:line="240" w:lineRule="auto"/>
      <w:ind w:firstLine="0" w:firstLineChars="0"/>
      <w:jc w:val="center"/>
    </w:pPr>
    <w:rPr>
      <w:sz w:val="21"/>
    </w:rPr>
  </w:style>
  <w:style w:type="paragraph" w:customStyle="1" w:styleId="93">
    <w:name w:val="正文（首行缩进两字）m"/>
    <w:basedOn w:val="94"/>
    <w:qFormat/>
    <w:uiPriority w:val="0"/>
    <w:pPr>
      <w:tabs>
        <w:tab w:val="left" w:pos="1848"/>
        <w:tab w:val="left" w:pos="6061"/>
        <w:tab w:val="left" w:pos="8665"/>
      </w:tabs>
      <w:snapToGrid w:val="0"/>
      <w:spacing w:before="156" w:beforeLines="50" w:line="460" w:lineRule="exact"/>
      <w:ind w:firstLine="480"/>
    </w:pPr>
    <w:rPr>
      <w:rFonts w:ascii="宋体" w:hAnsi="宋体"/>
      <w:sz w:val="24"/>
    </w:rPr>
  </w:style>
  <w:style w:type="paragraph" w:customStyle="1" w:styleId="94">
    <w:name w:val="正文缩进11"/>
    <w:basedOn w:val="1"/>
    <w:qFormat/>
    <w:uiPriority w:val="0"/>
    <w:pPr>
      <w:ind w:firstLine="420"/>
    </w:pPr>
  </w:style>
  <w:style w:type="paragraph" w:customStyle="1" w:styleId="95">
    <w:name w:val="正文111"/>
    <w:basedOn w:val="1"/>
    <w:qFormat/>
    <w:uiPriority w:val="0"/>
    <w:pPr>
      <w:ind w:firstLine="720"/>
    </w:pPr>
  </w:style>
  <w:style w:type="paragraph" w:customStyle="1" w:styleId="96">
    <w:name w:val="文本22"/>
    <w:basedOn w:val="1"/>
    <w:qFormat/>
    <w:uiPriority w:val="0"/>
    <w:pPr>
      <w:autoSpaceDE w:val="0"/>
      <w:autoSpaceDN w:val="0"/>
      <w:adjustRightInd w:val="0"/>
      <w:spacing w:line="360" w:lineRule="auto"/>
      <w:ind w:firstLine="480" w:firstLineChars="200"/>
    </w:pPr>
    <w:rPr>
      <w:sz w:val="24"/>
    </w:rPr>
  </w:style>
  <w:style w:type="paragraph" w:customStyle="1" w:styleId="97">
    <w:name w:val="正文文本缩进 21"/>
    <w:basedOn w:val="1"/>
    <w:qFormat/>
    <w:uiPriority w:val="0"/>
    <w:pPr>
      <w:spacing w:line="500" w:lineRule="exact"/>
      <w:ind w:firstLine="570"/>
    </w:pPr>
    <w:rPr>
      <w:rFonts w:ascii="仿宋_GB2312" w:eastAsia="仿宋_GB2312"/>
      <w:sz w:val="28"/>
    </w:rPr>
  </w:style>
  <w:style w:type="paragraph" w:customStyle="1" w:styleId="98">
    <w:name w:val="样式 标题 1 + 四号 段前: 0 磅 段后: 0 磅 行距: 1.5 倍行距"/>
    <w:basedOn w:val="99"/>
    <w:next w:val="1"/>
    <w:qFormat/>
    <w:uiPriority w:val="0"/>
    <w:pPr>
      <w:spacing w:line="360" w:lineRule="auto"/>
      <w:jc w:val="center"/>
    </w:pPr>
  </w:style>
  <w:style w:type="paragraph" w:customStyle="1" w:styleId="99">
    <w:name w:val="1正文"/>
    <w:basedOn w:val="1"/>
    <w:qFormat/>
    <w:uiPriority w:val="0"/>
    <w:pPr>
      <w:spacing w:line="500" w:lineRule="exact"/>
      <w:ind w:firstLine="588" w:firstLineChars="196"/>
    </w:pPr>
    <w:rPr>
      <w:rFonts w:eastAsia="楷体_GB2312"/>
      <w:sz w:val="30"/>
      <w:szCs w:val="30"/>
    </w:rPr>
  </w:style>
  <w:style w:type="paragraph" w:customStyle="1" w:styleId="10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01">
    <w:name w:val="二级正文"/>
    <w:basedOn w:val="102"/>
    <w:next w:val="1"/>
    <w:qFormat/>
    <w:uiPriority w:val="0"/>
    <w:pPr>
      <w:ind w:firstLine="562" w:firstLineChars="200"/>
    </w:pPr>
  </w:style>
  <w:style w:type="paragraph" w:customStyle="1" w:styleId="102">
    <w:name w:val="一级正文"/>
    <w:basedOn w:val="1"/>
    <w:next w:val="1"/>
    <w:qFormat/>
    <w:uiPriority w:val="0"/>
    <w:rPr>
      <w:b/>
    </w:rPr>
  </w:style>
  <w:style w:type="paragraph" w:customStyle="1" w:styleId="103">
    <w:name w:val="Table Paragraph"/>
    <w:basedOn w:val="1"/>
    <w:qFormat/>
    <w:uiPriority w:val="0"/>
    <w:rPr>
      <w:rFonts w:ascii="宋体" w:hAnsi="宋体" w:cs="宋体"/>
    </w:rPr>
  </w:style>
  <w:style w:type="paragraph" w:customStyle="1" w:styleId="104">
    <w:name w:val="WPSOffice手动目录 1"/>
    <w:qFormat/>
    <w:uiPriority w:val="0"/>
    <w:rPr>
      <w:rFonts w:ascii="Times New Roman" w:hAnsi="Times New Roman" w:eastAsia="宋体" w:cs="Times New Roman"/>
      <w:lang w:val="en-US" w:eastAsia="zh-CN" w:bidi="ar-SA"/>
    </w:rPr>
  </w:style>
  <w:style w:type="paragraph" w:customStyle="1" w:styleId="105">
    <w:name w:val="Default"/>
    <w:basedOn w:val="106"/>
    <w:qFormat/>
    <w:uiPriority w:val="0"/>
    <w:pPr>
      <w:autoSpaceDE w:val="0"/>
      <w:autoSpaceDN w:val="0"/>
      <w:adjustRightInd w:val="0"/>
    </w:pPr>
    <w:rPr>
      <w:rFonts w:ascii="宋体" w:cs="宋体"/>
      <w:sz w:val="24"/>
    </w:rPr>
  </w:style>
  <w:style w:type="paragraph" w:customStyle="1" w:styleId="10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7">
    <w:name w:val="样式 样式 首行缩进:  2 字符 + 首行缩进:  2 字符"/>
    <w:next w:val="20"/>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customStyle="1" w:styleId="108">
    <w:name w:val="列表段落1"/>
    <w:basedOn w:val="1"/>
    <w:qFormat/>
    <w:uiPriority w:val="0"/>
    <w:pPr>
      <w:ind w:left="1733" w:hanging="601"/>
    </w:pPr>
    <w:rPr>
      <w:rFonts w:ascii="宋体" w:hAnsi="宋体" w:cs="宋体"/>
    </w:rPr>
  </w:style>
  <w:style w:type="paragraph" w:customStyle="1" w:styleId="109">
    <w:name w:val="中文报告书样式"/>
    <w:basedOn w:val="1"/>
    <w:qFormat/>
    <w:uiPriority w:val="0"/>
    <w:pPr>
      <w:adjustRightInd w:val="0"/>
      <w:spacing w:line="480" w:lineRule="atLeast"/>
      <w:ind w:firstLine="482"/>
      <w:textAlignment w:val="baseline"/>
    </w:pPr>
    <w:rPr>
      <w:kern w:val="24"/>
      <w:sz w:val="24"/>
    </w:rPr>
  </w:style>
  <w:style w:type="paragraph" w:customStyle="1" w:styleId="110">
    <w:name w:val="表"/>
    <w:basedOn w:val="13"/>
    <w:qFormat/>
    <w:uiPriority w:val="0"/>
    <w:rPr>
      <w:lang w:val="zh-CN"/>
    </w:rPr>
  </w:style>
  <w:style w:type="paragraph" w:customStyle="1" w:styleId="111">
    <w:name w:val="y文本"/>
    <w:basedOn w:val="1"/>
    <w:qFormat/>
    <w:uiPriority w:val="0"/>
    <w:pPr>
      <w:spacing w:line="360" w:lineRule="auto"/>
      <w:ind w:firstLine="200" w:firstLineChars="200"/>
    </w:pPr>
    <w:rPr>
      <w:rFonts w:cs="宋体"/>
      <w:szCs w:val="20"/>
    </w:rPr>
  </w:style>
  <w:style w:type="paragraph" w:customStyle="1" w:styleId="112">
    <w:name w:val="Char"/>
    <w:basedOn w:val="1"/>
    <w:qFormat/>
    <w:uiPriority w:val="0"/>
    <w:pPr>
      <w:widowControl/>
      <w:spacing w:after="160" w:line="240" w:lineRule="exact"/>
      <w:jc w:val="left"/>
    </w:pPr>
  </w:style>
  <w:style w:type="paragraph" w:customStyle="1" w:styleId="113">
    <w:name w:val="样式 正文缩进正文缩进2正文缩进 Char Char正文缩进 Char Char Char Char正文缩进 Char ..."/>
    <w:basedOn w:val="10"/>
    <w:qFormat/>
    <w:uiPriority w:val="0"/>
    <w:pPr>
      <w:spacing w:line="360" w:lineRule="auto"/>
      <w:ind w:firstLine="200"/>
    </w:pPr>
    <w:rPr>
      <w:rFonts w:cs="宋体"/>
    </w:rPr>
  </w:style>
  <w:style w:type="paragraph" w:customStyle="1" w:styleId="114">
    <w:name w:val="正文小四"/>
    <w:basedOn w:val="1"/>
    <w:qFormat/>
    <w:uiPriority w:val="0"/>
    <w:pPr>
      <w:adjustRightInd w:val="0"/>
      <w:snapToGrid w:val="0"/>
      <w:spacing w:line="360" w:lineRule="auto"/>
      <w:ind w:firstLine="200" w:firstLineChars="200"/>
      <w:textAlignment w:val="baseline"/>
    </w:pPr>
    <w:rPr>
      <w:snapToGrid w:val="0"/>
      <w:kern w:val="0"/>
      <w:sz w:val="24"/>
      <w:szCs w:val="20"/>
    </w:rPr>
  </w:style>
  <w:style w:type="paragraph" w:customStyle="1" w:styleId="115">
    <w:name w:val="列表段落2"/>
    <w:basedOn w:val="1"/>
    <w:qFormat/>
    <w:uiPriority w:val="0"/>
    <w:pPr>
      <w:ind w:firstLine="420" w:firstLineChars="200"/>
    </w:pPr>
    <w:rPr>
      <w:szCs w:val="21"/>
    </w:rPr>
  </w:style>
  <w:style w:type="table" w:customStyle="1" w:styleId="116">
    <w:name w:val="Table Normal"/>
    <w:unhideWhenUsed/>
    <w:qFormat/>
    <w:uiPriority w:val="0"/>
    <w:tblPr>
      <w:tblCellMar>
        <w:top w:w="0" w:type="dxa"/>
        <w:left w:w="0" w:type="dxa"/>
        <w:bottom w:w="0" w:type="dxa"/>
        <w:right w:w="0" w:type="dxa"/>
      </w:tblCellMar>
    </w:tblPr>
  </w:style>
  <w:style w:type="paragraph" w:customStyle="1" w:styleId="117">
    <w:name w:val="表头图名"/>
    <w:basedOn w:val="1"/>
    <w:qFormat/>
    <w:uiPriority w:val="0"/>
    <w:pPr>
      <w:adjustRightInd w:val="0"/>
      <w:snapToGrid w:val="0"/>
      <w:jc w:val="center"/>
    </w:pPr>
    <w:rPr>
      <w:b/>
      <w:color w:val="000000"/>
      <w:szCs w:val="21"/>
    </w:rPr>
  </w:style>
  <w:style w:type="paragraph" w:customStyle="1" w:styleId="118">
    <w:name w:val="正文▲"/>
    <w:basedOn w:val="1"/>
    <w:qFormat/>
    <w:uiPriority w:val="0"/>
    <w:pPr>
      <w:widowControl/>
      <w:spacing w:line="360" w:lineRule="auto"/>
      <w:ind w:firstLine="200" w:firstLineChars="200"/>
      <w:jc w:val="left"/>
    </w:pPr>
    <w:rPr>
      <w:color w:val="000000"/>
      <w:sz w:val="24"/>
    </w:rPr>
  </w:style>
  <w:style w:type="character" w:customStyle="1" w:styleId="119">
    <w:name w:val="lh-正文-报告书 Char"/>
    <w:link w:val="120"/>
    <w:qFormat/>
    <w:uiPriority w:val="0"/>
    <w:rPr>
      <w:snapToGrid w:val="0"/>
      <w:sz w:val="24"/>
      <w:szCs w:val="21"/>
      <w:lang w:val="en-GB" w:eastAsia="zh-CN" w:bidi="ar-SA"/>
    </w:rPr>
  </w:style>
  <w:style w:type="paragraph" w:customStyle="1" w:styleId="120">
    <w:name w:val="lh-正文-报告书"/>
    <w:link w:val="119"/>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121">
    <w:name w:val="表格文字-报告书"/>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122">
    <w:name w:val="表题-报告书正文"/>
    <w:next w:val="121"/>
    <w:qFormat/>
    <w:uiPriority w:val="0"/>
    <w:pPr>
      <w:keepNext/>
      <w:numPr>
        <w:ilvl w:val="3"/>
        <w:numId w:val="3"/>
      </w:numPr>
      <w:adjustRightInd w:val="0"/>
      <w:snapToGrid w:val="0"/>
      <w:jc w:val="center"/>
    </w:pPr>
    <w:rPr>
      <w:rFonts w:ascii="Times New Roman" w:hAnsi="Times New Roman" w:eastAsia="宋体" w:cs="Times New Roman"/>
      <w:b/>
      <w:bCs/>
      <w:snapToGrid w:val="0"/>
      <w:sz w:val="24"/>
      <w:szCs w:val="24"/>
      <w:lang w:val="en-US" w:eastAsia="zh-CN" w:bidi="ar-SA"/>
    </w:rPr>
  </w:style>
  <w:style w:type="paragraph" w:customStyle="1" w:styleId="123">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124">
    <w:name w:val="批注主题 字符"/>
    <w:basedOn w:val="30"/>
    <w:link w:val="22"/>
    <w:qFormat/>
    <w:uiPriority w:val="0"/>
    <w:rPr>
      <w:rFonts w:ascii="Times New Roman" w:hAnsi="Times New Roman" w:eastAsia="宋体"/>
      <w:b/>
      <w:bCs/>
      <w:kern w:val="2"/>
      <w:sz w:val="21"/>
      <w:szCs w:val="24"/>
    </w:rPr>
  </w:style>
  <w:style w:type="character" w:customStyle="1" w:styleId="125">
    <w:name w:val="Unresolved Mention"/>
    <w:basedOn w:val="2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oleObject" Target="embeddings/Microsoft_Visio_2003-2010___2.vsd"/><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Microsoft_Visio_2003-2010___1.vsd"/><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"/>
    </extobj>
  </extobjs>
</s:customData>
</file>

<file path=customXml/item2.xml><?xml version="1.0" encoding="utf-8"?>
<contractReview xmlns="http://schemas.wps.cn/vas-ai-hub/contract-review">
  <reviewItems>
    <reviewItem>
      <errorID>5a937c10-29f4-43bd-9780-9a39f1f5d578</errorID>
      <errorWord>二级</errorWord>
      <group>L1_AI</group>
      <groupName>深度校对</groupName>
      <ability>L2_AI_Punc</ability>
      <abilityName>标点纠错</abilityName>
      <candidateList>
        <item>：二级</item>
      </candidateList>
      <explain/>
      <paraID>5C3961B2</paraID>
      <start>4</start>
      <end>6</end>
      <status>ignored</status>
      <modifiedWord/>
      <trackRevisions>false</trackRevisions>
    </reviewItem>
    <reviewItem>
      <errorID>079480ec-29fd-45f5-b39a-faf7a996e409</errorID>
      <errorWord>废弃</errorWord>
      <group>L1_AI</group>
      <groupName>深度校对</groupName>
      <ability>L2_AI_Word</ability>
      <abilityName>字词纠错</abilityName>
      <candidateList>
        <item>废弃物</item>
      </candidateList>
      <explain/>
      <paraID>5228A203</paraID>
      <start>29</start>
      <end>31</end>
      <status>unmodified</status>
      <modifiedWord/>
      <trackRevisions>false</trackRevisions>
    </reviewItem>
    <reviewItem>
      <errorID>5e203113-64d0-4dd7-a0e3-7f6a44463a71</errorID>
      <errorWord>规划</errorWord>
      <group>L1_AI</group>
      <groupName>深度校对</groupName>
      <ability>L2_AI_Punc</ability>
      <abilityName>标点纠错</abilityName>
      <candidateList>
        <item>”；规划</item>
      </candidateList>
      <explain/>
      <paraID>27B7D7EC</paraID>
      <start>74</start>
      <end>76</end>
      <status>unmodified</status>
      <modifiedWord/>
      <trackRevisions>false</trackRevisions>
    </reviewItem>
    <reviewItem>
      <errorID>e478750e-ebaf-45eb-a64d-dc1117813f86</errorID>
      <errorWord>于</errorWord>
      <group>L1_AI</group>
      <groupName>深度校对</groupName>
      <ability>L2_AI_Word</ability>
      <abilityName>字词纠错</abilityName>
      <candidateList>
        <item>在</item>
      </candidateList>
      <explain/>
      <paraID>4238FB3A</paraID>
      <start>10</start>
      <end>11</end>
      <status>unmodified</status>
      <modifiedWord/>
      <trackRevisions>false</trackRevisions>
    </reviewItem>
    <reviewItem>
      <errorID>9e9dc932-094a-441f-8ad0-ff2dba67489d</errorID>
      <errorWord>运营保障</errorWord>
      <group>L1_AI</group>
      <groupName>深度校对</groupName>
      <ability>L2_AI_Grammar</ability>
      <abilityName>语法纠错</abilityName>
      <candidateList>
        <item>运营</item>
      </candidateList>
      <explain/>
      <paraID>4238FB3A</paraID>
      <start>63</start>
      <end>67</end>
      <status>unmodified</status>
      <modifiedWord/>
      <trackRevisions>false</trackRevisions>
    </reviewItem>
    <reviewItem>
      <errorID>76e38303-651c-439d-a331-a04c7e17ff01</errorID>
      <errorWord>勘查</errorWord>
      <group>L1_Word</group>
      <groupName>字词问题</groupName>
      <ability>L2_Typo</ability>
      <abilityName>字词错误</abilityName>
      <candidateList>
        <item>勘察</item>
      </candidateList>
      <explain>存在发音相同字词的误用。</explain>
      <paraID>4892B36E</paraID>
      <start>108</start>
      <end>110</end>
      <status>unmodified</status>
      <modifiedWord/>
      <trackRevisions>false</trackRevisions>
    </reviewItem>
    <reviewItem>
      <errorID>742023cc-c476-403b-a1d8-10a5fb4efec0</errorID>
      <errorWord>巿</errorWord>
      <group>L1_Word</group>
      <groupName>字词问题</groupName>
      <ability>L2_Variant</ability>
      <abilityName>异形词</abilityName>
      <candidateList>
        <item>市</item>
      </candidateList>
      <explain>词汇[巿]的规范词形写作[市]。</explain>
      <paraID>18324C3F</paraID>
      <start>44</start>
      <end>45</end>
      <status>unmodified</status>
      <modifiedWord/>
      <trackRevisions>false</trackRevisions>
    </reviewItem>
    <reviewItem>
      <errorID>4ffe5d6a-f71d-49f7-b896-21b5e4ce5b67</errorID>
      <errorWord>II</errorWord>
      <group>L1_Knowledge</group>
      <groupName>知识性问题</groupName>
      <ability>L2_Knowledge</ability>
      <abilityName>其他知识</abilityName>
      <candidateList>
        <item>Ⅱ</item>
      </candidateList>
      <explain/>
      <paraID>2EAD1F91</paraID>
      <start>64</start>
      <end>66</end>
      <status>unmodified</status>
      <modifiedWord/>
      <trackRevisions>false</trackRevisions>
    </reviewItem>
    <reviewItem>
      <errorID>42a3109c-94a9-4b78-b05b-0738f9102376</errorID>
      <errorWord>加强</errorWord>
      <group>L1_Grammar</group>
      <groupName>语法问题</groupName>
      <ability>L2_Grammar</ability>
      <abilityName>语法错误</abilityName>
      <candidateList>
        <item>加大</item>
      </candidateList>
      <explain>“加强～力度”搭配不当，建议修改为“加大～力度”。</explain>
      <paraID>4D1A1102</paraID>
      <start>0</start>
      <end>2</end>
      <status>unmodified</status>
      <modifiedWord/>
      <trackRevisions>false</trackRevisions>
    </reviewItem>
    <reviewItem>
      <errorID>17ac8d90-6c6b-492e-8877-ace90c29f401</errorID>
      <errorWord>点</errorWord>
      <group>L1_Word</group>
      <groupName>字词问题</groupName>
      <ability>L2_Typo</ability>
      <abilityName>字词错误</abilityName>
      <candidateList>
        <item>点污</item>
      </candidateList>
      <explain/>
      <paraID> 5F7740F</paraID>
      <start>26</start>
      <end>27</end>
      <status>unmodified</status>
      <modifiedWord/>
      <trackRevisions>false</trackRevisions>
    </reviewItem>
    <reviewItem>
      <errorID>16926e79-4218-4f5b-88b2-d95d1b3487c0</errorID>
      <errorWord>下图</errorWord>
      <group>L1_Word</group>
      <groupName>字词问题</groupName>
      <ability>L2_Typo</ability>
      <abilityName>字词错误</abilityName>
      <candidateList>
        <item>图</item>
      </candidateList>
      <explain/>
      <paraID> 9F091FA</paraID>
      <start>12</start>
      <end>14</end>
      <status>ignored</status>
      <modifiedWord/>
      <trackRevisions>false</trackRevisions>
    </reviewItem>
    <reviewItem>
      <errorID>38b8ea0b-4165-40f6-b1ee-eef0169115e5</errorID>
      <errorWord>成</errorWord>
      <group>L1_Word</group>
      <groupName>字词问题</groupName>
      <ability>L2_Typo</ability>
      <abilityName>字词错误</abilityName>
      <candidateList>
        <item>成的</item>
      </candidateList>
      <explain/>
      <paraID>4226C168</paraID>
      <start>5</start>
      <end>6</end>
      <status>unmodified</status>
      <modifiedWord/>
      <trackRevisions>false</trackRevisions>
    </reviewItem>
    <reviewItem>
      <errorID>d9f74d3f-e0c0-4756-9e4f-e27a158b8adb</errorID>
      <errorWord>导入</errorWord>
      <group>L1_Word</group>
      <groupName>字词问题</groupName>
      <ability>L2_Typo</ability>
      <abilityName>字词错误</abilityName>
      <candidateList>
        <item>倒入</item>
      </candidateList>
      <explain/>
      <paraID>2F47D9F3</paraID>
      <start>10</start>
      <end>12</end>
      <status>ignored</status>
      <modifiedWord/>
      <trackRevisions>false</trackRevisions>
    </reviewItem>
    <reviewItem>
      <errorID>fd4fd14b-ae5e-4161-a16c-ddce98146891</errorID>
      <errorWord>汽化</errorWord>
      <group>L1_Word</group>
      <groupName>字词问题</groupName>
      <ability>L2_Typo</ability>
      <abilityName>字词错误</abilityName>
      <candidateList>
        <item>气化</item>
      </candidateList>
      <explain/>
      <paraID>19D7A760</paraID>
      <start>160</start>
      <end>162</end>
      <status>ignored</status>
      <modifiedWord/>
      <trackRevisions>false</trackRevisions>
    </reviewItem>
    <reviewItem>
      <errorID>ec807991-6bd5-4d87-b094-be3c10d4e910</errorID>
      <errorWord>时</errorWord>
      <group>L1_Word</group>
      <groupName>字词问题</groupName>
      <ability>L2_Typo</ability>
      <abilityName>字词错误</abilityName>
      <candidateList>
        <item>时在</item>
      </candidateList>
      <explain/>
      <paraID>34274158</paraID>
      <start>122</start>
      <end>123</end>
      <status>unmodified</status>
      <modifiedWord/>
      <trackRevisions>false</trackRevisions>
    </reviewItem>
    <reviewItem>
      <errorID>f4ab2bfc-df10-46d6-a64c-543095c5904a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1805F22D</paraID>
      <start>30</start>
      <end>31</end>
      <status>unmodified</status>
      <modifiedWord/>
      <trackRevisions>false</trackRevisions>
    </reviewItem>
    <reviewItem>
      <errorID>d5f06036-81ff-490e-a0bf-71f46a1b15d2</errorID>
      <errorWord>气化</errorWord>
      <group>L1_Word</group>
      <groupName>字词问题</groupName>
      <ability>L2_Typo</ability>
      <abilityName>字词错误</abilityName>
      <candidateList>
        <item>汽化</item>
      </candidateList>
      <explain>存在发音相同字词的误用。</explain>
      <paraID>16676CC3</paraID>
      <start>60</start>
      <end>62</end>
      <status>unmodified</status>
      <modifiedWord/>
      <trackRevisions>false</trackRevisions>
    </reviewItem>
    <reviewItem>
      <errorID>a3001c1c-42bc-4c6d-b79a-23c9daa43ddd</errorID>
      <errorWord>废水处理及</errorWord>
      <group>L1_Knowledge</group>
      <groupName>知识性问题</groupName>
      <ability>L2_Term</ability>
      <abilityName>专业术语</abilityName>
      <candidateList>
        <item>废水处理厂</item>
      </candidateList>
      <explain/>
      <paraID>207204F8</paraID>
      <start>4</start>
      <end>9</end>
      <status>ignored</status>
      <modifiedWord/>
      <trackRevisions>false</trackRevisions>
    </reviewItem>
    <reviewItem>
      <errorID>fe708611-5a22-488b-816b-90eed7ed1979</errorID>
      <errorWord>～</errorWord>
      <group>L1_Format</group>
      <groupName>格式问题</groupName>
      <ability>L2_HalfPunc</ability>
      <abilityName>全半角检查</abilityName>
      <candidateList>
        <item>~</item>
      </candidateList>
      <explain>文本全半角错误。</explain>
      <paraID>26760B80</paraID>
      <start>1</start>
      <end>2</end>
      <status>ignored</status>
      <modifiedWord/>
      <trackRevisions>false</trackRevisions>
    </reviewItem>
    <reviewItem>
      <errorID>8b2394b2-6706-42bf-8d0d-f592a131bcda</errorID>
      <errorWord>&amp;</errorWord>
      <group>L1_Punc</group>
      <groupName>标点问题</groupName>
      <ability>L2_Punc</ability>
      <abilityName>标点符号检查</abilityName>
      <candidateList/>
      <explain/>
      <paraID>19575CC6</paraID>
      <start>0</start>
      <end>1</end>
      <status>ignored</status>
      <modifiedWord/>
      <trackRevisions>false</trackRevisions>
    </reviewItem>
    <reviewItem>
      <errorID>8cf93f62-9ba4-4e0c-97b2-42eb590f587d</errorID>
      <errorWord>&amp;</errorWord>
      <group>L1_Punc</group>
      <groupName>标点问题</groupName>
      <ability>L2_Punc</ability>
      <abilityName>标点符号检查</abilityName>
      <candidateList/>
      <explain/>
      <paraID> 1AF0705</paraID>
      <start>0</start>
      <end>1</end>
      <status>ignored</status>
      <modifiedWord/>
      <trackRevisions>false</trackRevisions>
    </reviewItem>
    <reviewItem>
      <errorID>5e249121-6aed-4863-b19f-f6fede1e9e8a</errorID>
      <errorWord>&amp;</errorWord>
      <group>L1_Punc</group>
      <groupName>标点问题</groupName>
      <ability>L2_Punc</ability>
      <abilityName>标点符号检查</abilityName>
      <candidateList/>
      <explain/>
      <paraID>1DD9FF69</paraID>
      <start>0</start>
      <end>1</end>
      <status>ignored</status>
      <modifiedWord/>
      <trackRevisions>false</trackRevisions>
    </reviewItem>
    <reviewItem>
      <errorID>1cd63011-8f78-4544-8b02-057bd3dcf8b2</errorID>
      <errorWord>&amp;</errorWord>
      <group>L1_Punc</group>
      <groupName>标点问题</groupName>
      <ability>L2_Punc</ability>
      <abilityName>标点符号检查</abilityName>
      <candidateList/>
      <explain/>
      <paraID>46BC1AB9</paraID>
      <start>0</start>
      <end>1</end>
      <status>ignored</status>
      <modifiedWord/>
      <trackRevisions>false</trackRevisions>
    </reviewItem>
    <reviewItem>
      <errorID>e8c6f44c-98f9-4cb1-9910-a75797c643e5</errorID>
      <errorWord>制标</errorWord>
      <group>L1_Word</group>
      <groupName>字词问题</groupName>
      <ability>L2_Typo</ability>
      <abilityName>字词错误</abilityName>
      <candidateList>
        <item>指标</item>
      </candidateList>
      <explain>存在发音相同字词的误用。</explain>
      <paraID>4BF0D78D</paraID>
      <start>0</start>
      <end>2</end>
      <status>unmodified</status>
      <modifiedWord/>
      <trackRevisions>false</trackRevisions>
    </reviewItem>
    <reviewItem>
      <errorID>c978b20a-e799-4da8-81ee-8c060d951198</errorID>
      <errorWord>则无组织</errorWord>
      <group>L1_Knowledge</group>
      <groupName>知识性问题</groupName>
      <ability>L2_Idiom</ability>
      <abilityName>成语和诗歌</abilityName>
      <candidateList>
        <item>目无组织</item>
      </candidateList>
      <explain/>
      <paraID>7BE12CF9</paraID>
      <start>239</start>
      <end>243</end>
      <status>ignored</status>
      <modifiedWord/>
      <trackRevisions>false</trackRevisions>
    </reviewItem>
    <reviewItem>
      <errorID>8c46a1b8-3810-422f-90b3-3f1657d2bcd4</errorID>
      <errorWord>套</errorWord>
      <group>L1_Knowledge</group>
      <groupName>知识性问题</groupName>
      <ability>L2_Knowledge</ability>
      <abilityName>其他知识</abilityName>
      <candidateList>
        <item>处</item>
      </candidateList>
      <explain>（處、䖏、処）chù〈名〉❶地方：住～｜心灵深～｜大～着眼，小～着手。❷机关组织系统中按业务划分的单位（级别一般比局低，比科高），也指某些机关：科研～｜总务～｜办事～｜联络～。</explain>
      <paraID>42661A60</paraID>
      <start>40</start>
      <end>41</end>
      <status>ignored</status>
      <modifiedWord/>
      <trackRevisions>false</trackRevisions>
    </reviewItem>
    <reviewItem>
      <errorID>63c78882-3627-47e9-b815-896750af39e5</errorID>
      <errorWord>强氧化反应</errorWord>
      <group>L1_Knowledge</group>
      <groupName>知识性问题</groupName>
      <ability>L2_Term</ability>
      <abilityName>专业术语</abilityName>
      <candidateList>
        <item>共氧化反应</item>
      </candidateList>
      <explain/>
      <paraID>6B146699</paraID>
      <start>47</start>
      <end>52</end>
      <status>ignored</status>
      <modifiedWord/>
      <trackRevisions>false</trackRevisions>
    </reviewItem>
    <reviewItem>
      <errorID>63699331-7c23-4b3b-a60a-acdbba41802b</errorID>
      <errorWord>中</errorWord>
      <group>L1_Word</group>
      <groupName>字词问题</groupName>
      <ability>L2_Typo</ability>
      <abilityName>字词错误</abilityName>
      <candidateList>
        <item>中第</item>
      </candidateList>
      <explain/>
      <paraID>1460D6BB</paraID>
      <start>87</start>
      <end>88</end>
      <status>ignored</status>
      <modifiedWord/>
      <trackRevisions>false</trackRevisions>
    </reviewItem>
    <reviewItem>
      <errorID>7f49af31-ccb3-44f0-89eb-92f501a5500b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7642236E</paraID>
      <start>26</start>
      <end>27</end>
      <status>ignored</status>
      <modifiedWord/>
      <trackRevisions>false</trackRevisions>
    </reviewItem>
    <reviewItem>
      <errorID>c2e283c8-40d9-4b05-9f7d-313a7f390a0f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120430AD</paraID>
      <start>26</start>
      <end>27</end>
      <status>ignored</status>
      <modifiedWord/>
      <trackRevisions>false</trackRevisions>
    </reviewItem>
    <reviewItem>
      <errorID>076892a5-3739-46c4-8416-0032dce4b710</errorID>
      <errorWord>防渗系统</errorWord>
      <group>L1_Knowledge</group>
      <groupName>知识性问题</groupName>
      <ability>L2_Term</ability>
      <abilityName>专业术语</abilityName>
      <candidateList>
        <item>防爆系统</item>
      </candidateList>
      <explain/>
      <paraID>2C774ECC</paraID>
      <start>35</start>
      <end>39</end>
      <status>ignored</status>
      <modifiedWord/>
      <trackRevisions>false</trackRevisions>
    </reviewItem>
    <reviewItem>
      <errorID>2bdf4344-835c-4b84-a982-9329d34bbb43</errorID>
      <errorWord>挥发乙酸</errorWord>
      <group>L1_Knowledge</group>
      <groupName>知识性问题</groupName>
      <ability>L2_Term</ability>
      <abilityName>专业术语</abilityName>
      <candidateList>
        <item>挥发性酸</item>
      </candidateList>
      <explain/>
      <paraID>43A9BBA6</paraID>
      <start>50</start>
      <end>54</end>
      <status>ignored</status>
      <modifiedWord/>
      <trackRevisions>false</trackRevisions>
    </reviewItem>
    <reviewItem>
      <errorID>90088430-0214-4c5d-8d1e-3702791d8037</errorID>
      <errorWord>提高</errorWord>
      <group>L1_Grammar</group>
      <groupName>语法问题</groupName>
      <ability>L2_Grammar</ability>
      <abilityName>语法错误</abilityName>
      <candidateList>
        <item>增强</item>
      </candidateList>
      <explain>“提高～意识”搭配不当，建议修改为“增强～意识”。</explain>
      <paraID>6A469DCD</paraID>
      <start>22</start>
      <end>24</end>
      <status>ignored</status>
      <modifiedWord/>
      <trackRevisions>false</trackRevisions>
    </reviewItem>
    <reviewItem>
      <errorID>60906421-990f-4229-ba21-919be30c20b1</errorID>
      <errorWord>设</errorWord>
      <group>L1_Word</group>
      <groupName>字词问题</groupName>
      <ability>L2_Typo</ability>
      <abilityName>字词错误</abilityName>
      <candidateList>
        <item>设置</item>
      </candidateList>
      <explain>〈动〉❶设立：这座剧院是为儿童～的。❷安放；安装：～障碍。</explain>
      <paraID>5EFC98C1</paraID>
      <start>5</start>
      <end>6</end>
      <status>unmodified</status>
      <modifiedWord/>
      <trackRevisions>false</trackRevisions>
    </reviewItem>
    <reviewItem>
      <errorID>7823a408-b4a5-4093-aa76-6cdd9211d458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71D004B3</paraID>
      <start>59</start>
      <end>60</end>
      <status>unmodified</status>
      <modifiedWord/>
      <trackRevisions>false</trackRevisions>
    </reviewItem>
    <reviewItem>
      <errorID>06318d8b-a316-418e-a615-4fa6c8b4700c</errorID>
      <errorWord>挥发乙酸</errorWord>
      <group>L1_Knowledge</group>
      <groupName>知识性问题</groupName>
      <ability>L2_Term</ability>
      <abilityName>专业术语</abilityName>
      <candidateList>
        <item>挥发性酸</item>
      </candidateList>
      <explain/>
      <paraID>488889E3</paraID>
      <start>50</start>
      <end>54</end>
      <status>ignored</status>
      <modifiedWord/>
      <trackRevisions>false</trackRevisions>
    </reviewItem>
    <reviewItem>
      <errorID>ace2248d-efeb-4709-8205-5c8fcb5c92e7</errorID>
      <errorWord>提高</errorWord>
      <group>L1_Grammar</group>
      <groupName>语法问题</groupName>
      <ability>L2_Grammar</ability>
      <abilityName>语法错误</abilityName>
      <candidateList>
        <item>增强</item>
      </candidateList>
      <explain>“提高～意识”搭配不当，建议修改为“增强～意识”。</explain>
      <paraID>68E852A3</paraID>
      <start>22</start>
      <end>24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889d3d-9b7d-464d-aa1c-6fa32df9a5a0}">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5489</Words>
  <Characters>5949</Characters>
  <Lines>649</Lines>
  <Paragraphs>182</Paragraphs>
  <TotalTime>12</TotalTime>
  <ScaleCrop>false</ScaleCrop>
  <LinksUpToDate>false</LinksUpToDate>
  <CharactersWithSpaces>6085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chen</dc:creator>
  <cp:lastModifiedBy>学而知之</cp:lastModifiedBy>
  <cp:lastPrinted>2020-12-29T10:43:00Z</cp:lastPrinted>
  <dcterms:modified xsi:type="dcterms:W3CDTF">2026-02-13T10:27:13Z</dcterms:modified>
  <dc:title>H</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1B63B05B259940AEA47815985DDBE934_13</vt:lpwstr>
  </property>
  <property fmtid="{D5CDD505-2E9C-101B-9397-08002B2CF9AE}" pid="4" name="KSOTemplateDocerSaveRecord">
    <vt:lpwstr>eyJoZGlkIjoiNDlhYTc5NDc4NDUxMTc0YzljM2FkNzNkNjQyOGQ0Y2EiLCJ1c2VySWQiOiIxOTk2MjU0OTkifQ==</vt:lpwstr>
  </property>
</Properties>
</file>