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spacing w:line="360" w:lineRule="auto"/>
        <w:jc w:val="center"/>
        <w:rPr>
          <w:rFonts w:eastAsia="方正小标宋_GBK"/>
          <w:bCs/>
          <w:color w:val="000000" w:themeColor="text1"/>
          <w:sz w:val="72"/>
          <w:szCs w:val="72"/>
          <w14:textFill>
            <w14:solidFill>
              <w14:schemeClr w14:val="tx1"/>
            </w14:solidFill>
          </w14:textFill>
        </w:rPr>
      </w:pPr>
      <w:bookmarkStart w:id="0" w:name="_Toc1219"/>
      <w:r>
        <w:rPr>
          <w:rFonts w:eastAsia="方正小标宋_GBK"/>
          <w:bCs/>
          <w:color w:val="000000" w:themeColor="text1"/>
          <w:sz w:val="72"/>
          <w:szCs w:val="72"/>
          <w14:textFill>
            <w14:solidFill>
              <w14:schemeClr w14:val="tx1"/>
            </w14:solidFill>
          </w14:textFill>
        </w:rPr>
        <w:t>建设项目环境影响报告表</w:t>
      </w:r>
      <w:bookmarkEnd w:id="0"/>
    </w:p>
    <w:p>
      <w:pPr>
        <w:spacing w:before="192" w:beforeLines="80" w:line="360" w:lineRule="auto"/>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rPr>
          <w:rFonts w:eastAsia="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480" w:lineRule="auto"/>
        <w:ind w:left="1699" w:hanging="1699" w:hangingChars="472"/>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color w:val="000000" w:themeColor="text1"/>
          <w:sz w:val="36"/>
          <w:szCs w:val="36"/>
          <w:u w:val="single"/>
          <w14:textFill>
            <w14:solidFill>
              <w14:schemeClr w14:val="tx1"/>
            </w14:solidFill>
          </w14:textFill>
        </w:rPr>
        <w:t>青思生物科技（寻甸）有限责任公司泥煤、草炭、磷矿石浮选尾矿综合利用项目</w:t>
      </w:r>
      <w:r>
        <w:rPr>
          <w:rFonts w:eastAsia="仿宋_GB2312"/>
          <w:color w:val="000000" w:themeColor="text1"/>
          <w:sz w:val="36"/>
          <w:szCs w:val="36"/>
          <w:u w:val="single"/>
          <w14:textFill>
            <w14:solidFill>
              <w14:schemeClr w14:val="tx1"/>
            </w14:solidFill>
          </w14:textFill>
        </w:rPr>
        <w:t xml:space="preserve">                             </w:t>
      </w:r>
    </w:p>
    <w:p>
      <w:pPr>
        <w:adjustRightInd w:val="0"/>
        <w:snapToGrid w:val="0"/>
        <w:spacing w:line="480" w:lineRule="auto"/>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青思生物科技（寻甸）有限责任公司</w:t>
      </w:r>
      <w:r>
        <w:rPr>
          <w:rFonts w:eastAsia="仿宋_GB2312"/>
          <w:color w:val="000000" w:themeColor="text1"/>
          <w:sz w:val="36"/>
          <w:szCs w:val="36"/>
          <w:u w:val="single"/>
          <w14:textFill>
            <w14:solidFill>
              <w14:schemeClr w14:val="tx1"/>
            </w14:solidFill>
          </w14:textFill>
        </w:rPr>
        <w:t xml:space="preserve">                                               </w:t>
      </w:r>
    </w:p>
    <w:p>
      <w:pPr>
        <w:adjustRightInd w:val="0"/>
        <w:snapToGrid w:val="0"/>
        <w:spacing w:line="480" w:lineRule="auto"/>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14:textFill>
            <w14:solidFill>
              <w14:schemeClr w14:val="tx1"/>
            </w14:solidFill>
          </w14:textFill>
        </w:rPr>
        <w:t>6</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14:textFill>
            <w14:solidFill>
              <w14:schemeClr w14:val="tx1"/>
            </w14:solidFill>
          </w14:textFill>
        </w:rPr>
        <w:t>1</w:t>
      </w:r>
      <w:r>
        <w:rPr>
          <w:rFonts w:eastAsia="仿宋_GB2312"/>
          <w:color w:val="000000" w:themeColor="text1"/>
          <w:sz w:val="36"/>
          <w:szCs w:val="36"/>
          <w:u w:val="single"/>
          <w14:textFill>
            <w14:solidFill>
              <w14:schemeClr w14:val="tx1"/>
            </w14:solidFill>
          </w14:textFill>
        </w:rPr>
        <w:t xml:space="preserve">月                      </w:t>
      </w:r>
    </w:p>
    <w:p>
      <w:pPr>
        <w:adjustRightInd w:val="0"/>
        <w:snapToGrid w:val="0"/>
        <w:spacing w:line="480" w:lineRule="auto"/>
        <w:ind w:firstLine="1040"/>
        <w:rPr>
          <w:rFonts w:eastAsia="仿宋_GB2312"/>
          <w:color w:val="000000" w:themeColor="text1"/>
          <w:sz w:val="36"/>
          <w:szCs w:val="36"/>
          <w14:textFill>
            <w14:solidFill>
              <w14:schemeClr w14:val="tx1"/>
            </w14:solidFill>
          </w14:textFill>
        </w:rPr>
      </w:pPr>
      <w:bookmarkStart w:id="1" w:name="_Hlk57884087"/>
    </w:p>
    <w:p>
      <w:pPr>
        <w:adjustRightInd w:val="0"/>
        <w:snapToGrid w:val="0"/>
        <w:spacing w:line="480" w:lineRule="auto"/>
        <w:ind w:firstLine="1040"/>
        <w:rPr>
          <w:rFonts w:eastAsia="仿宋_GB2312"/>
          <w:color w:val="000000" w:themeColor="text1"/>
          <w:sz w:val="36"/>
          <w:szCs w:val="36"/>
          <w14:textFill>
            <w14:solidFill>
              <w14:schemeClr w14:val="tx1"/>
            </w14:solidFill>
          </w14:textFill>
        </w:rPr>
      </w:pPr>
    </w:p>
    <w:bookmarkEnd w:id="1"/>
    <w:p>
      <w:pPr>
        <w:adjustRightInd w:val="0"/>
        <w:snapToGrid w:val="0"/>
        <w:spacing w:line="480"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480" w:lineRule="auto"/>
        <w:ind w:firstLine="1040"/>
        <w:rPr>
          <w:rFonts w:eastAsia="仿宋_GB2312"/>
          <w:color w:val="000000" w:themeColor="text1"/>
          <w:sz w:val="36"/>
          <w:szCs w:val="36"/>
          <w14:textFill>
            <w14:solidFill>
              <w14:schemeClr w14:val="tx1"/>
            </w14:solidFill>
          </w14:textFill>
        </w:rPr>
      </w:pPr>
    </w:p>
    <w:p>
      <w:pPr>
        <w:pStyle w:val="17"/>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17"/>
        <w:rPr>
          <w:rFonts w:eastAsia="仿宋_GB2312"/>
          <w:color w:val="000000" w:themeColor="text1"/>
          <w:sz w:val="36"/>
          <w:szCs w:val="36"/>
          <w14:textFill>
            <w14:solidFill>
              <w14:schemeClr w14:val="tx1"/>
            </w14:solidFill>
          </w14:textFill>
        </w:rPr>
      </w:pPr>
    </w:p>
    <w:p>
      <w:pPr>
        <w:spacing w:line="480" w:lineRule="auto"/>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  录</w:t>
      </w:r>
    </w:p>
    <w:p>
      <w:pPr>
        <w:pStyle w:val="58"/>
        <w:tabs>
          <w:tab w:val="right" w:leader="dot" w:pos="8844"/>
        </w:tabs>
        <w:spacing w:line="480" w:lineRule="auto"/>
        <w:rPr>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fldChar w:fldCharType="begin"/>
      </w:r>
      <w:r>
        <w:rPr>
          <w:rFonts w:eastAsia="仿宋_GB2312"/>
          <w:color w:val="000000" w:themeColor="text1"/>
          <w:sz w:val="24"/>
          <w:szCs w:val="24"/>
          <w14:textFill>
            <w14:solidFill>
              <w14:schemeClr w14:val="tx1"/>
            </w14:solidFill>
          </w14:textFill>
        </w:rPr>
        <w:instrText xml:space="preserve">TOC \o "1-1" \h \u </w:instrText>
      </w:r>
      <w:r>
        <w:rPr>
          <w:rFonts w:eastAsia="仿宋_GB2312"/>
          <w:color w:val="000000" w:themeColor="text1"/>
          <w:sz w:val="24"/>
          <w:szCs w:val="24"/>
          <w14:textFill>
            <w14:solidFill>
              <w14:schemeClr w14:val="tx1"/>
            </w14:solidFill>
          </w14:textFill>
        </w:rPr>
        <w:fldChar w:fldCharType="separate"/>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"_Toc29500" </w:instrText>
      </w:r>
      <w:r>
        <w:fldChar w:fldCharType="separate"/>
      </w:r>
      <w:r>
        <w:rPr>
          <w:rFonts w:eastAsia="黑体"/>
          <w:snapToGrid w:val="0"/>
          <w:color w:val="000000" w:themeColor="text1"/>
          <w:sz w:val="28"/>
          <w:szCs w:val="28"/>
          <w14:textFill>
            <w14:solidFill>
              <w14:schemeClr w14:val="tx1"/>
            </w14:solidFill>
          </w14:textFill>
        </w:rPr>
        <w:t>一、建设项目基本情况</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_Toc29500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"_Toc21940" </w:instrText>
      </w:r>
      <w:r>
        <w:fldChar w:fldCharType="separate"/>
      </w:r>
      <w:r>
        <w:rPr>
          <w:rFonts w:eastAsia="黑体"/>
          <w:snapToGrid w:val="0"/>
          <w:color w:val="000000" w:themeColor="text1"/>
          <w:sz w:val="28"/>
          <w:szCs w:val="28"/>
          <w14:textFill>
            <w14:solidFill>
              <w14:schemeClr w14:val="tx1"/>
            </w14:solidFill>
          </w14:textFill>
        </w:rPr>
        <w:t>二、建设项目工程分析</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_Toc21940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"_Toc24964" </w:instrText>
      </w:r>
      <w:r>
        <w:fldChar w:fldCharType="separate"/>
      </w:r>
      <w:r>
        <w:rPr>
          <w:rFonts w:eastAsia="黑体"/>
          <w:snapToGrid w:val="0"/>
          <w:color w:val="000000" w:themeColor="text1"/>
          <w:sz w:val="28"/>
          <w:szCs w:val="28"/>
          <w14:textFill>
            <w14:solidFill>
              <w14:schemeClr w14:val="tx1"/>
            </w14:solidFill>
          </w14:textFill>
        </w:rPr>
        <w:t>三、区域环境质量现状、环境保护目标及评价标准</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_Toc24964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47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"_Toc21914" </w:instrText>
      </w:r>
      <w:r>
        <w:fldChar w:fldCharType="separate"/>
      </w:r>
      <w:r>
        <w:rPr>
          <w:rFonts w:eastAsia="黑体"/>
          <w:snapToGrid w:val="0"/>
          <w:color w:val="000000" w:themeColor="text1"/>
          <w:sz w:val="28"/>
          <w:szCs w:val="28"/>
          <w14:textFill>
            <w14:solidFill>
              <w14:schemeClr w14:val="tx1"/>
            </w14:solidFill>
          </w14:textFill>
        </w:rPr>
        <w:t>四、主要环境影响和保护措施</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_Toc21914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54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"_Toc11957" </w:instrText>
      </w:r>
      <w:r>
        <w:fldChar w:fldCharType="separate"/>
      </w:r>
      <w:r>
        <w:rPr>
          <w:rFonts w:eastAsia="黑体"/>
          <w:snapToGrid w:val="0"/>
          <w:color w:val="000000" w:themeColor="text1"/>
          <w:sz w:val="28"/>
          <w:szCs w:val="28"/>
          <w14:textFill>
            <w14:solidFill>
              <w14:schemeClr w14:val="tx1"/>
            </w14:solidFill>
          </w14:textFill>
        </w:rPr>
        <w:t>五、环境保护措施监督检查清单</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_Toc11957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8"/>
          <w:szCs w:val="28"/>
          <w14:textFill>
            <w14:solidFill>
              <w14:schemeClr w14:val="tx1"/>
            </w14:solidFill>
          </w14:textFill>
        </w:rPr>
      </w:pPr>
      <w:r>
        <w:fldChar w:fldCharType="begin"/>
      </w:r>
      <w:r>
        <w:instrText xml:space="preserve"> HYPERLINK \l "_Toc17513" </w:instrText>
      </w:r>
      <w:r>
        <w:fldChar w:fldCharType="separate"/>
      </w:r>
      <w:r>
        <w:rPr>
          <w:rFonts w:eastAsia="黑体"/>
          <w:snapToGrid w:val="0"/>
          <w:color w:val="000000" w:themeColor="text1"/>
          <w:sz w:val="28"/>
          <w:szCs w:val="28"/>
          <w14:textFill>
            <w14:solidFill>
              <w14:schemeClr w14:val="tx1"/>
            </w14:solidFill>
          </w14:textFill>
        </w:rPr>
        <w:t>六、结论</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_Toc17513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58"/>
        <w:tabs>
          <w:tab w:val="right" w:leader="dot" w:pos="8844"/>
        </w:tabs>
        <w:spacing w:line="480" w:lineRule="auto"/>
        <w:rPr>
          <w:color w:val="000000" w:themeColor="text1"/>
          <w:sz w:val="24"/>
          <w:szCs w:val="24"/>
          <w14:textFill>
            <w14:solidFill>
              <w14:schemeClr w14:val="tx1"/>
            </w14:solidFill>
          </w14:textFill>
        </w:rPr>
      </w:pPr>
      <w:r>
        <w:fldChar w:fldCharType="begin"/>
      </w:r>
      <w:r>
        <w:instrText xml:space="preserve"> HYPERLINK \l "_Toc3395" </w:instrText>
      </w:r>
      <w:r>
        <w:fldChar w:fldCharType="separate"/>
      </w:r>
      <w:r>
        <w:rPr>
          <w:rFonts w:eastAsia="方正小标宋_GBK"/>
          <w:snapToGrid w:val="0"/>
          <w:color w:val="000000" w:themeColor="text1"/>
          <w:sz w:val="28"/>
          <w:szCs w:val="28"/>
          <w14:textFill>
            <w14:solidFill>
              <w14:schemeClr w14:val="tx1"/>
            </w14:solidFill>
          </w14:textFill>
        </w:rPr>
        <w:t>建设项目污染物排放量汇总表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_Toc3395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87</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17"/>
        <w:spacing w:line="480" w:lineRule="auto"/>
        <w:rPr>
          <w:rFonts w:eastAsia="仿宋_GB2312"/>
          <w:color w:val="000000" w:themeColor="text1"/>
          <w:sz w:val="24"/>
          <w:szCs w:val="24"/>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r>
        <w:rPr>
          <w:rFonts w:eastAsia="仿宋_GB2312"/>
          <w:color w:val="000000" w:themeColor="text1"/>
          <w:sz w:val="24"/>
          <w:szCs w:val="24"/>
          <w14:textFill>
            <w14:solidFill>
              <w14:schemeClr w14:val="tx1"/>
            </w14:solidFill>
          </w14:textFill>
        </w:rPr>
        <w:fldChar w:fldCharType="end"/>
      </w:r>
    </w:p>
    <w:p>
      <w:pPr>
        <w:pStyle w:val="17"/>
        <w:spacing w:line="336"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附表：</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附表1  </w:t>
      </w:r>
      <w:r>
        <w:rPr>
          <w:color w:val="000000" w:themeColor="text1"/>
          <w:sz w:val="24"/>
          <w:szCs w:val="24"/>
          <w14:textFill>
            <w14:solidFill>
              <w14:schemeClr w14:val="tx1"/>
            </w14:solidFill>
          </w14:textFill>
        </w:rPr>
        <w:t>建设项目污染物排放量汇总表</w:t>
      </w:r>
    </w:p>
    <w:p>
      <w:pPr>
        <w:pStyle w:val="17"/>
        <w:spacing w:line="336"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附件：</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附件1  投资备案证</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附件2</w:t>
      </w:r>
      <w:r>
        <w:rPr>
          <w:rFonts w:hint="eastAsia"/>
          <w:color w:val="000000" w:themeColor="text1"/>
          <w:sz w:val="24"/>
          <w:szCs w:val="24"/>
          <w14:textFill>
            <w14:solidFill>
              <w14:schemeClr w14:val="tx1"/>
            </w14:solidFill>
          </w14:textFill>
        </w:rPr>
        <w:t xml:space="preserve">  租地</w:t>
      </w:r>
      <w:r>
        <w:rPr>
          <w:color w:val="000000" w:themeColor="text1"/>
          <w:sz w:val="24"/>
          <w:szCs w:val="24"/>
          <w14:textFill>
            <w14:solidFill>
              <w14:schemeClr w14:val="tx1"/>
            </w14:solidFill>
          </w14:textFill>
        </w:rPr>
        <w:t>协议</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附件3  </w:t>
      </w:r>
      <w:r>
        <w:rPr>
          <w:rFonts w:hint="eastAsia"/>
          <w:color w:val="000000" w:themeColor="text1"/>
          <w:sz w:val="24"/>
          <w:szCs w:val="24"/>
          <w14:textFill>
            <w14:solidFill>
              <w14:schemeClr w14:val="tx1"/>
            </w14:solidFill>
          </w14:textFill>
        </w:rPr>
        <w:t>入园同意书</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附件4  </w:t>
      </w:r>
      <w:r>
        <w:rPr>
          <w:rFonts w:hint="eastAsia"/>
          <w:color w:val="000000" w:themeColor="text1"/>
          <w:sz w:val="24"/>
          <w:szCs w:val="24"/>
          <w14:textFill>
            <w14:solidFill>
              <w14:schemeClr w14:val="tx1"/>
            </w14:solidFill>
          </w14:textFill>
        </w:rPr>
        <w:t>磷尾矿固废鉴别报告</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生物发酵剂成分监测报告</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草炭成分监测报告</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14:textFill>
            <w14:solidFill>
              <w14:schemeClr w14:val="tx1"/>
            </w14:solidFill>
          </w14:textFill>
        </w:rPr>
        <w:t>7  云岭水泥脱销环评批复</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附件8</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云岭水泥脱销项目验收批复</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规划环评审查意见</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附件10  委托书</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附件11  网络公示证明材料</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附件12  营业执照（青思生物）</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附件13  质量控制记录表</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附件14  项目进度管理表</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附件15  委托合同</w:t>
      </w:r>
    </w:p>
    <w:p>
      <w:pPr>
        <w:pStyle w:val="17"/>
        <w:spacing w:line="336" w:lineRule="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附图1  项目地理位置图</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附图2  项目区水系图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附图3-1  项目总平面布置图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附图3-2  与云南建工云岭水泥厂平面关系图</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附图4  项目区保护目标分布图</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附图5</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与园区用地规划关系图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附图5-2  与园区功能分区规划关系图</w:t>
      </w:r>
    </w:p>
    <w:p>
      <w:pPr>
        <w:pStyle w:val="17"/>
        <w:spacing w:line="336"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与牛栏江流域（云南段）水环境保护分区关系图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附图7  与牛栏江（寻甸段）水环境保护分区关系图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附图8  项目与分区管控单元关系图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附图9  与生态保护红线关系图</w:t>
      </w:r>
    </w:p>
    <w:p>
      <w:pPr>
        <w:pStyle w:val="17"/>
        <w:spacing w:line="336"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附图10  项目分区防渗图</w:t>
      </w:r>
    </w:p>
    <w:p>
      <w:pPr>
        <w:pStyle w:val="17"/>
        <w:spacing w:line="336" w:lineRule="auto"/>
        <w:rPr>
          <w:color w:val="000000" w:themeColor="text1"/>
          <w:sz w:val="24"/>
          <w:szCs w:val="24"/>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 w:name="_Toc29500"/>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2"/>
    </w:p>
    <w:tbl>
      <w:tblPr>
        <w:tblStyle w:val="23"/>
        <w:tblW w:w="926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2"/>
        <w:gridCol w:w="794"/>
        <w:gridCol w:w="2333"/>
        <w:gridCol w:w="2212"/>
        <w:gridCol w:w="3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577"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青思生物科技（寻甸）有限责任公司泥煤、草炭、磷矿石浮选尾矿综合利用项目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577"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2510-530129-04-01-685356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33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白会仙</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03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139*****953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577"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昆明</w:t>
            </w:r>
            <w:r>
              <w:rPr>
                <w:color w:val="000000" w:themeColor="text1"/>
                <w:sz w:val="24"/>
                <w14:textFill>
                  <w14:solidFill>
                    <w14:schemeClr w14:val="tx1"/>
                  </w14:solidFill>
                </w14:textFill>
              </w:rPr>
              <w:t>市</w:t>
            </w:r>
            <w:r>
              <w:rPr>
                <w:rFonts w:hint="eastAsia"/>
                <w:color w:val="000000" w:themeColor="text1"/>
                <w:sz w:val="24"/>
                <w:u w:val="single"/>
                <w14:textFill>
                  <w14:solidFill>
                    <w14:schemeClr w14:val="tx1"/>
                  </w14:solidFill>
                </w14:textFill>
              </w:rPr>
              <w:t>寻甸</w:t>
            </w:r>
            <w:r>
              <w:rPr>
                <w:rFonts w:hint="eastAsia"/>
                <w:color w:val="000000" w:themeColor="text1"/>
                <w:sz w:val="24"/>
                <w14:textFill>
                  <w14:solidFill>
                    <w14:schemeClr w14:val="tx1"/>
                  </w14:solidFill>
                </w14:textFill>
              </w:rPr>
              <w:t>县</w:t>
            </w:r>
            <w:r>
              <w:rPr>
                <w:rFonts w:hint="eastAsia"/>
                <w:color w:val="000000" w:themeColor="text1"/>
                <w:sz w:val="24"/>
                <w:u w:val="single"/>
                <w14:textFill>
                  <w14:solidFill>
                    <w14:schemeClr w14:val="tx1"/>
                  </w14:solidFill>
                </w14:textFill>
              </w:rPr>
              <w:t>金所</w:t>
            </w:r>
            <w:r>
              <w:rPr>
                <w:color w:val="000000" w:themeColor="text1"/>
                <w:sz w:val="24"/>
                <w14:textFill>
                  <w14:solidFill>
                    <w14:schemeClr w14:val="tx1"/>
                  </w14:solidFill>
                </w14:textFill>
              </w:rPr>
              <w:t>街道</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金所工业园区云南建工云岭水泥有限公司</w:t>
            </w:r>
            <w:r>
              <w:rPr>
                <w:color w:val="000000" w:themeColor="text1"/>
                <w:sz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577" w:type="dxa"/>
            <w:gridSpan w:val="3"/>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50.905</w:t>
            </w:r>
            <w:r>
              <w:rPr>
                <w:color w:val="000000" w:themeColor="text1"/>
                <w:sz w:val="24"/>
                <w14:textFill>
                  <w14:solidFill>
                    <w14:schemeClr w14:val="tx1"/>
                  </w14:solidFill>
                </w14:textFill>
              </w:rPr>
              <w:t>秒，10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26.124</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33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C2625有机肥料及微生物肥料制造</w:t>
            </w:r>
          </w:p>
        </w:tc>
        <w:tc>
          <w:tcPr>
            <w:tcW w:w="2212" w:type="dxa"/>
            <w:vAlign w:val="center"/>
          </w:tcPr>
          <w:p>
            <w:pPr>
              <w:adjustRightInd w:val="0"/>
              <w:snapToGrid w:val="0"/>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3032"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二十三化学原料和化学制品制造业</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、45肥料制造</w:t>
            </w:r>
            <w:r>
              <w:rPr>
                <w:rFonts w:hint="eastAsia"/>
                <w:color w:val="000000" w:themeColor="text1"/>
                <w:sz w:val="24"/>
                <w14:textFill>
                  <w14:solidFill>
                    <w14:schemeClr w14:val="tx1"/>
                  </w14:solidFill>
                </w14:textFill>
              </w:rPr>
              <w:t>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333"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032"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 xml:space="preserve">首次申报项目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33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寻甸县发展和改革局</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03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2510-530129-04-01-685356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33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663</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03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333"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7.1</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03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333"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03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892"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371" w:type="dxa"/>
            <w:gridSpan w:val="4"/>
            <w:vAlign w:val="center"/>
          </w:tcPr>
          <w:p>
            <w:pPr>
              <w:autoSpaceDE w:val="0"/>
              <w:autoSpaceDN w:val="0"/>
              <w:adjustRightInd w:val="0"/>
              <w:snapToGrid w:val="0"/>
              <w:spacing w:line="288"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项目专项评价判定情况如下表所示。</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表1-1 项目专项评价判定表</w:t>
            </w:r>
          </w:p>
          <w:tbl>
            <w:tblPr>
              <w:tblStyle w:val="24"/>
              <w:tblW w:w="8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91"/>
              <w:gridCol w:w="3255"/>
              <w:gridCol w:w="3283"/>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专项评价类比</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设置原则</w:t>
                  </w:r>
                </w:p>
              </w:tc>
              <w:tc>
                <w:tcPr>
                  <w:tcW w:w="32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本项目情况</w:t>
                  </w:r>
                </w:p>
              </w:tc>
              <w:tc>
                <w:tcPr>
                  <w:tcW w:w="81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大气</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排放废气含有毒有害污染物</w:t>
                  </w:r>
                  <w:r>
                    <w:rPr>
                      <w:b w:val="0"/>
                      <w:color w:val="000000" w:themeColor="text1"/>
                      <w:vertAlign w:val="superscript"/>
                      <w14:textFill>
                        <w14:solidFill>
                          <w14:schemeClr w14:val="tx1"/>
                        </w14:solidFill>
                      </w14:textFill>
                    </w:rPr>
                    <w:t>1</w:t>
                  </w:r>
                  <w:r>
                    <w:rPr>
                      <w:b w:val="0"/>
                      <w:color w:val="000000" w:themeColor="text1"/>
                      <w14:textFill>
                        <w14:solidFill>
                          <w14:schemeClr w14:val="tx1"/>
                        </w14:solidFill>
                      </w14:textFill>
                    </w:rPr>
                    <w:t>、二噁英、苯并[a]芘、氰化物、氯气且厂界500m范围内有环境空气保护目标</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的建设项目。</w:t>
                  </w:r>
                </w:p>
              </w:tc>
              <w:tc>
                <w:tcPr>
                  <w:tcW w:w="32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项目排放废气主要为颗粒物</w:t>
                  </w:r>
                  <w:r>
                    <w:rPr>
                      <w:rFonts w:hint="eastAsia"/>
                      <w:b w:val="0"/>
                      <w:color w:val="000000" w:themeColor="text1"/>
                      <w14:textFill>
                        <w14:solidFill>
                          <w14:schemeClr w14:val="tx1"/>
                        </w14:solidFill>
                      </w14:textFill>
                    </w:rPr>
                    <w:t>、异味，</w:t>
                  </w:r>
                  <w:r>
                    <w:rPr>
                      <w:b w:val="0"/>
                      <w:color w:val="000000" w:themeColor="text1"/>
                      <w14:textFill>
                        <w14:solidFill>
                          <w14:schemeClr w14:val="tx1"/>
                        </w14:solidFill>
                      </w14:textFill>
                    </w:rPr>
                    <w:t>不排放含有毒有害污染物、二噁英、苯并[a]芘、氰化物、氯气等废气。</w:t>
                  </w:r>
                </w:p>
              </w:tc>
              <w:tc>
                <w:tcPr>
                  <w:tcW w:w="813"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地表水</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新增工业废水直排建设项目（槽罐车外送污水处理厂的除外）；新增废水直排的污水集中处理厂。</w:t>
                  </w:r>
                </w:p>
              </w:tc>
              <w:tc>
                <w:tcPr>
                  <w:tcW w:w="32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生产中不产生废水</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生活污水</w:t>
                  </w:r>
                  <w:r>
                    <w:rPr>
                      <w:b w:val="0"/>
                      <w:color w:val="000000" w:themeColor="text1"/>
                      <w14:textFill>
                        <w14:solidFill>
                          <w14:schemeClr w14:val="tx1"/>
                        </w14:solidFill>
                      </w14:textFill>
                    </w:rPr>
                    <w:t>不外排</w:t>
                  </w:r>
                  <w:r>
                    <w:rPr>
                      <w:rFonts w:hint="eastAsia"/>
                      <w:b w:val="0"/>
                      <w:color w:val="000000" w:themeColor="text1"/>
                      <w14:textFill>
                        <w14:solidFill>
                          <w14:schemeClr w14:val="tx1"/>
                        </w14:solidFill>
                      </w14:textFill>
                    </w:rPr>
                    <w:t>。</w:t>
                  </w:r>
                </w:p>
              </w:tc>
              <w:tc>
                <w:tcPr>
                  <w:tcW w:w="81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环境风险</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有毒有害和易燃易爆危险物质存储量超过临界量</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的建设项目。</w:t>
                  </w:r>
                </w:p>
              </w:tc>
              <w:tc>
                <w:tcPr>
                  <w:tcW w:w="3283"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本项目有毒有害和易燃易爆危险物质存储量根据《建设项目环境风险评价技术导则》（</w:t>
                  </w:r>
                  <w:r>
                    <w:rPr>
                      <w:b w:val="0"/>
                      <w:color w:val="000000" w:themeColor="text1"/>
                      <w14:textFill>
                        <w14:solidFill>
                          <w14:schemeClr w14:val="tx1"/>
                        </w14:solidFill>
                      </w14:textFill>
                    </w:rPr>
                    <w:t>HJ169-2018</w:t>
                  </w:r>
                  <w:r>
                    <w:rPr>
                      <w:rFonts w:hint="eastAsia"/>
                      <w:b w:val="0"/>
                      <w:color w:val="000000" w:themeColor="text1"/>
                      <w14:textFill>
                        <w14:solidFill>
                          <w14:schemeClr w14:val="tx1"/>
                        </w14:solidFill>
                      </w14:textFill>
                    </w:rPr>
                    <w:t>）计算，</w:t>
                  </w:r>
                  <w:r>
                    <w:rPr>
                      <w:b w:val="0"/>
                      <w:color w:val="000000" w:themeColor="text1"/>
                      <w14:textFill>
                        <w14:solidFill>
                          <w14:schemeClr w14:val="tx1"/>
                        </w14:solidFill>
                      </w14:textFill>
                    </w:rPr>
                    <w:t>Q</w:t>
                  </w:r>
                  <w:r>
                    <w:rPr>
                      <w:rFonts w:hint="eastAsia"/>
                      <w:b w:val="0"/>
                      <w:color w:val="000000" w:themeColor="text1"/>
                      <w14:textFill>
                        <w14:solidFill>
                          <w14:schemeClr w14:val="tx1"/>
                        </w14:solidFill>
                      </w14:textFill>
                    </w:rPr>
                    <w:t>值未超过临界量，无需开展风险专题评价。</w:t>
                  </w:r>
                </w:p>
              </w:tc>
              <w:tc>
                <w:tcPr>
                  <w:tcW w:w="81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生态</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32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本项目不涉及此项情况。</w:t>
                  </w:r>
                </w:p>
              </w:tc>
              <w:tc>
                <w:tcPr>
                  <w:tcW w:w="81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79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海洋</w:t>
                  </w:r>
                </w:p>
              </w:tc>
              <w:tc>
                <w:tcPr>
                  <w:tcW w:w="325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直接向海排放污染物的海洋工程建设项目。</w:t>
                  </w:r>
                </w:p>
              </w:tc>
              <w:tc>
                <w:tcPr>
                  <w:tcW w:w="32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项目不属于海洋工程建设项目，不向海洋排放污染物。</w:t>
                  </w:r>
                </w:p>
              </w:tc>
              <w:tc>
                <w:tcPr>
                  <w:tcW w:w="81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c>
                <w:tcPr>
                  <w:tcW w:w="8142" w:type="dxa"/>
                  <w:gridSpan w:val="4"/>
                  <w:vAlign w:val="center"/>
                </w:tcPr>
                <w:p>
                  <w:pPr>
                    <w:pStyle w:val="71"/>
                    <w:jc w:val="left"/>
                    <w:rPr>
                      <w:b w:val="0"/>
                      <w:color w:val="000000" w:themeColor="text1"/>
                      <w14:textFill>
                        <w14:solidFill>
                          <w14:schemeClr w14:val="tx1"/>
                        </w14:solidFill>
                      </w14:textFill>
                    </w:rPr>
                  </w:pPr>
                  <w:r>
                    <w:rPr>
                      <w:b w:val="0"/>
                      <w:color w:val="000000" w:themeColor="text1"/>
                      <w14:textFill>
                        <w14:solidFill>
                          <w14:schemeClr w14:val="tx1"/>
                        </w14:solidFill>
                      </w14:textFill>
                    </w:rPr>
                    <w:t>注：1.废气中有毒有害污染物指纳入《有毒有害大气污染物名录》的污染物（不包括无排放标准的污染物）。</w:t>
                  </w:r>
                </w:p>
                <w:p>
                  <w:pPr>
                    <w:pStyle w:val="71"/>
                    <w:jc w:val="left"/>
                    <w:rPr>
                      <w:b w:val="0"/>
                      <w:color w:val="000000" w:themeColor="text1"/>
                      <w14:textFill>
                        <w14:solidFill>
                          <w14:schemeClr w14:val="tx1"/>
                        </w14:solidFill>
                      </w14:textFill>
                    </w:rPr>
                  </w:pPr>
                  <w:r>
                    <w:rPr>
                      <w:b w:val="0"/>
                      <w:color w:val="000000" w:themeColor="text1"/>
                      <w14:textFill>
                        <w14:solidFill>
                          <w14:schemeClr w14:val="tx1"/>
                        </w14:solidFill>
                      </w14:textFill>
                    </w:rPr>
                    <w:t>2.环境空气保护目标指自然保护区、风景名胜区、居住区、文化区和农村地区中人群较集中的区域。</w:t>
                  </w:r>
                </w:p>
                <w:p>
                  <w:pPr>
                    <w:pStyle w:val="71"/>
                    <w:jc w:val="left"/>
                    <w:rPr>
                      <w:b w:val="0"/>
                      <w:color w:val="000000" w:themeColor="text1"/>
                      <w14:textFill>
                        <w14:solidFill>
                          <w14:schemeClr w14:val="tx1"/>
                        </w14:solidFill>
                      </w14:textFill>
                    </w:rPr>
                  </w:pPr>
                  <w:r>
                    <w:rPr>
                      <w:b w:val="0"/>
                      <w:color w:val="000000" w:themeColor="text1"/>
                      <w14:textFill>
                        <w14:solidFill>
                          <w14:schemeClr w14:val="tx1"/>
                        </w14:solidFill>
                      </w14:textFill>
                    </w:rPr>
                    <w:t>3.临界量及其计算方法可参考《建设项目环境风险评价技术导则》（HJ 169）附录B、附录C。</w:t>
                  </w:r>
                </w:p>
              </w:tc>
            </w:tr>
          </w:tbl>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892"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8371" w:type="dxa"/>
            <w:gridSpan w:val="4"/>
            <w:vAlign w:val="center"/>
          </w:tcPr>
          <w:p>
            <w:pPr>
              <w:spacing w:line="360" w:lineRule="auto"/>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1、规划名称：</w:t>
            </w:r>
            <w:r>
              <w:rPr>
                <w:color w:val="000000" w:themeColor="text1"/>
                <w:sz w:val="24"/>
                <w14:textFill>
                  <w14:solidFill>
                    <w14:schemeClr w14:val="tx1"/>
                  </w14:solidFill>
                </w14:textFill>
              </w:rPr>
              <w:t>《云南寻甸产业园区总体规划修编（2021-2035）》；</w:t>
            </w:r>
          </w:p>
          <w:p>
            <w:pPr>
              <w:autoSpaceDE w:val="0"/>
              <w:autoSpaceDN w:val="0"/>
              <w:adjustRightInd w:val="0"/>
              <w:snapToGrid w:val="0"/>
              <w:spacing w:line="360" w:lineRule="auto"/>
              <w:rPr>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2、审查机关：</w:t>
            </w:r>
            <w:r>
              <w:rPr>
                <w:color w:val="000000" w:themeColor="text1"/>
                <w:sz w:val="24"/>
                <w14:textFill>
                  <w14:solidFill>
                    <w14:schemeClr w14:val="tx1"/>
                  </w14:solidFill>
                </w14:textFill>
              </w:rPr>
              <w:t>昆明市人民政府；</w:t>
            </w:r>
          </w:p>
          <w:p>
            <w:pPr>
              <w:autoSpaceDE w:val="0"/>
              <w:autoSpaceDN w:val="0"/>
              <w:adjustRightInd w:val="0"/>
              <w:snapToGrid w:val="0"/>
              <w:spacing w:line="360" w:lineRule="auto"/>
              <w:rPr>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3、审查文件名称及文号：</w:t>
            </w:r>
            <w:r>
              <w:rPr>
                <w:color w:val="000000" w:themeColor="text1"/>
                <w:sz w:val="24"/>
                <w14:textFill>
                  <w14:solidFill>
                    <w14:schemeClr w14:val="tx1"/>
                  </w14:solidFill>
                </w14:textFill>
              </w:rPr>
              <w:t>昆明市人民政府关于</w:t>
            </w:r>
            <w:r>
              <w:rPr>
                <w:bCs/>
                <w:color w:val="000000" w:themeColor="text1"/>
                <w:sz w:val="24"/>
                <w14:textFill>
                  <w14:solidFill>
                    <w14:schemeClr w14:val="tx1"/>
                  </w14:solidFill>
                </w14:textFill>
              </w:rPr>
              <w:t>《云南寻甸产业园区总体规划修编（2021—2035年）》的批复（昆政复〔2023〕63号）</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89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8371" w:type="dxa"/>
            <w:gridSpan w:val="4"/>
            <w:vAlign w:val="center"/>
          </w:tcPr>
          <w:p>
            <w:pPr>
              <w:autoSpaceDE w:val="0"/>
              <w:autoSpaceDN w:val="0"/>
              <w:adjustRightInd w:val="0"/>
              <w:snapToGrid w:val="0"/>
              <w:spacing w:line="360" w:lineRule="auto"/>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1、规划环境影响评价文件名称：</w:t>
            </w:r>
            <w:r>
              <w:rPr>
                <w:bCs/>
                <w:color w:val="000000" w:themeColor="text1"/>
                <w:sz w:val="24"/>
                <w14:textFill>
                  <w14:solidFill>
                    <w14:schemeClr w14:val="tx1"/>
                  </w14:solidFill>
                </w14:textFill>
              </w:rPr>
              <w:t>《云南寻甸产业园区总体规划修编（2021-2035）环境影响报告书》；</w:t>
            </w:r>
          </w:p>
          <w:p>
            <w:pPr>
              <w:autoSpaceDE w:val="0"/>
              <w:autoSpaceDN w:val="0"/>
              <w:adjustRightInd w:val="0"/>
              <w:snapToGrid w:val="0"/>
              <w:spacing w:line="360" w:lineRule="auto"/>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2、审查机关：</w:t>
            </w:r>
            <w:r>
              <w:rPr>
                <w:color w:val="000000" w:themeColor="text1"/>
                <w:sz w:val="24"/>
                <w14:textFill>
                  <w14:solidFill>
                    <w14:schemeClr w14:val="tx1"/>
                  </w14:solidFill>
                </w14:textFill>
              </w:rPr>
              <w:t>昆明市生态环境局；</w:t>
            </w:r>
          </w:p>
          <w:p>
            <w:pPr>
              <w:autoSpaceDE w:val="0"/>
              <w:autoSpaceDN w:val="0"/>
              <w:adjustRightInd w:val="0"/>
              <w:snapToGrid w:val="0"/>
              <w:spacing w:line="360" w:lineRule="auto"/>
              <w:rPr>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3、审查文件名称及文号：</w:t>
            </w:r>
            <w:r>
              <w:rPr>
                <w:color w:val="000000" w:themeColor="text1"/>
                <w:sz w:val="24"/>
                <w14:textFill>
                  <w14:solidFill>
                    <w14:schemeClr w14:val="tx1"/>
                  </w14:solidFill>
                </w14:textFill>
              </w:rPr>
              <w:t>昆明市生态环境局关于</w:t>
            </w:r>
            <w:r>
              <w:rPr>
                <w:bCs/>
                <w:color w:val="000000" w:themeColor="text1"/>
                <w:sz w:val="24"/>
                <w14:textFill>
                  <w14:solidFill>
                    <w14:schemeClr w14:val="tx1"/>
                  </w14:solidFill>
                </w14:textFill>
              </w:rPr>
              <w:t>《云南寻甸产业园区总体规划修编（2021-2035）环境影响报告书》审查意见的函（昆环审[2023]5号）</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892"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371" w:type="dxa"/>
            <w:gridSpan w:val="4"/>
            <w:vAlign w:val="center"/>
          </w:tcPr>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1、与</w:t>
            </w:r>
            <w:r>
              <w:rPr>
                <w:b/>
                <w:color w:val="000000" w:themeColor="text1"/>
                <w:sz w:val="24"/>
                <w:lang w:val="zh-CN"/>
                <w14:textFill>
                  <w14:solidFill>
                    <w14:schemeClr w14:val="tx1"/>
                  </w14:solidFill>
                </w14:textFill>
              </w:rPr>
              <w:t>《云南寻甸产业园区总体规划修编（2021-2035）》</w:t>
            </w:r>
            <w:r>
              <w:rPr>
                <w:b/>
                <w:color w:val="000000" w:themeColor="text1"/>
                <w:sz w:val="24"/>
                <w14:textFill>
                  <w14:solidFill>
                    <w14:schemeClr w14:val="tx1"/>
                  </w14:solidFill>
                </w14:textFill>
              </w:rPr>
              <w:t>的符合性分析</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规划简介</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2</w:t>
            </w: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规划相关内容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1）园区总体布局规划</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根据云南寻甸产业园现状工业的分布情况，统筹规划，形成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一园三片多组团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的总体格局。</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一园：云南寻甸产业园区；</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三片：羊街片区、金所（天生桥）片区（其中天生桥拟设置为化工园区）、倘甸片区；</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多组团：依托昆明国际林业产业园、农特产品加工园区、先锋能源基地等园中园，促进产业集聚发展，形成一二三产融合发展的产业体系。</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2）规划时序</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本次规划的期限为2021～2035年。其中：近期为2021年~2025年，远期为2026年~2035年。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3）规划范围</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①近期开发范围（2025年）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至2025年，近期开发范围根据园区实际发展需求，控制为1096.71公顷，包括三个工业发展片区，其中金所片区681.52公顷；羊街片区231.58公顷；倘甸片区183.62公顷。</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②园区远期规划范围（2035年）</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至2035年，远期规划面积根据园区实际发展需求，控制为1214.59公顷，包括三个工业发展片区，其中金所片区681.52公顷；羊街片区263.39公顷；倘甸片区269.69 公顷。</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4）园区定位</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①总体定位</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“3”支柱产业包括：非烟轻工（一主）、绿色化工及先进装备制造（两辅）；</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“2”传统产业包括：生物医药、绿色建材；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“2”服务业：生产性服务、生活性服务。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②分园定位</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金所片区金所组团（</w:t>
            </w:r>
            <w:r>
              <w:rPr>
                <w:b/>
                <w:color w:val="000000" w:themeColor="text1"/>
                <w:sz w:val="24"/>
                <w14:textFill>
                  <w14:solidFill>
                    <w14:schemeClr w14:val="tx1"/>
                  </w14:solidFill>
                </w14:textFill>
              </w:rPr>
              <w:t>6</w:t>
            </w:r>
            <w:r>
              <w:rPr>
                <w:color w:val="000000" w:themeColor="text1"/>
                <w:sz w:val="24"/>
                <w14:textFill>
                  <w14:solidFill>
                    <w14:schemeClr w14:val="tx1"/>
                  </w14:solidFill>
                </w14:textFill>
              </w:rPr>
              <w:t>分区）：先进装备制造产业区、非烟轻工产业区、绿色建材产业区、绿色化工产业区、公共服务配套区、中转物流区；</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金所片区天生桥组团（本次拟设置为化工园区）（</w:t>
            </w:r>
            <w:r>
              <w:rPr>
                <w:b/>
                <w:color w:val="000000" w:themeColor="text1"/>
                <w:sz w:val="24"/>
                <w14:textFill>
                  <w14:solidFill>
                    <w14:schemeClr w14:val="tx1"/>
                  </w14:solidFill>
                </w14:textFill>
              </w:rPr>
              <w:t>2</w:t>
            </w:r>
            <w:r>
              <w:rPr>
                <w:color w:val="000000" w:themeColor="text1"/>
                <w:sz w:val="24"/>
                <w14:textFill>
                  <w14:solidFill>
                    <w14:schemeClr w14:val="tx1"/>
                  </w14:solidFill>
                </w14:textFill>
              </w:rPr>
              <w:t>分区）：绿色化工产业区、先进装备制造产业区；</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羊街片区（</w:t>
            </w:r>
            <w:r>
              <w:rPr>
                <w:b/>
                <w:color w:val="000000" w:themeColor="text1"/>
                <w:sz w:val="24"/>
                <w14:textFill>
                  <w14:solidFill>
                    <w14:schemeClr w14:val="tx1"/>
                  </w14:solidFill>
                </w14:textFill>
              </w:rPr>
              <w:t>3</w:t>
            </w:r>
            <w:r>
              <w:rPr>
                <w:color w:val="000000" w:themeColor="text1"/>
                <w:sz w:val="24"/>
                <w14:textFill>
                  <w14:solidFill>
                    <w14:schemeClr w14:val="tx1"/>
                  </w14:solidFill>
                </w14:textFill>
              </w:rPr>
              <w:t>分区）：先进装备制造产业区、非烟轻工产业区、商贸物流及冷链加工区；</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倘甸片区（</w:t>
            </w:r>
            <w:r>
              <w:rPr>
                <w:b/>
                <w:color w:val="000000" w:themeColor="text1"/>
                <w:sz w:val="24"/>
                <w14:textFill>
                  <w14:solidFill>
                    <w14:schemeClr w14:val="tx1"/>
                  </w14:solidFill>
                </w14:textFill>
              </w:rPr>
              <w:t>4</w:t>
            </w:r>
            <w:r>
              <w:rPr>
                <w:color w:val="000000" w:themeColor="text1"/>
                <w:sz w:val="24"/>
                <w14:textFill>
                  <w14:solidFill>
                    <w14:schemeClr w14:val="tx1"/>
                  </w14:solidFill>
                </w14:textFill>
              </w:rPr>
              <w:t>分区）：生物医疗产业区、先进装备制造产业区、非烟轻工产业区、公共服务配套区。</w:t>
            </w:r>
          </w:p>
          <w:p>
            <w:pPr>
              <w:adjustRightInd w:val="0"/>
              <w:snapToGrid w:val="0"/>
              <w:spacing w:line="360" w:lineRule="auto"/>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3</w:t>
            </w:r>
            <w:r>
              <w:rPr>
                <w:b/>
                <w:bCs/>
                <w:color w:val="000000" w:themeColor="text1"/>
                <w:sz w:val="24"/>
                <w:lang w:val="zh-CN"/>
                <w14:textFill>
                  <w14:solidFill>
                    <w14:schemeClr w14:val="tx1"/>
                  </w14:solidFill>
                </w14:textFill>
              </w:rPr>
              <w:t>）相符性分析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w:t>
            </w:r>
            <w:r>
              <w:rPr>
                <w:color w:val="000000" w:themeColor="text1"/>
                <w:sz w:val="24"/>
                <w14:textFill>
                  <w14:solidFill>
                    <w14:schemeClr w14:val="tx1"/>
                  </w14:solidFill>
                </w14:textFill>
              </w:rPr>
              <w:t>金所片区金所组团</w:t>
            </w:r>
            <w:r>
              <w:rPr>
                <w:rFonts w:hint="eastAsia"/>
                <w:color w:val="000000" w:themeColor="text1"/>
                <w:sz w:val="24"/>
                <w14:textFill>
                  <w14:solidFill>
                    <w14:schemeClr w14:val="tx1"/>
                  </w14:solidFill>
                </w14:textFill>
              </w:rPr>
              <w:t>中的</w:t>
            </w:r>
            <w:r>
              <w:rPr>
                <w:color w:val="000000" w:themeColor="text1"/>
                <w:sz w:val="24"/>
                <w14:textFill>
                  <w14:solidFill>
                    <w14:schemeClr w14:val="tx1"/>
                  </w14:solidFill>
                </w14:textFill>
              </w:rPr>
              <w:t>绿色化工产业区</w:t>
            </w:r>
            <w:r>
              <w:rPr>
                <w:rFonts w:hint="eastAsia"/>
                <w:color w:val="000000" w:themeColor="text1"/>
                <w:sz w:val="24"/>
                <w14:textFill>
                  <w14:solidFill>
                    <w14:schemeClr w14:val="tx1"/>
                  </w14:solidFill>
                </w14:textFill>
              </w:rPr>
              <w:t>（见附图5-2），化工产业集群主要依托天生桥组团重点布局磷化工产业，金所组团重点布局磷化工及煤化工产业。</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本项目为</w:t>
            </w:r>
            <w:r>
              <w:rPr>
                <w:rFonts w:hint="eastAsia"/>
                <w:color w:val="000000" w:themeColor="text1"/>
                <w:sz w:val="24"/>
                <w14:textFill>
                  <w14:solidFill>
                    <w14:schemeClr w14:val="tx1"/>
                  </w14:solidFill>
                </w14:textFill>
              </w:rPr>
              <w:t>有机肥料及微生物肥料制造</w:t>
            </w: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位于</w:t>
            </w:r>
            <w:r>
              <w:rPr>
                <w:color w:val="000000" w:themeColor="text1"/>
                <w:sz w:val="24"/>
                <w:lang w:val="zh-CN"/>
                <w14:textFill>
                  <w14:solidFill>
                    <w14:schemeClr w14:val="tx1"/>
                  </w14:solidFill>
                </w14:textFill>
              </w:rPr>
              <w:t>金所工业园区云南建工云岭水泥有限公司</w:t>
            </w:r>
            <w:r>
              <w:rPr>
                <w:rFonts w:hint="eastAsia"/>
                <w:color w:val="000000" w:themeColor="text1"/>
                <w:sz w:val="24"/>
                <w14:textFill>
                  <w14:solidFill>
                    <w14:schemeClr w14:val="tx1"/>
                  </w14:solidFill>
                </w14:textFill>
              </w:rPr>
              <w:t>内进行建设</w:t>
            </w:r>
            <w:r>
              <w:rPr>
                <w:color w:val="000000" w:themeColor="text1"/>
                <w:sz w:val="24"/>
                <w:lang w:val="zh-CN"/>
                <w14:textFill>
                  <w14:solidFill>
                    <w14:schemeClr w14:val="tx1"/>
                  </w14:solidFill>
                </w14:textFill>
              </w:rPr>
              <w:t>，不新增用地，项目用地为工业用地</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不属于煤磷化工，项目采用园区内煤磷化工企业日常生产中产生的尾矿和草炭（泥煤）为原料生产有机肥，符合园区循环经济的发展理念，与园区的功能定位不冲突。且</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日已取得</w:t>
            </w:r>
            <w:r>
              <w:rPr>
                <w:rFonts w:hint="eastAsia"/>
                <w:color w:val="000000" w:themeColor="text1"/>
                <w:sz w:val="24"/>
                <w14:textFill>
                  <w14:solidFill>
                    <w14:schemeClr w14:val="tx1"/>
                  </w14:solidFill>
                </w14:textFill>
              </w:rPr>
              <w:t>云南寻甸产业</w:t>
            </w:r>
            <w:r>
              <w:rPr>
                <w:color w:val="000000" w:themeColor="text1"/>
                <w:sz w:val="24"/>
                <w14:textFill>
                  <w14:solidFill>
                    <w14:schemeClr w14:val="tx1"/>
                  </w14:solidFill>
                </w14:textFill>
              </w:rPr>
              <w:t>园区管理委员会出具的</w:t>
            </w:r>
            <w:r>
              <w:rPr>
                <w:rFonts w:hint="eastAsia"/>
                <w:color w:val="000000" w:themeColor="text1"/>
                <w:sz w:val="24"/>
                <w14:textFill>
                  <w14:solidFill>
                    <w14:schemeClr w14:val="tx1"/>
                  </w14:solidFill>
                </w14:textFill>
              </w:rPr>
              <w:t>青思生物科技（寻甸）有限责任公司泥煤、草炭、磷矿石浮选尾矿综合利用项目</w:t>
            </w:r>
            <w:r>
              <w:rPr>
                <w:color w:val="000000" w:themeColor="text1"/>
                <w:sz w:val="24"/>
                <w14:textFill>
                  <w14:solidFill>
                    <w14:schemeClr w14:val="tx1"/>
                  </w14:solidFill>
                </w14:textFill>
              </w:rPr>
              <w:t>入园申请同意书</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同意书中明确“项目符合园区产业发展要求，同意《</w:t>
            </w:r>
            <w:r>
              <w:rPr>
                <w:rFonts w:hint="eastAsia"/>
                <w:color w:val="000000" w:themeColor="text1"/>
                <w:sz w:val="24"/>
                <w14:textFill>
                  <w14:solidFill>
                    <w14:schemeClr w14:val="tx1"/>
                  </w14:solidFill>
                </w14:textFill>
              </w:rPr>
              <w:t>青思生物科技（寻甸）有限责任公司泥煤、草炭、磷矿石浮选尾矿综合利用项目</w:t>
            </w:r>
            <w:r>
              <w:rPr>
                <w:color w:val="000000" w:themeColor="text1"/>
                <w:sz w:val="24"/>
                <w14:textFill>
                  <w14:solidFill>
                    <w14:schemeClr w14:val="tx1"/>
                  </w14:solidFill>
                </w14:textFill>
              </w:rPr>
              <w:t>》入驻寻甸产业园区金所片区”。</w:t>
            </w:r>
          </w:p>
          <w:p>
            <w:pPr>
              <w:adjustRightInd w:val="0"/>
              <w:snapToGrid w:val="0"/>
              <w:spacing w:line="360" w:lineRule="auto"/>
              <w:ind w:firstLine="480" w:firstLineChars="200"/>
              <w:rPr>
                <w:color w:val="000000" w:themeColor="text1"/>
                <w:sz w:val="24"/>
                <w:lang w:val="zh-CN"/>
                <w14:textFill>
                  <w14:solidFill>
                    <w14:schemeClr w14:val="tx1"/>
                  </w14:solidFill>
                </w14:textFill>
              </w:rPr>
            </w:pPr>
            <w:bookmarkStart w:id="4" w:name="_Toc31449"/>
            <w:r>
              <w:rPr>
                <w:color w:val="000000" w:themeColor="text1"/>
                <w:sz w:val="24"/>
                <w14:textFill>
                  <w14:solidFill>
                    <w14:schemeClr w14:val="tx1"/>
                  </w14:solidFill>
                </w14:textFill>
              </w:rPr>
              <w:t>综上分析，本项目位于云南寻甸产业园区金所片区金所组团内，</w:t>
            </w:r>
            <w:r>
              <w:rPr>
                <w:color w:val="000000" w:themeColor="text1"/>
                <w:sz w:val="24"/>
                <w:lang w:val="zh-CN"/>
                <w14:textFill>
                  <w14:solidFill>
                    <w14:schemeClr w14:val="tx1"/>
                  </w14:solidFill>
                </w14:textFill>
              </w:rPr>
              <w:t>项目建设</w:t>
            </w:r>
            <w:r>
              <w:rPr>
                <w:color w:val="000000" w:themeColor="text1"/>
                <w:sz w:val="24"/>
                <w14:textFill>
                  <w14:solidFill>
                    <w14:schemeClr w14:val="tx1"/>
                  </w14:solidFill>
                </w14:textFill>
              </w:rPr>
              <w:t>与</w:t>
            </w:r>
            <w:r>
              <w:rPr>
                <w:color w:val="000000" w:themeColor="text1"/>
                <w:sz w:val="24"/>
                <w:lang w:val="zh-CN"/>
                <w14:textFill>
                  <w14:solidFill>
                    <w14:schemeClr w14:val="tx1"/>
                  </w14:solidFill>
                </w14:textFill>
              </w:rPr>
              <w:t>《云南寻甸产业园区总体规划修编（2021-2035）》</w:t>
            </w:r>
            <w:r>
              <w:rPr>
                <w:color w:val="000000" w:themeColor="text1"/>
                <w:sz w:val="24"/>
                <w14:textFill>
                  <w14:solidFill>
                    <w14:schemeClr w14:val="tx1"/>
                  </w14:solidFill>
                </w14:textFill>
              </w:rPr>
              <w:t>不冲突</w:t>
            </w:r>
            <w:r>
              <w:rPr>
                <w:color w:val="000000" w:themeColor="text1"/>
                <w:sz w:val="24"/>
                <w:lang w:val="zh-CN"/>
                <w14:textFill>
                  <w14:solidFill>
                    <w14:schemeClr w14:val="tx1"/>
                  </w14:solidFill>
                </w14:textFill>
              </w:rPr>
              <w:t>。</w:t>
            </w:r>
          </w:p>
          <w:p>
            <w:pPr>
              <w:numPr>
                <w:ilvl w:val="0"/>
                <w:numId w:val="1"/>
              </w:num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lang w:val="zh-CN" w:bidi="ar"/>
                <w14:textFill>
                  <w14:solidFill>
                    <w14:schemeClr w14:val="tx1"/>
                  </w14:solidFill>
                </w14:textFill>
              </w:rPr>
              <w:t>与《云南寻甸产业园区总体规划修编（2021-2035）环境影响报告书》</w:t>
            </w:r>
            <w:r>
              <w:rPr>
                <w:b/>
                <w:color w:val="000000" w:themeColor="text1"/>
                <w:sz w:val="24"/>
                <w:lang w:bidi="ar"/>
                <w14:textFill>
                  <w14:solidFill>
                    <w14:schemeClr w14:val="tx1"/>
                  </w14:solidFill>
                </w14:textFill>
              </w:rPr>
              <w:t>及</w:t>
            </w:r>
            <w:r>
              <w:rPr>
                <w:b/>
                <w:color w:val="000000" w:themeColor="text1"/>
                <w:sz w:val="24"/>
                <w:lang w:val="zh-CN" w:bidi="ar"/>
                <w14:textFill>
                  <w14:solidFill>
                    <w14:schemeClr w14:val="tx1"/>
                  </w14:solidFill>
                </w14:textFill>
              </w:rPr>
              <w:t>审查意见（昆环审[2023]5号）</w:t>
            </w:r>
            <w:r>
              <w:rPr>
                <w:b/>
                <w:color w:val="000000" w:themeColor="text1"/>
                <w:sz w:val="24"/>
                <w:lang w:bidi="ar"/>
                <w14:textFill>
                  <w14:solidFill>
                    <w14:schemeClr w14:val="tx1"/>
                  </w14:solidFill>
                </w14:textFill>
              </w:rPr>
              <w:t>的</w:t>
            </w:r>
            <w:r>
              <w:rPr>
                <w:b/>
                <w:color w:val="000000" w:themeColor="text1"/>
                <w:sz w:val="24"/>
                <w:lang w:val="zh-CN" w:bidi="ar"/>
                <w14:textFill>
                  <w14:solidFill>
                    <w14:schemeClr w14:val="tx1"/>
                  </w14:solidFill>
                </w14:textFill>
              </w:rPr>
              <w:t>符合性分析</w:t>
            </w:r>
            <w:bookmarkEnd w:id="4"/>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）主要环境影响减缓措施</w:t>
            </w:r>
            <w:r>
              <w:rPr>
                <w:b/>
                <w:bCs/>
                <w:color w:val="000000" w:themeColor="text1"/>
                <w:sz w:val="24"/>
                <w14:textFill>
                  <w14:solidFill>
                    <w14:schemeClr w14:val="tx1"/>
                  </w14:solidFill>
                </w14:textFill>
              </w:rPr>
              <w:t>符合性分析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根据《云南寻甸产业园区总体规划修编（2021-2035）环境影响报告书》及其环评审查意见，</w:t>
            </w:r>
            <w:r>
              <w:rPr>
                <w:color w:val="000000" w:themeColor="text1"/>
                <w:sz w:val="24"/>
                <w14:textFill>
                  <w14:solidFill>
                    <w14:schemeClr w14:val="tx1"/>
                  </w14:solidFill>
                </w14:textFill>
              </w:rPr>
              <w:t>本项目与</w:t>
            </w:r>
            <w:r>
              <w:rPr>
                <w:color w:val="000000" w:themeColor="text1"/>
                <w:sz w:val="24"/>
                <w:lang w:val="zh-CN"/>
                <w14:textFill>
                  <w14:solidFill>
                    <w14:schemeClr w14:val="tx1"/>
                  </w14:solidFill>
                </w14:textFill>
              </w:rPr>
              <w:t>园区的主要环境影响减缓措施</w:t>
            </w:r>
            <w:r>
              <w:rPr>
                <w:color w:val="000000" w:themeColor="text1"/>
                <w:sz w:val="24"/>
                <w14:textFill>
                  <w14:solidFill>
                    <w14:schemeClr w14:val="tx1"/>
                  </w14:solidFill>
                </w14:textFill>
              </w:rPr>
              <w:t>符合性分析</w:t>
            </w:r>
            <w:r>
              <w:rPr>
                <w:color w:val="000000" w:themeColor="text1"/>
                <w:sz w:val="24"/>
                <w:lang w:val="zh-CN"/>
                <w14:textFill>
                  <w14:solidFill>
                    <w14:schemeClr w14:val="tx1"/>
                  </w14:solidFill>
                </w14:textFill>
              </w:rPr>
              <w:t>如下</w:t>
            </w:r>
            <w:r>
              <w:rPr>
                <w:color w:val="000000" w:themeColor="text1"/>
                <w:sz w:val="24"/>
                <w14:textFill>
                  <w14:solidFill>
                    <w14:schemeClr w14:val="tx1"/>
                  </w14:solidFill>
                </w14:textFill>
              </w:rPr>
              <w:t>表所示。</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表1-2  项目与规划环评中环境影响减缓措施相符性对比分析表</w:t>
            </w:r>
          </w:p>
          <w:tbl>
            <w:tblPr>
              <w:tblStyle w:val="23"/>
              <w:tblW w:w="79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
            <w:tblGrid>
              <w:gridCol w:w="553"/>
              <w:gridCol w:w="4867"/>
              <w:gridCol w:w="1757"/>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71" w:hRule="atLeast"/>
                <w:jc w:val="center"/>
              </w:trPr>
              <w:tc>
                <w:tcPr>
                  <w:tcW w:w="553"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486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内容要求</w:t>
                  </w:r>
                </w:p>
              </w:tc>
              <w:tc>
                <w:tcPr>
                  <w:tcW w:w="175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项目建设内容</w:t>
                  </w:r>
                </w:p>
              </w:tc>
              <w:tc>
                <w:tcPr>
                  <w:tcW w:w="794"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水</w:t>
                  </w:r>
                  <w:r>
                    <w:rPr>
                      <w:color w:val="000000" w:themeColor="text1"/>
                      <w:szCs w:val="21"/>
                      <w14:textFill>
                        <w14:solidFill>
                          <w14:schemeClr w14:val="tx1"/>
                        </w14:solidFill>
                      </w14:textFill>
                    </w:rPr>
                    <w:t>环境影响</w:t>
                  </w:r>
                  <w:r>
                    <w:rPr>
                      <w:color w:val="000000" w:themeColor="text1"/>
                      <w:szCs w:val="21"/>
                      <w:lang w:val="zh-CN"/>
                      <w14:textFill>
                        <w14:solidFill>
                          <w14:schemeClr w14:val="tx1"/>
                        </w14:solidFill>
                      </w14:textFill>
                    </w:rPr>
                    <w:t>减缓措施</w:t>
                  </w:r>
                </w:p>
              </w:tc>
              <w:tc>
                <w:tcPr>
                  <w:tcW w:w="4867" w:type="dxa"/>
                  <w:vAlign w:val="center"/>
                </w:tcPr>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w:t>
                  </w:r>
                  <w:r>
                    <w:rPr>
                      <w:rFonts w:hint="eastAsia"/>
                      <w:color w:val="000000" w:themeColor="text1"/>
                      <w:kern w:val="0"/>
                      <w:szCs w:val="21"/>
                      <w14:textFill>
                        <w14:solidFill>
                          <w14:schemeClr w14:val="tx1"/>
                        </w14:solidFill>
                      </w14:textFill>
                    </w:rPr>
                    <w:t>分期</w:t>
                  </w:r>
                  <w:r>
                    <w:rPr>
                      <w:color w:val="000000" w:themeColor="text1"/>
                      <w:kern w:val="0"/>
                      <w:szCs w:val="21"/>
                      <w14:textFill>
                        <w14:solidFill>
                          <w14:schemeClr w14:val="tx1"/>
                        </w14:solidFill>
                      </w14:textFill>
                    </w:rPr>
                    <w:t>发展要求分别建设污水处理回用系统，污水处理回用系统采取分质处理分级回用方式，回用于各类城市杂用水和工业补水等；</w:t>
                  </w:r>
                </w:p>
                <w:p>
                  <w:pPr>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生产过程中不产生废水</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员工不在项目区食宿，办公生活和如厕依托云南建工云岭水泥有限公司已建的设施，生活污水依托已建的污水处理设施进行处理。</w:t>
                  </w:r>
                </w:p>
              </w:tc>
              <w:tc>
                <w:tcPr>
                  <w:tcW w:w="7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大气</w:t>
                  </w:r>
                  <w:r>
                    <w:rPr>
                      <w:color w:val="000000" w:themeColor="text1"/>
                      <w:szCs w:val="21"/>
                      <w14:textFill>
                        <w14:solidFill>
                          <w14:schemeClr w14:val="tx1"/>
                        </w14:solidFill>
                      </w14:textFill>
                    </w:rPr>
                    <w:t>环境影响</w:t>
                  </w:r>
                  <w:r>
                    <w:rPr>
                      <w:color w:val="000000" w:themeColor="text1"/>
                      <w:szCs w:val="21"/>
                      <w:lang w:val="zh-CN"/>
                      <w14:textFill>
                        <w14:solidFill>
                          <w14:schemeClr w14:val="tx1"/>
                        </w14:solidFill>
                      </w14:textFill>
                    </w:rPr>
                    <w:t>减缓措施</w:t>
                  </w:r>
                </w:p>
              </w:tc>
              <w:tc>
                <w:tcPr>
                  <w:tcW w:w="4867" w:type="dxa"/>
                  <w:vAlign w:val="center"/>
                </w:tcPr>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①按规划及其他相关要求要求规划区工业及民用均使用清洁能源。对严重污染大气环境的工艺、设备和产品实行淘汰制度；</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pPr>
                    <w:jc w:val="left"/>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color w:val="000000" w:themeColor="text1"/>
                      <w:szCs w:val="21"/>
                      <w14:textFill>
                        <w14:solidFill>
                          <w14:schemeClr w14:val="tx1"/>
                        </w14:solidFill>
                      </w14:textFill>
                    </w:rPr>
                    <w:t>废气均经过有效的治理措施处理后</w:t>
                  </w:r>
                  <w:r>
                    <w:rPr>
                      <w:rFonts w:hint="eastAsia"/>
                      <w:color w:val="000000" w:themeColor="text1"/>
                      <w:szCs w:val="21"/>
                      <w14:textFill>
                        <w14:solidFill>
                          <w14:schemeClr w14:val="tx1"/>
                        </w14:solidFill>
                      </w14:textFill>
                    </w:rPr>
                    <w:t>对周围环境影响不大。</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547" w:hRule="atLeast"/>
                <w:jc w:val="center"/>
              </w:trPr>
              <w:tc>
                <w:tcPr>
                  <w:tcW w:w="55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地下水环境影响</w:t>
                  </w:r>
                  <w:r>
                    <w:rPr>
                      <w:color w:val="000000" w:themeColor="text1"/>
                      <w:szCs w:val="21"/>
                      <w:lang w:val="zh-CN"/>
                      <w14:textFill>
                        <w14:solidFill>
                          <w14:schemeClr w14:val="tx1"/>
                        </w14:solidFill>
                      </w14:textFill>
                    </w:rPr>
                    <w:t>减缓措施</w:t>
                  </w:r>
                </w:p>
              </w:tc>
              <w:tc>
                <w:tcPr>
                  <w:tcW w:w="4867" w:type="dxa"/>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①杜绝高污染，高排水和淘汰落后工艺性质企业入园</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②严禁入驻企业抽取地下水作为生产、生活用水。</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③规范各入驻企业废水处理设施、生产车间产污工段的地面应为硬化防渗地面，厂内污水沟应有相应防渗措施。</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④生活垃圾临时堆存点和厂内固废临时堆存点，必须具有防风、防雨、防渗措施，严禁露天乱堆放。堆存点应做到上有雨棚、底有混凝土层防渗，周边至少有1.5~2m高的挡墙和环形截雨沟。</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⑤浸出毒性是I类一般工业固废和危险固废则需严格按国家有关规定、规范处理处置，杜绝乱堆放或混堆现象。</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⑥严禁入园企业向地下渗坑、岩溶洼地排水、落水洞排污。严禁入驻企业在园区内新建永久性固废处置场，危险废物委托有资质单位进行清运处置。</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⑦杜绝各企业生产废水、生活污水及废油、废酸、固体废弃物任意乱排放进入岩溶(洼地、落水洞)环境或农田、水体中，保护地下水环境免受污染。</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⑧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adjustRightInd w:val="0"/>
                    <w:snapToGrid w:val="0"/>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涉及重金属及危险化学品的企业在平面布局时需考虑场地地下水含水层分布情况，尽量使重大风险源、废水收集治理等可能出现渗漏风险的设施设置于泥岩隔水层之上。</w:t>
                  </w:r>
                </w:p>
                <w:p>
                  <w:pPr>
                    <w:jc w:val="left"/>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⑨企业场地、各生产车间及原料、废渣临时堆放场地、污水处理设施等区域按照国家标准或行业防渗技术规范、《环境影响评价技术导则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757" w:type="dxa"/>
                  <w:vAlign w:val="center"/>
                </w:tcPr>
                <w:p>
                  <w:pPr>
                    <w:widowControl/>
                    <w:jc w:val="center"/>
                    <w:rPr>
                      <w:b/>
                      <w:bCs/>
                      <w:color w:val="000000" w:themeColor="text1"/>
                      <w14:textFill>
                        <w14:solidFill>
                          <w14:schemeClr w14:val="tx1"/>
                        </w14:solidFill>
                      </w14:textFill>
                    </w:rPr>
                  </w:pPr>
                  <w:r>
                    <w:rPr>
                      <w:color w:val="000000" w:themeColor="text1"/>
                      <w:szCs w:val="21"/>
                      <w14:textFill>
                        <w14:solidFill>
                          <w14:schemeClr w14:val="tx1"/>
                        </w14:solidFill>
                      </w14:textFill>
                    </w:rPr>
                    <w:t>本项目区内进行分区防渗，①重点防渗：</w:t>
                  </w:r>
                  <w:r>
                    <w:rPr>
                      <w:rFonts w:hint="eastAsia"/>
                      <w:color w:val="000000" w:themeColor="text1"/>
                      <w:szCs w:val="21"/>
                      <w:lang w:val="zh-CN"/>
                      <w14:textFill>
                        <w14:solidFill>
                          <w14:schemeClr w14:val="tx1"/>
                        </w14:solidFill>
                      </w14:textFill>
                    </w:rPr>
                    <w:t>危废暂存库</w:t>
                  </w:r>
                  <w:r>
                    <w:rPr>
                      <w:color w:val="000000" w:themeColor="text1"/>
                      <w:szCs w:val="21"/>
                      <w:lang w:val="zh-CN"/>
                      <w14:textFill>
                        <w14:solidFill>
                          <w14:schemeClr w14:val="tx1"/>
                        </w14:solidFill>
                      </w14:textFill>
                    </w:rPr>
                    <w:t>地面及</w:t>
                  </w:r>
                  <w:r>
                    <w:rPr>
                      <w:color w:val="000000" w:themeColor="text1"/>
                      <w:szCs w:val="21"/>
                      <w14:textFill>
                        <w14:solidFill>
                          <w14:schemeClr w14:val="tx1"/>
                        </w14:solidFill>
                      </w14:textFill>
                    </w:rPr>
                    <w:t>四周墙裙脚</w:t>
                  </w:r>
                  <w:r>
                    <w:rPr>
                      <w:color w:val="000000" w:themeColor="text1"/>
                      <w:szCs w:val="21"/>
                      <w:lang w:val="zh-CN"/>
                      <w14:textFill>
                        <w14:solidFill>
                          <w14:schemeClr w14:val="tx1"/>
                        </w14:solidFill>
                      </w14:textFill>
                    </w:rPr>
                    <w:t>采用“</w:t>
                  </w:r>
                  <w:r>
                    <w:rPr>
                      <w:color w:val="000000" w:themeColor="text1"/>
                      <w:szCs w:val="21"/>
                      <w14:textFill>
                        <w14:solidFill>
                          <w14:schemeClr w14:val="tx1"/>
                        </w14:solidFill>
                      </w14:textFill>
                    </w:rPr>
                    <w:t>抗渗混凝土</w:t>
                  </w:r>
                  <w:r>
                    <w:rPr>
                      <w:color w:val="000000" w:themeColor="text1"/>
                      <w:szCs w:val="21"/>
                      <w:lang w:val="zh-CN"/>
                      <w14:textFill>
                        <w14:solidFill>
                          <w14:schemeClr w14:val="tx1"/>
                        </w14:solidFill>
                      </w14:textFill>
                    </w:rPr>
                    <w:t>+2mm厚HDPE+环氧树脂”</w:t>
                  </w:r>
                  <w:r>
                    <w:rPr>
                      <w:color w:val="000000" w:themeColor="text1"/>
                      <w:szCs w:val="21"/>
                      <w14:textFill>
                        <w14:solidFill>
                          <w14:schemeClr w14:val="tx1"/>
                        </w14:solidFill>
                      </w14:textFill>
                    </w:rPr>
                    <w:t>进行重点防渗处理</w:t>
                  </w:r>
                  <w:r>
                    <w:rPr>
                      <w:color w:val="000000" w:themeColor="text1"/>
                      <w:szCs w:val="21"/>
                      <w:lang w:val="zh-CN"/>
                      <w14:textFill>
                        <w14:solidFill>
                          <w14:schemeClr w14:val="tx1"/>
                        </w14:solidFill>
                      </w14:textFill>
                    </w:rPr>
                    <w:t>，渗透系数≤10</w:t>
                  </w:r>
                  <w:r>
                    <w:rPr>
                      <w:color w:val="000000" w:themeColor="text1"/>
                      <w:szCs w:val="21"/>
                      <w:vertAlign w:val="superscript"/>
                      <w:lang w:val="zh-CN"/>
                      <w14:textFill>
                        <w14:solidFill>
                          <w14:schemeClr w14:val="tx1"/>
                        </w14:solidFill>
                      </w14:textFill>
                    </w:rPr>
                    <w:t>-10</w:t>
                  </w:r>
                  <w:r>
                    <w:rPr>
                      <w:color w:val="000000" w:themeColor="text1"/>
                      <w:szCs w:val="21"/>
                      <w:lang w:val="zh-CN"/>
                      <w14:textFill>
                        <w14:solidFill>
                          <w14:schemeClr w14:val="tx1"/>
                        </w14:solidFill>
                      </w14:textFill>
                    </w:rPr>
                    <w:t>cm/s</w:t>
                  </w:r>
                  <w:r>
                    <w:rPr>
                      <w:color w:val="000000" w:themeColor="text1"/>
                      <w:szCs w:val="21"/>
                      <w14:textFill>
                        <w14:solidFill>
                          <w14:schemeClr w14:val="tx1"/>
                        </w14:solidFill>
                      </w14:textFill>
                    </w:rPr>
                    <w:t>，并按照要求设置规范的标识、标牌；</w:t>
                  </w:r>
                </w:p>
                <w:p>
                  <w:pPr>
                    <w:widowControl/>
                    <w:jc w:val="center"/>
                    <w:rPr>
                      <w:b/>
                      <w:bCs/>
                      <w:color w:val="000000" w:themeColor="text1"/>
                      <w14:textFill>
                        <w14:solidFill>
                          <w14:schemeClr w14:val="tx1"/>
                        </w14:solidFill>
                      </w14:textFill>
                    </w:rPr>
                  </w:pPr>
                  <w:r>
                    <w:rPr>
                      <w:color w:val="000000" w:themeColor="text1"/>
                      <w:szCs w:val="21"/>
                      <w14:textFill>
                        <w14:solidFill>
                          <w14:schemeClr w14:val="tx1"/>
                        </w14:solidFill>
                      </w14:textFill>
                    </w:rPr>
                    <w:t>②一般防渗区：</w:t>
                  </w:r>
                  <w:r>
                    <w:rPr>
                      <w:rStyle w:val="74"/>
                      <w:rFonts w:hint="eastAsia"/>
                      <w:color w:val="000000" w:themeColor="text1"/>
                      <w14:textFill>
                        <w14:solidFill>
                          <w14:schemeClr w14:val="tx1"/>
                        </w14:solidFill>
                      </w14:textFill>
                    </w:rPr>
                    <w:t>原料库、一般固废暂存库</w:t>
                  </w:r>
                  <w:r>
                    <w:rPr>
                      <w:rStyle w:val="74"/>
                      <w:color w:val="000000" w:themeColor="text1"/>
                      <w14:textFill>
                        <w14:solidFill>
                          <w14:schemeClr w14:val="tx1"/>
                        </w14:solidFill>
                      </w14:textFill>
                    </w:rPr>
                    <w:t>防渗技术要求达到等效黏土防渗层Mb≥1.5m，渗透系数≤10</w:t>
                  </w:r>
                  <w:r>
                    <w:rPr>
                      <w:rStyle w:val="74"/>
                      <w:color w:val="000000" w:themeColor="text1"/>
                      <w:vertAlign w:val="superscript"/>
                      <w14:textFill>
                        <w14:solidFill>
                          <w14:schemeClr w14:val="tx1"/>
                        </w14:solidFill>
                      </w14:textFill>
                    </w:rPr>
                    <w:t>-7</w:t>
                  </w:r>
                  <w:r>
                    <w:rPr>
                      <w:rStyle w:val="74"/>
                      <w:color w:val="000000" w:themeColor="text1"/>
                      <w14:textFill>
                        <w14:solidFill>
                          <w14:schemeClr w14:val="tx1"/>
                        </w14:solidFill>
                      </w14:textFill>
                    </w:rPr>
                    <w:t>cm/s</w:t>
                  </w:r>
                  <w:r>
                    <w:rPr>
                      <w:rStyle w:val="74"/>
                      <w:rFonts w:hint="eastAsia"/>
                      <w:color w:val="000000" w:themeColor="text1"/>
                      <w14:textFill>
                        <w14:solidFill>
                          <w14:schemeClr w14:val="tx1"/>
                        </w14:solidFill>
                      </w14:textFill>
                    </w:rPr>
                    <w:t>；</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③简单防渗区：</w:t>
                  </w:r>
                  <w:r>
                    <w:rPr>
                      <w:color w:val="000000" w:themeColor="text1"/>
                      <w:szCs w:val="21"/>
                      <w:lang w:val="zh-CN"/>
                      <w14:textFill>
                        <w14:solidFill>
                          <w14:schemeClr w14:val="tx1"/>
                        </w14:solidFill>
                      </w14:textFill>
                    </w:rPr>
                    <w:t>除重点防渗区、一般防渗区外的其他区域，进行一般</w:t>
                  </w:r>
                  <w:r>
                    <w:rPr>
                      <w:color w:val="000000" w:themeColor="text1"/>
                      <w:szCs w:val="21"/>
                      <w14:textFill>
                        <w14:solidFill>
                          <w14:schemeClr w14:val="tx1"/>
                        </w14:solidFill>
                      </w14:textFill>
                    </w:rPr>
                    <w:t>硬化处理。本项目不属于高污染、高排水及淘汰落后的生产工艺，用水为市政管网供水。</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土壤环境影响</w:t>
                  </w:r>
                  <w:r>
                    <w:rPr>
                      <w:color w:val="000000" w:themeColor="text1"/>
                      <w:szCs w:val="21"/>
                      <w:lang w:val="zh-CN"/>
                      <w14:textFill>
                        <w14:solidFill>
                          <w14:schemeClr w14:val="tx1"/>
                        </w14:solidFill>
                      </w14:textFill>
                    </w:rPr>
                    <w:t>减缓措施</w:t>
                  </w:r>
                </w:p>
              </w:tc>
              <w:tc>
                <w:tcPr>
                  <w:tcW w:w="4867" w:type="dxa"/>
                  <w:vAlign w:val="center"/>
                </w:tcPr>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①源头控制措施：选用合格的生产原料，从源头上控制污染物的产生。</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②末端控制措施：废气经处理后外排，减少废气中的污染物排放。</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③污染监控体系：实施覆盖生产区的土壤污染监控系统，及时发现污染、及时控制。</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④应急响应措施：一旦发现污染事故，立即启动应急预案、采取应急措施控制土壤，并使污染的到治理。</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⑤绿化措施：合理利用项目区的空余空间，加强项目区的绿化。</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⑥加强对厂区周围土壤环境的定期监测，建立土壤环境质量动态监测系统，及时反馈污染控制信息。</w:t>
                  </w:r>
                </w:p>
                <w:p>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⑦严格固体废物运输管理，避免在运输过程中的散落。一旦发生散落事件，及时清理收集，防止进入农田。</w:t>
                  </w:r>
                </w:p>
              </w:tc>
              <w:tc>
                <w:tcPr>
                  <w:tcW w:w="1757" w:type="dxa"/>
                  <w:vAlign w:val="center"/>
                </w:tcPr>
                <w:p>
                  <w:pPr>
                    <w:pStyle w:val="71"/>
                    <w:rPr>
                      <w:color w:val="000000" w:themeColor="text1"/>
                      <w14:textFill>
                        <w14:solidFill>
                          <w14:schemeClr w14:val="tx1"/>
                        </w14:solidFill>
                      </w14:textFill>
                    </w:rPr>
                  </w:pPr>
                  <w:r>
                    <w:rPr>
                      <w:b w:val="0"/>
                      <w:bCs/>
                      <w:color w:val="000000" w:themeColor="text1"/>
                      <w14:textFill>
                        <w14:solidFill>
                          <w14:schemeClr w14:val="tx1"/>
                        </w14:solidFill>
                      </w14:textFill>
                    </w:rPr>
                    <w:t>本项目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rFonts w:hint="eastAsia"/>
                      <w:b w:val="0"/>
                      <w:bCs/>
                      <w:color w:val="000000" w:themeColor="text1"/>
                      <w14:textFill>
                        <w14:solidFill>
                          <w14:schemeClr w14:val="tx1"/>
                        </w14:solidFill>
                      </w14:textFill>
                    </w:rPr>
                    <w:t>采取分区防渗的措施可避免对土壤的污染。</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噪声影响减缓措施</w:t>
                  </w:r>
                </w:p>
              </w:tc>
              <w:tc>
                <w:tcPr>
                  <w:tcW w:w="4867" w:type="dxa"/>
                  <w:vAlign w:val="center"/>
                </w:tcPr>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根据规划实施后对声环境的影响分析，本评价提出规划区应合理布局各企业位置，要将工业用地、公共设施用地等噪声污染较高的用地与住宅等需要安静的用地分隔开来，居住区应尽最离开交通干线40m以上，将仓储用地放于交通干道两侧，入园企业也要注意将生产区与办公区分离开来；</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②道路建设设计应预留绿化带，加强园区道路修缮工作以及交通管理；</w:t>
                  </w:r>
                </w:p>
                <w:p>
                  <w:pPr>
                    <w:adjustRightInd w:val="0"/>
                    <w:snapToGrid w:val="0"/>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③入园企业如果使用一些高噪声设备如风机、空压机、冷却塔、发电机等，应做好消音降噪措施，建设过程中一定要对高噪声设备实行“同时设计、同时施工、同时验收”的原则，杜绝先污染后治理的现象出现。</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本项目所有设备均设置于厂房内部，高噪声设备安装消声、减震装置。根据预测结果，在采取噪声防治措施后，项目厂界噪声可满足《工业企业厂界环境噪声排放标准》（GB12348-2008）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类标准要求。项目周边50m范围</w:t>
                  </w:r>
                  <w:r>
                    <w:rPr>
                      <w:rFonts w:hint="eastAsia"/>
                      <w:color w:val="000000" w:themeColor="text1"/>
                      <w:szCs w:val="21"/>
                      <w14:textFill>
                        <w14:solidFill>
                          <w14:schemeClr w14:val="tx1"/>
                        </w14:solidFill>
                      </w14:textFill>
                    </w:rPr>
                    <w:t>无</w:t>
                  </w:r>
                  <w:r>
                    <w:rPr>
                      <w:color w:val="000000" w:themeColor="text1"/>
                      <w:szCs w:val="21"/>
                      <w14:textFill>
                        <w14:solidFill>
                          <w14:schemeClr w14:val="tx1"/>
                        </w14:solidFill>
                      </w14:textFill>
                    </w:rPr>
                    <w:t>声环境敏感目标，不会降低区域声环境质量现状。</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固体废物污染防治措施</w:t>
                  </w:r>
                </w:p>
              </w:tc>
              <w:tc>
                <w:tcPr>
                  <w:tcW w:w="4867" w:type="dxa"/>
                  <w:vAlign w:val="center"/>
                </w:tcPr>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③对于危险固废，需要按《危险废物贮存污染控制标准》(GB18597-2023)的要求进行贮存，委托危险废物中心处理；目前不能处置的废物，应在项目内妥善贮存。严格按照</w:t>
                  </w:r>
                  <w:r>
                    <w:rPr>
                      <w:rFonts w:hint="eastAsia"/>
                      <w:color w:val="000000" w:themeColor="text1"/>
                      <w:kern w:val="0"/>
                      <w:szCs w:val="21"/>
                      <w14:textFill>
                        <w14:solidFill>
                          <w14:schemeClr w14:val="tx1"/>
                        </w14:solidFill>
                      </w14:textFill>
                    </w:rPr>
                    <w:t>《中华人民共和国固体</w:t>
                  </w:r>
                  <w:bookmarkStart w:id="39" w:name="_GoBack"/>
                  <w:r>
                    <w:rPr>
                      <w:rFonts w:hint="eastAsia"/>
                      <w:color w:val="000000" w:themeColor="text1"/>
                      <w:kern w:val="0"/>
                      <w:szCs w:val="21"/>
                      <w14:textFill>
                        <w14:solidFill>
                          <w14:schemeClr w14:val="tx1"/>
                        </w14:solidFill>
                      </w14:textFill>
                    </w:rPr>
                    <w:t>废物污染环境防治法</w:t>
                  </w:r>
                  <w:bookmarkEnd w:id="39"/>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对危险废物污染环境污染防治的特别规定，做好危险废物的申报登记、处置和管理。强化危险废物管理。</w:t>
                  </w:r>
                </w:p>
                <w:p>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pPr>
                    <w:adjustRightInd w:val="0"/>
                    <w:snapToGrid w:val="0"/>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⑤工程开挖土石方、建筑垃圾和施工人员生活垃圾要及时清运，以免给周围环境带来影响。</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废包装材料</w:t>
                  </w:r>
                  <w:r>
                    <w:rPr>
                      <w:bCs/>
                      <w:color w:val="000000" w:themeColor="text1"/>
                      <w:spacing w:val="-10"/>
                      <w:szCs w:val="21"/>
                      <w14:textFill>
                        <w14:solidFill>
                          <w14:schemeClr w14:val="tx1"/>
                        </w14:solidFill>
                      </w14:textFill>
                    </w:rPr>
                    <w:t>定期外售资源回收公司</w:t>
                  </w:r>
                  <w:r>
                    <w:rPr>
                      <w:rFonts w:hint="eastAsia"/>
                      <w:bCs/>
                      <w:color w:val="000000" w:themeColor="text1"/>
                      <w:spacing w:val="-10"/>
                      <w:szCs w:val="21"/>
                      <w14:textFill>
                        <w14:solidFill>
                          <w14:schemeClr w14:val="tx1"/>
                        </w14:solidFill>
                      </w14:textFill>
                    </w:rPr>
                    <w:t>，收尘灰收集后回用于有机肥的生产，生活垃圾收集后</w:t>
                  </w:r>
                  <w:r>
                    <w:rPr>
                      <w:bCs/>
                      <w:color w:val="000000" w:themeColor="text1"/>
                      <w:spacing w:val="-10"/>
                      <w:szCs w:val="21"/>
                      <w14:textFill>
                        <w14:solidFill>
                          <w14:schemeClr w14:val="tx1"/>
                        </w14:solidFill>
                      </w14:textFill>
                    </w:rPr>
                    <w:t>委托环卫部门清运</w:t>
                  </w:r>
                  <w:r>
                    <w:rPr>
                      <w:rFonts w:hint="eastAsia"/>
                      <w:bCs/>
                      <w:color w:val="000000" w:themeColor="text1"/>
                      <w:spacing w:val="-10"/>
                      <w:szCs w:val="21"/>
                      <w14:textFill>
                        <w14:solidFill>
                          <w14:schemeClr w14:val="tx1"/>
                        </w14:solidFill>
                      </w14:textFill>
                    </w:rPr>
                    <w:t>，废机油暂存于危废暂存库后及时委托有资质单位处置。</w:t>
                  </w:r>
                </w:p>
                <w:p>
                  <w:pPr>
                    <w:adjustRightInd w:val="0"/>
                    <w:snapToGrid w:val="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固体废弃物100%处置。</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生态环境影响减缓措施</w:t>
                  </w:r>
                </w:p>
              </w:tc>
              <w:tc>
                <w:tcPr>
                  <w:tcW w:w="4867" w:type="dxa"/>
                  <w:vAlign w:val="center"/>
                </w:tcPr>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①强化规划区内项目建设施工期生态保护；</w:t>
                  </w:r>
                </w:p>
                <w:p>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②优先进行生态基础施建设；</w:t>
                  </w:r>
                </w:p>
                <w:p>
                  <w:pPr>
                    <w:adjustRightInd w:val="0"/>
                    <w:snapToGrid w:val="0"/>
                    <w:rPr>
                      <w:color w:val="000000" w:themeColor="text1"/>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③</w:t>
                  </w:r>
                  <w:r>
                    <w:rPr>
                      <w:color w:val="000000" w:themeColor="text1"/>
                      <w:kern w:val="0"/>
                      <w:szCs w:val="21"/>
                      <w14:textFill>
                        <w14:solidFill>
                          <w14:schemeClr w14:val="tx1"/>
                        </w14:solidFill>
                      </w14:textFill>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在已建</w:t>
                  </w:r>
                  <w:r>
                    <w:rPr>
                      <w:color w:val="000000" w:themeColor="text1"/>
                      <w:szCs w:val="21"/>
                      <w14:textFill>
                        <w14:solidFill>
                          <w14:schemeClr w14:val="tx1"/>
                        </w14:solidFill>
                      </w14:textFill>
                    </w:rPr>
                    <w:t>厂区</w:t>
                  </w:r>
                  <w:r>
                    <w:rPr>
                      <w:rFonts w:hint="eastAsia"/>
                      <w:color w:val="000000" w:themeColor="text1"/>
                      <w:szCs w:val="21"/>
                      <w14:textFill>
                        <w14:solidFill>
                          <w14:schemeClr w14:val="tx1"/>
                        </w14:solidFill>
                      </w14:textFill>
                    </w:rPr>
                    <w:t>车间</w:t>
                  </w:r>
                  <w:r>
                    <w:rPr>
                      <w:color w:val="000000" w:themeColor="text1"/>
                      <w:szCs w:val="21"/>
                      <w14:textFill>
                        <w14:solidFill>
                          <w14:schemeClr w14:val="tx1"/>
                        </w14:solidFill>
                      </w14:textFill>
                    </w:rPr>
                    <w:t>内</w:t>
                  </w:r>
                  <w:r>
                    <w:rPr>
                      <w:rFonts w:hint="eastAsia"/>
                      <w:color w:val="000000" w:themeColor="text1"/>
                      <w:szCs w:val="21"/>
                      <w14:textFill>
                        <w14:solidFill>
                          <w14:schemeClr w14:val="tx1"/>
                        </w14:solidFill>
                      </w14:textFill>
                    </w:rPr>
                    <w:t>进行建设，车间外已</w:t>
                  </w:r>
                  <w:r>
                    <w:rPr>
                      <w:color w:val="000000" w:themeColor="text1"/>
                      <w:szCs w:val="21"/>
                      <w14:textFill>
                        <w14:solidFill>
                          <w14:schemeClr w14:val="tx1"/>
                        </w14:solidFill>
                      </w14:textFill>
                    </w:rPr>
                    <w:t>设置了一定面积的绿化。</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Ex>
              <w:trPr>
                <w:trHeight w:val="390" w:hRule="atLeast"/>
                <w:jc w:val="center"/>
              </w:trPr>
              <w:tc>
                <w:tcPr>
                  <w:tcW w:w="553" w:type="dxa"/>
                  <w:vAlign w:val="center"/>
                </w:tcPr>
                <w:p>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事故及风险防范措施</w:t>
                  </w:r>
                </w:p>
              </w:tc>
              <w:tc>
                <w:tcPr>
                  <w:tcW w:w="4867" w:type="dxa"/>
                  <w:vAlign w:val="center"/>
                </w:tcPr>
                <w:p>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t>根据进驻项目可能发生的风险事故和清消废水产生量，对存在环境风险的项目，在进行设计施工时，设置清消废水收集池，清消废水经收集处理达标后才能外排。</w:t>
                  </w:r>
                </w:p>
                <w:p>
                  <w:pPr>
                    <w:autoSpaceDE w:val="0"/>
                    <w:autoSpaceDN w:val="0"/>
                    <w:adjustRightInd w:val="0"/>
                    <w:snapToGrid w:val="0"/>
                    <w:jc w:val="left"/>
                    <w:rPr>
                      <w:color w:val="000000" w:themeColor="text1"/>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③</w:t>
                  </w:r>
                  <w:r>
                    <w:rPr>
                      <w:color w:val="000000" w:themeColor="text1"/>
                      <w:kern w:val="0"/>
                      <w:szCs w:val="21"/>
                      <w14:textFill>
                        <w14:solidFill>
                          <w14:schemeClr w14:val="tx1"/>
                        </w14:solidFill>
                      </w14:textFill>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tc>
              <w:tc>
                <w:tcPr>
                  <w:tcW w:w="1757"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本项目建设完成后按照要求</w:t>
                  </w:r>
                  <w:r>
                    <w:rPr>
                      <w:rFonts w:hint="eastAsia"/>
                      <w:color w:val="000000" w:themeColor="text1"/>
                      <w:szCs w:val="21"/>
                      <w14:textFill>
                        <w14:solidFill>
                          <w14:schemeClr w14:val="tx1"/>
                        </w14:solidFill>
                      </w14:textFill>
                    </w:rPr>
                    <w:t>及时编制</w:t>
                  </w:r>
                  <w:r>
                    <w:rPr>
                      <w:color w:val="000000" w:themeColor="text1"/>
                      <w:szCs w:val="21"/>
                      <w14:textFill>
                        <w14:solidFill>
                          <w14:schemeClr w14:val="tx1"/>
                        </w14:solidFill>
                      </w14:textFill>
                    </w:rPr>
                    <w:t>突发环境事件应急预案，并报当地环保部门备案。</w:t>
                  </w:r>
                </w:p>
              </w:tc>
              <w:tc>
                <w:tcPr>
                  <w:tcW w:w="7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综上</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项目</w:t>
            </w:r>
            <w:r>
              <w:rPr>
                <w:color w:val="000000" w:themeColor="text1"/>
                <w:sz w:val="24"/>
                <w:lang w:val="zh-CN"/>
                <w14:textFill>
                  <w14:solidFill>
                    <w14:schemeClr w14:val="tx1"/>
                  </w14:solidFill>
                </w14:textFill>
              </w:rPr>
              <w:t>符合《云南寻甸产业园区总体规划修编（2021-2035）环境影响报告书》</w:t>
            </w:r>
            <w:r>
              <w:rPr>
                <w:color w:val="000000" w:themeColor="text1"/>
                <w:sz w:val="24"/>
                <w14:textFill>
                  <w14:solidFill>
                    <w14:schemeClr w14:val="tx1"/>
                  </w14:solidFill>
                </w14:textFill>
              </w:rPr>
              <w:t>中的</w:t>
            </w:r>
            <w:r>
              <w:rPr>
                <w:color w:val="000000" w:themeColor="text1"/>
                <w:sz w:val="24"/>
                <w:lang w:val="zh-CN"/>
                <w14:textFill>
                  <w14:solidFill>
                    <w14:schemeClr w14:val="tx1"/>
                  </w14:solidFill>
                </w14:textFill>
              </w:rPr>
              <w:t>环境影响减缓措施相关要求。</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2</w:t>
            </w:r>
            <w:r>
              <w:rPr>
                <w:b/>
                <w:bCs/>
                <w:color w:val="000000" w:themeColor="text1"/>
                <w:sz w:val="24"/>
                <w:lang w:val="zh-CN"/>
                <w14:textFill>
                  <w14:solidFill>
                    <w14:schemeClr w14:val="tx1"/>
                  </w14:solidFill>
                </w14:textFill>
              </w:rPr>
              <w:t>）园区准入负面清单</w:t>
            </w:r>
            <w:r>
              <w:rPr>
                <w:b/>
                <w:bCs/>
                <w:color w:val="000000" w:themeColor="text1"/>
                <w:sz w:val="24"/>
                <w14:textFill>
                  <w14:solidFill>
                    <w14:schemeClr w14:val="tx1"/>
                  </w14:solidFill>
                </w14:textFill>
              </w:rPr>
              <w:t>符合性分析</w:t>
            </w:r>
          </w:p>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根据《云南寻甸产业园区总体规划修编（2021-2035）环境影响报告书》，园区</w:t>
            </w:r>
            <w:r>
              <w:rPr>
                <w:color w:val="000000" w:themeColor="text1"/>
                <w:sz w:val="24"/>
                <w14:textFill>
                  <w14:solidFill>
                    <w14:schemeClr w14:val="tx1"/>
                  </w14:solidFill>
                </w14:textFill>
              </w:rPr>
              <w:t>环境</w:t>
            </w:r>
            <w:r>
              <w:rPr>
                <w:color w:val="000000" w:themeColor="text1"/>
                <w:sz w:val="24"/>
                <w:lang w:val="zh-CN"/>
                <w14:textFill>
                  <w14:solidFill>
                    <w14:schemeClr w14:val="tx1"/>
                  </w14:solidFill>
                </w14:textFill>
              </w:rPr>
              <w:t>准入负面清单及对照情况如下：</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表1-3  本项目与规划区环境准入条件负面清单对照情况表</w:t>
            </w:r>
          </w:p>
          <w:tbl>
            <w:tblPr>
              <w:tblStyle w:val="23"/>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21"/>
              <w:gridCol w:w="586"/>
              <w:gridCol w:w="3375"/>
              <w:gridCol w:w="3225"/>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trPr>
              <w:tc>
                <w:tcPr>
                  <w:tcW w:w="4282" w:type="dxa"/>
                  <w:gridSpan w:val="3"/>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限制和禁止引进的项目和行业</w:t>
                  </w:r>
                </w:p>
              </w:tc>
              <w:tc>
                <w:tcPr>
                  <w:tcW w:w="322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trPr>
              <w:tc>
                <w:tcPr>
                  <w:tcW w:w="321" w:type="dxa"/>
                  <w:vMerge w:val="restart"/>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总体要求</w:t>
                  </w:r>
                </w:p>
              </w:tc>
              <w:tc>
                <w:tcPr>
                  <w:tcW w:w="586"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禁入行业</w:t>
                  </w:r>
                </w:p>
              </w:tc>
              <w:tc>
                <w:tcPr>
                  <w:tcW w:w="3375"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（1）《产业结构调整指导目录（2019年</w:t>
                  </w:r>
                  <w:r>
                    <w:rPr>
                      <w:rFonts w:hint="eastAsia"/>
                      <w:b w:val="0"/>
                      <w:color w:val="000000" w:themeColor="text1"/>
                      <w14:textFill>
                        <w14:solidFill>
                          <w14:schemeClr w14:val="tx1"/>
                        </w14:solidFill>
                      </w14:textFill>
                    </w:rPr>
                    <w:t>本</w:t>
                  </w:r>
                  <w:r>
                    <w:rPr>
                      <w:b w:val="0"/>
                      <w:color w:val="000000" w:themeColor="text1"/>
                      <w14:textFill>
                        <w14:solidFill>
                          <w14:schemeClr w14:val="tx1"/>
                        </w14:solidFill>
                      </w14:textFill>
                    </w:rPr>
                    <w:t>）》（或更新）中禁止、限制类的行业。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（2）《外商投资产业指导目录（2017年修订）》（或更新）中的禁止类。</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（3）严禁不符合要求的高风险高污染行业入驻。</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（4）禁止引入其他不在园区产业定位、不符合园区环保要求项目，如造纸制浆、印染、染料、制革、炼焦、炼硫、炼砷、炼油、有色金属等项目。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（5）污水成分复杂或废水、废液按现有技术无法妥善处置的产业。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（6）物耗、能耗相对较高，产生的大气污染类型复杂、环境风险较大的产业、项目或工艺；且产生的大气污染物无法自身治理或妥善处置或处理成本较高的产生。</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（7）不能严格按“三同时”要求建厂的企业，无法满足卫生防护距离、大气环境防护距离的企业。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（8）与《云南省牛栏江保护条例》存在冲突的项目。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（9）《长江经济带发展负面清单指南（试行，2022 年版）》和《云南省推动长江经济带发展负面清单指南实施细则（试行，2022 年版）》中的禁止项目。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（11）未来入驻企业禁止在园区内新建永久性工业固废处置场。</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（13）禁止入园企业开采地下水作为生产、生活用水。</w:t>
                  </w:r>
                </w:p>
              </w:tc>
              <w:tc>
                <w:tcPr>
                  <w:tcW w:w="3225"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（1）本项目属于</w:t>
                  </w:r>
                  <w:r>
                    <w:rPr>
                      <w:rFonts w:hint="eastAsia"/>
                      <w:b w:val="0"/>
                      <w:color w:val="000000" w:themeColor="text1"/>
                      <w14:textFill>
                        <w14:solidFill>
                          <w14:schemeClr w14:val="tx1"/>
                        </w14:solidFill>
                      </w14:textFill>
                    </w:rPr>
                    <w:t>其他煤炭加工项目</w:t>
                  </w:r>
                  <w:r>
                    <w:rPr>
                      <w:b w:val="0"/>
                      <w:color w:val="000000" w:themeColor="text1"/>
                      <w14:textFill>
                        <w14:solidFill>
                          <w14:schemeClr w14:val="tx1"/>
                        </w14:solidFill>
                      </w14:textFill>
                    </w:rPr>
                    <w:t>，根据《产业结构调整指导目录（20</w:t>
                  </w:r>
                  <w:r>
                    <w:rPr>
                      <w:rFonts w:hint="eastAsia"/>
                      <w:b w:val="0"/>
                      <w:color w:val="000000" w:themeColor="text1"/>
                      <w14:textFill>
                        <w14:solidFill>
                          <w14:schemeClr w14:val="tx1"/>
                        </w14:solidFill>
                      </w14:textFill>
                    </w:rPr>
                    <w:t>24</w:t>
                  </w:r>
                  <w:r>
                    <w:rPr>
                      <w:b w:val="0"/>
                      <w:color w:val="000000" w:themeColor="text1"/>
                      <w14:textFill>
                        <w14:solidFill>
                          <w14:schemeClr w14:val="tx1"/>
                        </w14:solidFill>
                      </w14:textFill>
                    </w:rPr>
                    <w:t>年本）》，项目</w:t>
                  </w:r>
                  <w:r>
                    <w:rPr>
                      <w:rFonts w:hint="eastAsia"/>
                      <w:b w:val="0"/>
                      <w:color w:val="000000" w:themeColor="text1"/>
                      <w14:textFill>
                        <w14:solidFill>
                          <w14:schemeClr w14:val="tx1"/>
                        </w14:solidFill>
                      </w14:textFill>
                    </w:rPr>
                    <w:t>属于鼓励类</w:t>
                  </w:r>
                  <w:r>
                    <w:rPr>
                      <w:b w:val="0"/>
                      <w:color w:val="000000" w:themeColor="text1"/>
                      <w14:textFill>
                        <w14:solidFill>
                          <w14:schemeClr w14:val="tx1"/>
                        </w14:solidFill>
                      </w14:textFill>
                    </w:rPr>
                    <w:t>；</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（2）不属于《外商投资产业指导目录（2017年修订）》中禁止类项目；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（3）本项目不属于高风险高污染类行业；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（4）项目不属于造纸制浆、印染、染料、制革、炼焦、炼硫、炼砷、炼油、有色金属等其他不在园区产业定位、不符合园区环保要求项目；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（5）</w:t>
                  </w:r>
                  <w:r>
                    <w:rPr>
                      <w:rFonts w:hint="eastAsia"/>
                      <w:b w:val="0"/>
                      <w:color w:val="000000" w:themeColor="text1"/>
                      <w14:textFill>
                        <w14:solidFill>
                          <w14:schemeClr w14:val="tx1"/>
                        </w14:solidFill>
                      </w14:textFill>
                    </w:rPr>
                    <w:t>生产过程中不产生废水</w:t>
                  </w:r>
                  <w:r>
                    <w:rPr>
                      <w:b w:val="0"/>
                      <w:color w:val="000000" w:themeColor="text1"/>
                      <w14:textFill>
                        <w14:solidFill>
                          <w14:schemeClr w14:val="tx1"/>
                        </w14:solidFill>
                      </w14:textFill>
                    </w:rPr>
                    <w:t>；</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（6）本项目物耗、能耗相对较低，产生的大气污染类型主要为颗粒物、</w:t>
                  </w:r>
                  <w:r>
                    <w:rPr>
                      <w:rFonts w:hint="eastAsia"/>
                      <w:b w:val="0"/>
                      <w:color w:val="000000" w:themeColor="text1"/>
                      <w14:textFill>
                        <w14:solidFill>
                          <w14:schemeClr w14:val="tx1"/>
                        </w14:solidFill>
                      </w14:textFill>
                    </w:rPr>
                    <w:t>异味</w:t>
                  </w:r>
                  <w:r>
                    <w:rPr>
                      <w:b w:val="0"/>
                      <w:color w:val="000000" w:themeColor="text1"/>
                      <w14:textFill>
                        <w14:solidFill>
                          <w14:schemeClr w14:val="tx1"/>
                        </w14:solidFill>
                      </w14:textFill>
                    </w:rPr>
                    <w:t>等，大气污染物经采取措施治理后达标排放，处理成本一般；环境风险</w:t>
                  </w:r>
                  <w:r>
                    <w:rPr>
                      <w:rFonts w:hint="eastAsia"/>
                      <w:b w:val="0"/>
                      <w:color w:val="000000" w:themeColor="text1"/>
                      <w14:textFill>
                        <w14:solidFill>
                          <w14:schemeClr w14:val="tx1"/>
                        </w14:solidFill>
                      </w14:textFill>
                    </w:rPr>
                    <w:t>等级为简单分析</w:t>
                  </w:r>
                  <w:r>
                    <w:rPr>
                      <w:b w:val="0"/>
                      <w:color w:val="000000" w:themeColor="text1"/>
                      <w14:textFill>
                        <w14:solidFill>
                          <w14:schemeClr w14:val="tx1"/>
                        </w14:solidFill>
                      </w14:textFill>
                    </w:rPr>
                    <w:t>；</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（7）本项目为</w:t>
                  </w:r>
                  <w:r>
                    <w:rPr>
                      <w:rFonts w:hint="eastAsia"/>
                      <w:b w:val="0"/>
                      <w:color w:val="000000" w:themeColor="text1"/>
                      <w14:textFill>
                        <w14:solidFill>
                          <w14:schemeClr w14:val="tx1"/>
                        </w14:solidFill>
                      </w14:textFill>
                    </w:rPr>
                    <w:t>新</w:t>
                  </w:r>
                  <w:r>
                    <w:rPr>
                      <w:b w:val="0"/>
                      <w:color w:val="000000" w:themeColor="text1"/>
                      <w14:textFill>
                        <w14:solidFill>
                          <w14:schemeClr w14:val="tx1"/>
                        </w14:solidFill>
                      </w14:textFill>
                    </w:rPr>
                    <w:t>建项目，能严格按“三同时”要求进行建设，本项目不设置卫生防护距离和大气环境防护距离；</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（8）项目与《云南省牛栏江保护条例》不冲突；</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（9）本项目不属于《长江经济带发展负面清单指南（试行，2022年版）》和《云南省推动长江经济带发展负面清单指南实施细则（试行，2022 年版）》中的禁止项目；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（11）本项目不涉及新建永久性工业固废处置场；</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（12）本项目不属于物耗、水耗和能耗相对较高的生产企业；</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（13）本项目用水为市政管网供给，不进行地下水的开采。</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487"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禁入工艺</w:t>
                  </w:r>
                </w:p>
              </w:tc>
              <w:tc>
                <w:tcPr>
                  <w:tcW w:w="3375" w:type="dxa"/>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（1）《产业结构调整指导目录（2019年本）》（或更新）中淘汰、落后的生产工艺。</w:t>
                  </w:r>
                </w:p>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（2）《部分工业行业淘汰落后生产工艺装备和产品指导目录（2022年本）》（或更新）的生产工艺。</w:t>
                  </w:r>
                </w:p>
              </w:tc>
              <w:tc>
                <w:tcPr>
                  <w:tcW w:w="322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（1）经查阅《产业结构调整指导目录（20</w:t>
                  </w:r>
                  <w:r>
                    <w:rPr>
                      <w:rFonts w:hint="eastAsia"/>
                      <w:color w:val="000000" w:themeColor="text1"/>
                      <w:szCs w:val="21"/>
                      <w14:textFill>
                        <w14:solidFill>
                          <w14:schemeClr w14:val="tx1"/>
                        </w14:solidFill>
                      </w14:textFill>
                    </w:rPr>
                    <w:t>24</w:t>
                  </w:r>
                  <w:r>
                    <w:rPr>
                      <w:color w:val="000000" w:themeColor="text1"/>
                      <w:szCs w:val="21"/>
                      <w14:textFill>
                        <w14:solidFill>
                          <w14:schemeClr w14:val="tx1"/>
                        </w14:solidFill>
                      </w14:textFill>
                    </w:rPr>
                    <w:t>年本）》，本项目所用工艺不属于该目录中淘汰、落后的生产工艺；（2）不属于《部分工业行业淘汰落后生产工艺装备和产品指导目录（2022年本）》的生产工艺。</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禁入产品</w:t>
                  </w:r>
                </w:p>
              </w:tc>
              <w:tc>
                <w:tcPr>
                  <w:tcW w:w="3375" w:type="dxa"/>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《部分工业行业淘汰落后生产工艺装备和产品指导目录（2022年本）》（或更新）的产品。</w:t>
                  </w:r>
                </w:p>
              </w:tc>
              <w:tc>
                <w:tcPr>
                  <w:tcW w:w="322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本项目产品不属于《部分工业行业淘汰落后生产工艺装备和产品指导目录（2022年本）》的产品。</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清洁生产水平</w:t>
                  </w:r>
                </w:p>
              </w:tc>
              <w:tc>
                <w:tcPr>
                  <w:tcW w:w="3375" w:type="dxa"/>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清洁生产水平低于国家清洁生产标准的国内先进水平。</w:t>
                  </w:r>
                </w:p>
              </w:tc>
              <w:tc>
                <w:tcPr>
                  <w:tcW w:w="322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本项目清洁生产水平不低于国家清洁生产标准的国内先进水平。</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340"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限制禁入</w:t>
                  </w:r>
                </w:p>
              </w:tc>
              <w:tc>
                <w:tcPr>
                  <w:tcW w:w="3375"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（1）严格限制引进《产业结构调整指导目录（2019 年本）》（或更新）中所列的限制类项目。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（2）《外商投资产业指导目录（2017 年修订）》（或更新）中所列的限制类项目。</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（3）严格限制引进涉及《中国严格限制进出口的有毒化学品目录（2020年本）》（或更新）中所列有毒化学品的项目。</w:t>
                  </w:r>
                </w:p>
              </w:tc>
              <w:tc>
                <w:tcPr>
                  <w:tcW w:w="322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（1）本项目不属于《产业结构调整指导目录（20</w:t>
                  </w:r>
                  <w:r>
                    <w:rPr>
                      <w:rFonts w:hint="eastAsia"/>
                      <w:b w:val="0"/>
                      <w:color w:val="000000" w:themeColor="text1"/>
                      <w14:textFill>
                        <w14:solidFill>
                          <w14:schemeClr w14:val="tx1"/>
                        </w14:solidFill>
                      </w14:textFill>
                    </w:rPr>
                    <w:t>24</w:t>
                  </w:r>
                  <w:r>
                    <w:rPr>
                      <w:b w:val="0"/>
                      <w:color w:val="000000" w:themeColor="text1"/>
                      <w14:textFill>
                        <w14:solidFill>
                          <w14:schemeClr w14:val="tx1"/>
                        </w14:solidFill>
                      </w14:textFill>
                    </w:rPr>
                    <w:t>年本）》中所列的限制类项目；（2）本项目不属于《外商投资产业指导目录（2017年修订）》中所列的限制类项目；（3）本项目不涉及《中国严格限制进出口的有毒化学品目录（2020年本）》中所列有毒化学品。</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restart"/>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规划产业要求</w:t>
                  </w: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现状产业区</w:t>
                  </w:r>
                </w:p>
              </w:tc>
              <w:tc>
                <w:tcPr>
                  <w:tcW w:w="3375" w:type="dxa"/>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允许现有煤磷盐化工及配套产业进行环保提升改造。</w:t>
                  </w:r>
                </w:p>
              </w:tc>
              <w:tc>
                <w:tcPr>
                  <w:tcW w:w="322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新</w:t>
                  </w:r>
                  <w:r>
                    <w:rPr>
                      <w:color w:val="000000" w:themeColor="text1"/>
                      <w:szCs w:val="21"/>
                      <w14:textFill>
                        <w14:solidFill>
                          <w14:schemeClr w14:val="tx1"/>
                        </w14:solidFill>
                      </w14:textFill>
                    </w:rPr>
                    <w:t>建项目，不涉及该条内容。</w:t>
                  </w:r>
                </w:p>
              </w:tc>
              <w:tc>
                <w:tcPr>
                  <w:tcW w:w="5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绿色建材产业</w:t>
                  </w:r>
                </w:p>
              </w:tc>
              <w:tc>
                <w:tcPr>
                  <w:tcW w:w="3375" w:type="dxa"/>
                  <w:vMerge w:val="restart"/>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禁止生产废水不能循环回用，且向牛栏江流域排放生产废水的企业入驻。</w:t>
                  </w:r>
                </w:p>
              </w:tc>
              <w:tc>
                <w:tcPr>
                  <w:tcW w:w="3225" w:type="dxa"/>
                  <w:vMerge w:val="restart"/>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本项目生产过程中不产生废水。</w:t>
                  </w:r>
                </w:p>
              </w:tc>
              <w:tc>
                <w:tcPr>
                  <w:tcW w:w="510"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先进装备制造产业</w:t>
                  </w:r>
                </w:p>
              </w:tc>
              <w:tc>
                <w:tcPr>
                  <w:tcW w:w="3375" w:type="dxa"/>
                  <w:vMerge w:val="continue"/>
                  <w:vAlign w:val="center"/>
                </w:tcPr>
                <w:p>
                  <w:pPr>
                    <w:adjustRightInd w:val="0"/>
                    <w:snapToGrid w:val="0"/>
                    <w:jc w:val="left"/>
                    <w:rPr>
                      <w:color w:val="000000" w:themeColor="text1"/>
                      <w:szCs w:val="21"/>
                      <w14:textFill>
                        <w14:solidFill>
                          <w14:schemeClr w14:val="tx1"/>
                        </w14:solidFill>
                      </w14:textFill>
                    </w:rPr>
                  </w:pPr>
                </w:p>
              </w:tc>
              <w:tc>
                <w:tcPr>
                  <w:tcW w:w="322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10"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非烟轻工产业</w:t>
                  </w:r>
                </w:p>
              </w:tc>
              <w:tc>
                <w:tcPr>
                  <w:tcW w:w="3375"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①木材加工及家具制造业：禁止含有制胶工艺的企业入驻。</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②食品业：要求规上企业工业用水重复利用率＞65%。</w:t>
                  </w:r>
                </w:p>
              </w:tc>
              <w:tc>
                <w:tcPr>
                  <w:tcW w:w="3225" w:type="dxa"/>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①本项目不属于含有制胶工艺的木材加工及家具制造。</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②本项目不属于食品业。</w:t>
                  </w:r>
                </w:p>
              </w:tc>
              <w:tc>
                <w:tcPr>
                  <w:tcW w:w="510" w:type="dxa"/>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绿色化工</w:t>
                  </w:r>
                </w:p>
              </w:tc>
              <w:tc>
                <w:tcPr>
                  <w:tcW w:w="337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①园区规划在金所片区天生桥组团设置化工园区，建议园区尽快按化工园区的设立要求设立化工园区，并申请省级业务主管部门进行认定。</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②金所片区金所组团禁止新建、改建、扩建化工生产线项目。</w:t>
                  </w:r>
                </w:p>
              </w:tc>
              <w:tc>
                <w:tcPr>
                  <w:tcW w:w="322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本项目位于云南寻甸产业园区金所片区金所组团内，不属于化工生产线项目。</w:t>
                  </w:r>
                </w:p>
              </w:tc>
              <w:tc>
                <w:tcPr>
                  <w:tcW w:w="51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113" w:hRule="atLeast"/>
              </w:trPr>
              <w:tc>
                <w:tcPr>
                  <w:tcW w:w="32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8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生物医药</w:t>
                  </w:r>
                </w:p>
              </w:tc>
              <w:tc>
                <w:tcPr>
                  <w:tcW w:w="337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满足《云南省“十四五”生物医药产业创新发展规划要求》。</w:t>
                  </w:r>
                </w:p>
              </w:tc>
              <w:tc>
                <w:tcPr>
                  <w:tcW w:w="322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本项目不属于生物医疗项目，不涉及该条内容。</w:t>
                  </w:r>
                </w:p>
              </w:tc>
              <w:tc>
                <w:tcPr>
                  <w:tcW w:w="51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pPr>
              <w:spacing w:line="360" w:lineRule="auto"/>
              <w:ind w:firstLine="480" w:firstLineChars="200"/>
              <w:jc w:val="left"/>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根据上表分析，本项目不属于园区环境准入负面清单规定的范围内，符合环境准入负面清单要求</w:t>
            </w:r>
            <w:r>
              <w:rPr>
                <w:rFonts w:hint="eastAsia"/>
                <w:color w:val="000000" w:themeColor="text1"/>
                <w:sz w:val="24"/>
                <w14:textFill>
                  <w14:solidFill>
                    <w14:schemeClr w14:val="tx1"/>
                  </w14:solidFill>
                </w14:textFill>
              </w:rPr>
              <w:t>。</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（3）本项目与规划环评审查意见（昆环审[2023]5号）的符合性分析</w:t>
            </w:r>
          </w:p>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项目与规划环评审查意见</w:t>
            </w:r>
            <w:r>
              <w:rPr>
                <w:color w:val="000000" w:themeColor="text1"/>
                <w:sz w:val="24"/>
                <w:lang w:val="zh-CN"/>
                <w14:textFill>
                  <w14:solidFill>
                    <w14:schemeClr w14:val="tx1"/>
                  </w14:solidFill>
                </w14:textFill>
              </w:rPr>
              <w:t>对照情况如下：</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表1-4  与审查意见相符性分析</w:t>
            </w:r>
          </w:p>
          <w:tbl>
            <w:tblPr>
              <w:tblStyle w:val="23"/>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3141"/>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8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审查意见提出要求</w:t>
                  </w:r>
                </w:p>
              </w:tc>
              <w:tc>
                <w:tcPr>
                  <w:tcW w:w="314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9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86"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将土壤污染防治工作纳入园区规划及相关生态环境保护规划，采取有效预防措施，防止、减少土壤污染，确保满足土壤环境管控要求。</w:t>
                  </w:r>
                </w:p>
              </w:tc>
              <w:tc>
                <w:tcPr>
                  <w:tcW w:w="3141" w:type="dxa"/>
                  <w:vAlign w:val="center"/>
                </w:tcPr>
                <w:p>
                  <w:pPr>
                    <w:pStyle w:val="71"/>
                    <w:jc w:val="both"/>
                    <w:rPr>
                      <w:b w:val="0"/>
                      <w:bCs/>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生产过程中不产生废水</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员工不在项目区食宿，办公生活和如厕依托云南建工云岭水泥有限公司已建的设施，生活污水依托已建的污水处理设施进行处理。</w:t>
                  </w: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b w:val="0"/>
                      <w:bCs/>
                      <w:color w:val="000000" w:themeColor="text1"/>
                      <w14:textFill>
                        <w14:solidFill>
                          <w14:schemeClr w14:val="tx1"/>
                        </w14:solidFill>
                      </w14:textFill>
                    </w:rPr>
                    <w:t>项目采取的污染治理措施可有效减少主要污染物等特征污染物的排放总量，能够确保区域环境质量得到改善。</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本项目的建设符合国家和云南省有关地下水、土壤污染防治措施及相关要求。本项目使用自来水，不抽取地下水；严格执行土壤及生态保护措施。</w:t>
                  </w:r>
                </w:p>
              </w:tc>
              <w:tc>
                <w:tcPr>
                  <w:tcW w:w="69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4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产生的废机油暂存于危废暂存库，危废暂存库按照环境风险相关要求进行防范建设。项目</w:t>
                  </w:r>
                  <w:r>
                    <w:rPr>
                      <w:color w:val="000000" w:themeColor="text1"/>
                      <w:szCs w:val="21"/>
                      <w14:textFill>
                        <w14:solidFill>
                          <w14:schemeClr w14:val="tx1"/>
                        </w14:solidFill>
                      </w14:textFill>
                    </w:rPr>
                    <w:t>不属于煤、磷盐化工企业，在采取相应的措施后，环境风险能达可接受水平。</w:t>
                  </w:r>
                </w:p>
              </w:tc>
              <w:tc>
                <w:tcPr>
                  <w:tcW w:w="69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3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4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69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pPr>
              <w:autoSpaceDE w:val="0"/>
              <w:autoSpaceDN w:val="0"/>
              <w:adjustRightInd w:val="0"/>
              <w:snapToGrid w:val="0"/>
              <w:spacing w:line="360" w:lineRule="auto"/>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综上所述，项目建设与《云南寻甸产业园区总体规划修编（2021-2035）环境影响报告书》及审查意见的函（昆环审[2023]5号）</w:t>
            </w:r>
            <w:r>
              <w:rPr>
                <w:rFonts w:hint="eastAsia"/>
                <w:color w:val="000000" w:themeColor="text1"/>
                <w:sz w:val="24"/>
                <w14:textFill>
                  <w14:solidFill>
                    <w14:schemeClr w14:val="tx1"/>
                  </w14:solidFill>
                </w14:textFill>
              </w:rPr>
              <w:t>不冲突</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892" w:type="dxa"/>
            <w:vAlign w:val="center"/>
          </w:tcPr>
          <w:p>
            <w:pPr>
              <w:autoSpaceDE w:val="0"/>
              <w:autoSpaceDN w:val="0"/>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371" w:type="dxa"/>
            <w:gridSpan w:val="4"/>
            <w:vAlign w:val="center"/>
          </w:tcPr>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1、产业政策符合性分析</w:t>
            </w:r>
          </w:p>
          <w:p>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本项目为</w:t>
            </w:r>
            <w:r>
              <w:rPr>
                <w:rFonts w:hint="eastAsia"/>
                <w:color w:val="000000" w:themeColor="text1"/>
                <w:sz w:val="24"/>
                <w14:textFill>
                  <w14:solidFill>
                    <w14:schemeClr w14:val="tx1"/>
                  </w14:solidFill>
                </w14:textFill>
              </w:rPr>
              <w:t>有机肥料及微生物肥料</w:t>
            </w:r>
            <w:r>
              <w:rPr>
                <w:bCs/>
                <w:color w:val="000000" w:themeColor="text1"/>
                <w:sz w:val="24"/>
                <w14:textFill>
                  <w14:solidFill>
                    <w14:schemeClr w14:val="tx1"/>
                  </w14:solidFill>
                </w14:textFill>
              </w:rPr>
              <w:t>生产，根据《产业结构调整指导目录（2024年版）》，本项目属于“鼓励类”中“四十二、环境保护与资源节约综合利用—8.废弃物循环利用”。</w:t>
            </w:r>
          </w:p>
          <w:p>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此外，本项目于</w:t>
            </w:r>
            <w:r>
              <w:rPr>
                <w:rFonts w:hint="eastAsia"/>
                <w:bCs/>
                <w:color w:val="000000" w:themeColor="text1"/>
                <w:sz w:val="24"/>
                <w14:textFill>
                  <w14:solidFill>
                    <w14:schemeClr w14:val="tx1"/>
                  </w14:solidFill>
                </w14:textFill>
              </w:rPr>
              <w:t>2025年10月24日</w:t>
            </w:r>
            <w:r>
              <w:rPr>
                <w:bCs/>
                <w:color w:val="000000" w:themeColor="text1"/>
                <w:sz w:val="24"/>
                <w14:textFill>
                  <w14:solidFill>
                    <w14:schemeClr w14:val="tx1"/>
                  </w14:solidFill>
                </w14:textFill>
              </w:rPr>
              <w:t>取得</w:t>
            </w:r>
            <w:r>
              <w:rPr>
                <w:color w:val="000000" w:themeColor="text1"/>
                <w:sz w:val="24"/>
                <w14:textFill>
                  <w14:solidFill>
                    <w14:schemeClr w14:val="tx1"/>
                  </w14:solidFill>
                </w14:textFill>
              </w:rPr>
              <w:t>寻甸县发展和改革局</w:t>
            </w:r>
            <w:r>
              <w:rPr>
                <w:bCs/>
                <w:color w:val="000000" w:themeColor="text1"/>
                <w:sz w:val="24"/>
                <w14:textFill>
                  <w14:solidFill>
                    <w14:schemeClr w14:val="tx1"/>
                  </w14:solidFill>
                </w14:textFill>
              </w:rPr>
              <w:t>审批通过的《云南省固定资产投资项目备案证》，项目代码：</w:t>
            </w:r>
            <w:r>
              <w:rPr>
                <w:rFonts w:hint="eastAsia"/>
                <w:color w:val="000000" w:themeColor="text1"/>
                <w:sz w:val="24"/>
                <w14:textFill>
                  <w14:solidFill>
                    <w14:schemeClr w14:val="tx1"/>
                  </w14:solidFill>
                </w14:textFill>
              </w:rPr>
              <w:t>2510-530129-04-01-685356</w:t>
            </w:r>
            <w:r>
              <w:rPr>
                <w:bCs/>
                <w:color w:val="000000" w:themeColor="text1"/>
                <w:sz w:val="24"/>
                <w14:textFill>
                  <w14:solidFill>
                    <w14:schemeClr w14:val="tx1"/>
                  </w14:solidFill>
                </w14:textFill>
              </w:rPr>
              <w:t>，同意项目建设。</w:t>
            </w:r>
          </w:p>
          <w:p>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综上所述，本项目建设符合国家及当地现行的产业政策的要求。</w:t>
            </w:r>
          </w:p>
          <w:p>
            <w:pPr>
              <w:spacing w:line="360" w:lineRule="auto"/>
              <w:ind w:firstLine="482" w:firstLineChars="200"/>
              <w:rPr>
                <w:b/>
                <w:color w:val="000000" w:themeColor="text1"/>
                <w:sz w:val="24"/>
                <w14:textFill>
                  <w14:solidFill>
                    <w14:schemeClr w14:val="tx1"/>
                  </w14:solidFill>
                </w14:textFill>
              </w:rPr>
            </w:pPr>
            <w:bookmarkStart w:id="5" w:name="_Toc14631_WPSOffice_Level2"/>
            <w:bookmarkStart w:id="6" w:name="_Toc11005"/>
            <w:bookmarkStart w:id="7" w:name="_Toc1839"/>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项目与《昆明市生态环境分区管控动态更新方案（2023年）》的相符性分析</w:t>
            </w:r>
          </w:p>
          <w:p>
            <w:pPr>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2024年11月12日，昆明市生态环境局发布了《昆明市生态环境分区管控动态更新方案（2023年）》的通知，本项目位于云南寻甸产业园区重点管控单元，与《昆明市生态环境分区管控动态更新方案（2023年）》的相符性分析内容详见下表：</w:t>
            </w:r>
          </w:p>
          <w:p>
            <w:pPr>
              <w:pStyle w:val="55"/>
              <w:rPr>
                <w:color w:val="000000" w:themeColor="text1"/>
                <w14:textFill>
                  <w14:solidFill>
                    <w14:schemeClr w14:val="tx1"/>
                  </w14:solidFill>
                </w14:textFill>
              </w:rPr>
            </w:pPr>
            <w:bookmarkStart w:id="8" w:name="_Toc2480"/>
            <w:r>
              <w:rPr>
                <w:color w:val="000000" w:themeColor="text1"/>
                <w14:textFill>
                  <w14:solidFill>
                    <w14:schemeClr w14:val="tx1"/>
                  </w14:solidFill>
                </w14:textFill>
              </w:rPr>
              <w:t>表1-5  项目与昆明市“三线一单”文件相符性分析</w:t>
            </w:r>
            <w:bookmarkEnd w:id="8"/>
          </w:p>
          <w:tbl>
            <w:tblPr>
              <w:tblStyle w:val="23"/>
              <w:tblW w:w="8133"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
            <w:tblGrid>
              <w:gridCol w:w="407"/>
              <w:gridCol w:w="711"/>
              <w:gridCol w:w="434"/>
              <w:gridCol w:w="3094"/>
              <w:gridCol w:w="2765"/>
              <w:gridCol w:w="72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trHeight w:val="428" w:hRule="atLeast"/>
                <w:jc w:val="center"/>
              </w:trPr>
              <w:tc>
                <w:tcPr>
                  <w:tcW w:w="111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类别</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文件要求</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相符性分析</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111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生态保护红线和一般生态空间更新结果</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更新后，生态保护红线全面与《昆明市国土空间总体规划（2021-2035年）》衔接，全市生态保护红线面积4274.70km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，占全市国土面积的20.34%，较原有面积占比减少1.85%。全市一般生态空间面积5151.56km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，占国土空间面积的24.37%，较原有面积占比增加2.45%。</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经</w:t>
                  </w:r>
                  <w:r>
                    <w:rPr>
                      <w:b w:val="0"/>
                      <w:color w:val="000000" w:themeColor="text1"/>
                      <w:lang w:val="zh-CN"/>
                      <w14:textFill>
                        <w14:solidFill>
                          <w14:schemeClr w14:val="tx1"/>
                        </w14:solidFill>
                      </w14:textFill>
                    </w:rPr>
                    <w:t>查阅《云南寻甸产业园区总体规划修编（2021-2035）环境影响报告书》可知</w:t>
                  </w:r>
                  <w:r>
                    <w:rPr>
                      <w:rFonts w:hint="eastAsia"/>
                      <w:b w:val="0"/>
                      <w:color w:val="000000" w:themeColor="text1"/>
                      <w:lang w:val="zh-CN"/>
                      <w14:textFill>
                        <w14:solidFill>
                          <w14:schemeClr w14:val="tx1"/>
                        </w14:solidFill>
                      </w14:textFill>
                    </w:rPr>
                    <w:t>（</w:t>
                  </w:r>
                  <w:r>
                    <w:rPr>
                      <w:rFonts w:hint="eastAsia"/>
                      <w:b w:val="0"/>
                      <w:color w:val="000000" w:themeColor="text1"/>
                      <w14:textFill>
                        <w14:solidFill>
                          <w14:schemeClr w14:val="tx1"/>
                        </w14:solidFill>
                      </w14:textFill>
                    </w:rPr>
                    <w:t>见附图5</w:t>
                  </w:r>
                  <w:r>
                    <w:rPr>
                      <w:rFonts w:hint="eastAsia"/>
                      <w:b w:val="0"/>
                      <w:color w:val="000000" w:themeColor="text1"/>
                      <w:lang w:val="zh-CN"/>
                      <w14:textFill>
                        <w14:solidFill>
                          <w14:schemeClr w14:val="tx1"/>
                        </w14:solidFill>
                      </w14:textFill>
                    </w:rPr>
                    <w:t>）</w:t>
                  </w:r>
                  <w:r>
                    <w:rPr>
                      <w:b w:val="0"/>
                      <w:color w:val="000000" w:themeColor="text1"/>
                      <w:lang w:val="zh-CN"/>
                      <w14:textFill>
                        <w14:solidFill>
                          <w14:schemeClr w14:val="tx1"/>
                        </w14:solidFill>
                      </w14:textFill>
                    </w:rPr>
                    <w:t>，项目位于</w:t>
                  </w:r>
                  <w:r>
                    <w:rPr>
                      <w:b w:val="0"/>
                      <w:color w:val="000000" w:themeColor="text1"/>
                      <w14:textFill>
                        <w14:solidFill>
                          <w14:schemeClr w14:val="tx1"/>
                        </w14:solidFill>
                      </w14:textFill>
                    </w:rPr>
                    <w:t>云南寻甸产业园区金所片区金所组团内</w:t>
                  </w:r>
                  <w:r>
                    <w:rPr>
                      <w:b w:val="0"/>
                      <w:color w:val="000000" w:themeColor="text1"/>
                      <w:lang w:val="zh-CN"/>
                      <w14:textFill>
                        <w14:solidFill>
                          <w14:schemeClr w14:val="tx1"/>
                        </w14:solidFill>
                      </w14:textFill>
                    </w:rPr>
                    <w:t>，属规划的工业用地，不在生态红线范围内，项目符合生态保护红线的相关要求。</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环境质量底线</w:t>
                  </w: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水</w:t>
                  </w:r>
                  <w:r>
                    <w:rPr>
                      <w:b w:val="0"/>
                      <w:color w:val="000000" w:themeColor="text1"/>
                      <w14:textFill>
                        <w14:solidFill>
                          <w14:schemeClr w14:val="tx1"/>
                        </w14:solidFill>
                      </w14:textFill>
                    </w:rPr>
                    <w:t>环境质量</w:t>
                  </w:r>
                  <w:r>
                    <w:rPr>
                      <w:rFonts w:hint="eastAsia"/>
                      <w:b w:val="0"/>
                      <w:color w:val="000000" w:themeColor="text1"/>
                      <w14:textFill>
                        <w14:solidFill>
                          <w14:schemeClr w14:val="tx1"/>
                        </w14:solidFill>
                      </w14:textFill>
                    </w:rPr>
                    <w:t>底线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到2025年，昆明市地表水国控断面达到或好于Ⅲ类水体比例应达到81.5%，45个省控断面达到或好于Ⅲ类水体比例应达到80%，劣V类水体全面消除，县级及以上集中式饮用水水源地水质达标率100%。</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本项目距离最近的地表水体为</w:t>
                  </w:r>
                  <w:r>
                    <w:rPr>
                      <w:rFonts w:hint="eastAsia"/>
                      <w:b w:val="0"/>
                      <w:color w:val="000000" w:themeColor="text1"/>
                      <w14:textFill>
                        <w14:solidFill>
                          <w14:schemeClr w14:val="tx1"/>
                        </w14:solidFill>
                      </w14:textFill>
                    </w:rPr>
                    <w:t>北侧1200m处的谓所河</w:t>
                  </w:r>
                  <w:r>
                    <w:rPr>
                      <w:b w:val="0"/>
                      <w:color w:val="000000" w:themeColor="text1"/>
                      <w14:textFill>
                        <w14:solidFill>
                          <w14:schemeClr w14:val="tx1"/>
                        </w14:solidFill>
                      </w14:textFill>
                    </w:rPr>
                    <w:t>，属牛栏江</w:t>
                  </w:r>
                  <w:r>
                    <w:rPr>
                      <w:rFonts w:hint="eastAsia"/>
                      <w:b w:val="0"/>
                      <w:color w:val="000000" w:themeColor="text1"/>
                      <w14:textFill>
                        <w14:solidFill>
                          <w14:schemeClr w14:val="tx1"/>
                        </w14:solidFill>
                      </w14:textFill>
                    </w:rPr>
                    <w:t>流域</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根据“寻甸县2024年第一季度至第四季度环境质量公报”显示：前进河哦嘎电站断面水质达到《地表水环境质量标准》（GB3838-2002）Ⅲ类水质量标准，能够满足水质目标要求。本项目产生的废水不外排，不会突破区域水环境质量底线。</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大气环境质量底线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到2025年，空气质量优良天数比率达99.1%，细颗粒物（PM</w:t>
                  </w:r>
                  <w:r>
                    <w:rPr>
                      <w:b w:val="0"/>
                      <w:color w:val="000000" w:themeColor="text1"/>
                      <w:vertAlign w:val="subscript"/>
                      <w14:textFill>
                        <w14:solidFill>
                          <w14:schemeClr w14:val="tx1"/>
                        </w14:solidFill>
                      </w14:textFill>
                    </w:rPr>
                    <w:t>2.5</w:t>
                  </w:r>
                  <w:r>
                    <w:rPr>
                      <w:b w:val="0"/>
                      <w:color w:val="000000" w:themeColor="text1"/>
                      <w14:textFill>
                        <w14:solidFill>
                          <w14:schemeClr w14:val="tx1"/>
                        </w14:solidFill>
                      </w14:textFill>
                    </w:rPr>
                    <w:t>）浓度不高于24微克/立方米，重污染天数为0。</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根据《2024年昆明市生态环境状况公报》，2024年昆明市主城区外所辖的8个县(市)、区环境空气质量总体保持良好，各项污染物平均浓度均达到《环境空气质量标准》(GB3095-2012)二级标准，项目所在区域属于环境空气质量达标区。</w:t>
                  </w:r>
                  <w:r>
                    <w:rPr>
                      <w:rFonts w:hint="eastAsia"/>
                      <w:b w:val="0"/>
                      <w:color w:val="000000" w:themeColor="text1"/>
                      <w14:textFill>
                        <w14:solidFill>
                          <w14:schemeClr w14:val="tx1"/>
                        </w14:solidFill>
                      </w14:textFill>
                    </w:rPr>
                    <w:t>本项目生产过程中通过严格控制原料的含水率减少粉尘的产生，并设置雾炮机，所有生产工序均位于密闭的车间内，少量粉尘经雾炮机洒水降尘和车间阻隔后无组织排放；发酵过程中产生的异味通过喷洒生物除臭剂进行控制，采取措施后，本项目排放的废气对大气环境质量影响较小，不会突破当地环境质量底线。</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土壤环境风险防控底线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全市土壤环境质量总体保持稳定，局部稳中向好，受污染耕地安全利用率不低于90%，重点建设用地安全利用得到有效保障。</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项目占地范围不涉及耕地、基本农田。项目区采取分区防渗，</w:t>
                  </w:r>
                  <w:r>
                    <w:rPr>
                      <w:rFonts w:hint="eastAsia"/>
                      <w:b w:val="0"/>
                      <w:color w:val="000000" w:themeColor="text1"/>
                      <w14:textFill>
                        <w14:solidFill>
                          <w14:schemeClr w14:val="tx1"/>
                        </w14:solidFill>
                      </w14:textFill>
                    </w:rPr>
                    <w:t>危废暂存库</w:t>
                  </w:r>
                  <w:r>
                    <w:rPr>
                      <w:b w:val="0"/>
                      <w:color w:val="000000" w:themeColor="text1"/>
                      <w14:textFill>
                        <w14:solidFill>
                          <w14:schemeClr w14:val="tx1"/>
                        </w14:solidFill>
                      </w14:textFill>
                    </w:rPr>
                    <w:t>设置为重点防渗区，</w:t>
                  </w:r>
                  <w:r>
                    <w:rPr>
                      <w:rFonts w:hint="eastAsia"/>
                      <w:b w:val="0"/>
                      <w:color w:val="000000" w:themeColor="text1"/>
                      <w14:textFill>
                        <w14:solidFill>
                          <w14:schemeClr w14:val="tx1"/>
                        </w14:solidFill>
                      </w14:textFill>
                    </w:rPr>
                    <w:t>原料库、一般固废暂存库</w:t>
                  </w:r>
                  <w:r>
                    <w:rPr>
                      <w:b w:val="0"/>
                      <w:color w:val="000000" w:themeColor="text1"/>
                      <w14:textFill>
                        <w14:solidFill>
                          <w14:schemeClr w14:val="tx1"/>
                        </w14:solidFill>
                      </w14:textFill>
                    </w:rPr>
                    <w:t>设置为一般防渗，</w:t>
                  </w:r>
                  <w:r>
                    <w:rPr>
                      <w:rFonts w:hint="eastAsia"/>
                      <w:b w:val="0"/>
                      <w:color w:val="000000" w:themeColor="text1"/>
                      <w14:textFill>
                        <w14:solidFill>
                          <w14:schemeClr w14:val="tx1"/>
                        </w14:solidFill>
                      </w14:textFill>
                    </w:rPr>
                    <w:t>其他生产</w:t>
                  </w:r>
                  <w:r>
                    <w:rPr>
                      <w:b w:val="0"/>
                      <w:color w:val="000000" w:themeColor="text1"/>
                      <w14:textFill>
                        <w14:solidFill>
                          <w14:schemeClr w14:val="tx1"/>
                        </w14:solidFill>
                      </w14:textFill>
                    </w:rPr>
                    <w:t>区域设置为简单防渗区。综上，项目建设对土壤环境质量影响较小，不会突破项目所在地的土壤环境风险防控底线。</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trHeight w:val="77" w:hRule="atLeast"/>
                <w:jc w:val="center"/>
              </w:trPr>
              <w:tc>
                <w:tcPr>
                  <w:tcW w:w="407"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资源利用上线</w:t>
                  </w: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水资源利用上线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到2025年，按照国家、省、市有关要求和规划，按时完成全市用水总量、用水效率、限制纳污“三条红线”水资源上限控制指标；</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本项目不产生生产废水，生活污水不外排。</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trHeight w:val="77" w:hRule="atLeast"/>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能源利用上线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按时完成单位GDP能耗下降率、能源消费总量等能源控制指标。</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项目生产过程中</w:t>
                  </w:r>
                  <w:r>
                    <w:rPr>
                      <w:rFonts w:hint="eastAsia"/>
                      <w:b w:val="0"/>
                      <w:color w:val="000000" w:themeColor="text1"/>
                      <w14:textFill>
                        <w14:solidFill>
                          <w14:schemeClr w14:val="tx1"/>
                        </w14:solidFill>
                      </w14:textFill>
                    </w:rPr>
                    <w:t>主要</w:t>
                  </w:r>
                  <w:r>
                    <w:rPr>
                      <w:b w:val="0"/>
                      <w:color w:val="000000" w:themeColor="text1"/>
                      <w14:textFill>
                        <w14:solidFill>
                          <w14:schemeClr w14:val="tx1"/>
                        </w14:solidFill>
                      </w14:textFill>
                    </w:rPr>
                    <w:t>使用电能，</w:t>
                  </w:r>
                  <w:r>
                    <w:rPr>
                      <w:rFonts w:hint="eastAsia"/>
                      <w:b w:val="0"/>
                      <w:color w:val="000000" w:themeColor="text1"/>
                      <w14:textFill>
                        <w14:solidFill>
                          <w14:schemeClr w14:val="tx1"/>
                        </w14:solidFill>
                      </w14:textFill>
                    </w:rPr>
                    <w:t>运输车辆使用燃油</w:t>
                  </w:r>
                  <w:r>
                    <w:rPr>
                      <w:b w:val="0"/>
                      <w:color w:val="000000" w:themeColor="text1"/>
                      <w14:textFill>
                        <w14:solidFill>
                          <w14:schemeClr w14:val="tx1"/>
                        </w14:solidFill>
                      </w14:textFill>
                    </w:rPr>
                    <w:t>。</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trHeight w:val="77" w:hRule="atLeast"/>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土地资源利用上线</w:t>
                  </w:r>
                </w:p>
              </w:tc>
              <w:tc>
                <w:tcPr>
                  <w:tcW w:w="3528"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按时完成耕地保有量、基本农田保护面积、建设用地总规模等土地资源利用上限控制指标；</w:t>
                  </w:r>
                </w:p>
              </w:tc>
              <w:tc>
                <w:tcPr>
                  <w:tcW w:w="2765"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项目不占用耕地及基本农田，用地类型为工业工地，不会突破当地土地资源利用上线。</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生态环境准入清单</w:t>
                  </w:r>
                </w:p>
              </w:tc>
              <w:tc>
                <w:tcPr>
                  <w:tcW w:w="711"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重点管控单元（云南寻甸产业园区重点管控单元）</w:t>
                  </w:r>
                </w:p>
              </w:tc>
              <w:tc>
                <w:tcPr>
                  <w:tcW w:w="434"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空间布局</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约束</w:t>
                  </w:r>
                </w:p>
              </w:tc>
              <w:tc>
                <w:tcPr>
                  <w:tcW w:w="3094"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1.入驻项目须符合国家及云南省相关产业政策、符合园区规划产业布局。</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2.严禁不符合要求的高风险高污染行业入驻。</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3.金所片区：禁止引入需水量大，生产废水不能实现循环回用不外排的企业。</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4.金所片区金所组团禁止新建、改建、扩建化工生产线项目。</w:t>
                  </w:r>
                </w:p>
              </w:tc>
              <w:tc>
                <w:tcPr>
                  <w:tcW w:w="2765"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1.本项目位于云南寻甸产业园区金所片区金所组团内，属于</w:t>
                  </w:r>
                  <w:r>
                    <w:rPr>
                      <w:rFonts w:hint="eastAsia"/>
                      <w:b w:val="0"/>
                      <w:color w:val="000000" w:themeColor="text1"/>
                      <w14:textFill>
                        <w14:solidFill>
                          <w14:schemeClr w14:val="tx1"/>
                        </w14:solidFill>
                      </w14:textFill>
                    </w:rPr>
                    <w:t>有机肥生产</w:t>
                  </w:r>
                  <w:r>
                    <w:rPr>
                      <w:b w:val="0"/>
                      <w:color w:val="000000" w:themeColor="text1"/>
                      <w14:textFill>
                        <w14:solidFill>
                          <w14:schemeClr w14:val="tx1"/>
                        </w14:solidFill>
                      </w14:textFill>
                    </w:rPr>
                    <w:t>，与金所片区发展规划不冲突。</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2.本项目不属于造纸、印染类高风险高污染企业</w:t>
                  </w:r>
                  <w:r>
                    <w:rPr>
                      <w:rFonts w:hint="eastAsia"/>
                      <w:b w:val="0"/>
                      <w:color w:val="000000" w:themeColor="text1"/>
                      <w14:textFill>
                        <w14:solidFill>
                          <w14:schemeClr w14:val="tx1"/>
                        </w14:solidFill>
                      </w14:textFill>
                    </w:rPr>
                    <w:t>。</w:t>
                  </w:r>
                </w:p>
                <w:p>
                  <w:pPr>
                    <w:pStyle w:val="71"/>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w:t>
                  </w:r>
                  <w:r>
                    <w:rPr>
                      <w:b w:val="0"/>
                      <w:color w:val="000000" w:themeColor="text1"/>
                      <w14:textFill>
                        <w14:solidFill>
                          <w14:schemeClr w14:val="tx1"/>
                        </w14:solidFill>
                      </w14:textFill>
                    </w:rPr>
                    <w:t>项目</w:t>
                  </w:r>
                  <w:r>
                    <w:rPr>
                      <w:rFonts w:hint="eastAsia"/>
                      <w:b w:val="0"/>
                      <w:color w:val="000000" w:themeColor="text1"/>
                      <w14:textFill>
                        <w14:solidFill>
                          <w14:schemeClr w14:val="tx1"/>
                        </w14:solidFill>
                      </w14:textFill>
                    </w:rPr>
                    <w:t>不产生生产废水。</w:t>
                  </w:r>
                </w:p>
                <w:p>
                  <w:pPr>
                    <w:pStyle w:val="71"/>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4.本项目不属于化工生产线项目。</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434"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污染物</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排放管控</w:t>
                  </w:r>
                </w:p>
              </w:tc>
              <w:tc>
                <w:tcPr>
                  <w:tcW w:w="3094"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1.主要指标二氧化硫、氮氧化物、挥发性有机废气达到《环境空气质量标准》（GB3095—2012）二级标准。</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2.现状已发展成熟的煤磷盐化工企业及目前做到零排放的企业按现状方式排水；金所片区：未来入住企业生产废水由企业自行处理达标后循环回用不外排。</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3.入驻企业生活废水须自行预处理达到相关行业标准及《污水排入城镇下水道水质标准》（GB/T1962—2015）（A）等级后方可排入园区污水处理厂。</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4.生活垃圾无害化处理率达90%以上，工业固废处置利用率不小于95%。</w:t>
                  </w:r>
                </w:p>
              </w:tc>
              <w:tc>
                <w:tcPr>
                  <w:tcW w:w="2765"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1.项目所在园区空气质量满足《环境空气质量标准》（GB3095－2012）中二级标准要求。</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w:t>
                  </w:r>
                  <w:r>
                    <w:rPr>
                      <w:rFonts w:hint="eastAsia"/>
                      <w:b w:val="0"/>
                      <w:color w:val="000000" w:themeColor="text1"/>
                      <w14:textFill>
                        <w14:solidFill>
                          <w14:schemeClr w14:val="tx1"/>
                        </w14:solidFill>
                      </w14:textFill>
                    </w:rPr>
                    <w:t>不产生生产废水</w:t>
                  </w:r>
                  <w:r>
                    <w:rPr>
                      <w:b w:val="0"/>
                      <w:color w:val="000000" w:themeColor="text1"/>
                      <w14:textFill>
                        <w14:solidFill>
                          <w14:schemeClr w14:val="tx1"/>
                        </w14:solidFill>
                      </w14:textFill>
                    </w:rPr>
                    <w:t>；</w:t>
                  </w:r>
                </w:p>
                <w:p>
                  <w:pPr>
                    <w:pStyle w:val="71"/>
                    <w:jc w:val="both"/>
                    <w:rPr>
                      <w:b w:val="0"/>
                      <w:color w:val="000000" w:themeColor="text1"/>
                      <w:highlight w:val="yellow"/>
                      <w14:textFill>
                        <w14:solidFill>
                          <w14:schemeClr w14:val="tx1"/>
                        </w14:solidFill>
                      </w14:textFill>
                    </w:rPr>
                  </w:pPr>
                  <w:r>
                    <w:rPr>
                      <w:rFonts w:hint="eastAsia"/>
                      <w:b w:val="0"/>
                      <w:color w:val="000000" w:themeColor="text1"/>
                      <w14:textFill>
                        <w14:solidFill>
                          <w14:schemeClr w14:val="tx1"/>
                        </w14:solidFill>
                      </w14:textFill>
                    </w:rPr>
                    <w:t>3.本项目</w:t>
                  </w:r>
                  <w:r>
                    <w:rPr>
                      <w:b w:val="0"/>
                      <w:color w:val="000000" w:themeColor="text1"/>
                      <w14:textFill>
                        <w14:solidFill>
                          <w14:schemeClr w14:val="tx1"/>
                        </w14:solidFill>
                      </w14:textFill>
                    </w:rPr>
                    <w:t>生活污水</w:t>
                  </w:r>
                  <w:r>
                    <w:rPr>
                      <w:rFonts w:hint="eastAsia"/>
                      <w:b w:val="0"/>
                      <w:color w:val="000000" w:themeColor="text1"/>
                      <w14:textFill>
                        <w14:solidFill>
                          <w14:schemeClr w14:val="tx1"/>
                        </w14:solidFill>
                      </w14:textFill>
                    </w:rPr>
                    <w:t>不外排</w:t>
                  </w:r>
                  <w:r>
                    <w:rPr>
                      <w:b w:val="0"/>
                      <w:color w:val="000000" w:themeColor="text1"/>
                      <w14:textFill>
                        <w14:solidFill>
                          <w14:schemeClr w14:val="tx1"/>
                        </w14:solidFill>
                      </w14:textFill>
                    </w:rPr>
                    <w:t>。</w:t>
                  </w:r>
                </w:p>
                <w:p>
                  <w:pPr>
                    <w:pStyle w:val="71"/>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4</w:t>
                  </w:r>
                  <w:r>
                    <w:rPr>
                      <w:b w:val="0"/>
                      <w:color w:val="000000" w:themeColor="text1"/>
                      <w14:textFill>
                        <w14:solidFill>
                          <w14:schemeClr w14:val="tx1"/>
                        </w14:solidFill>
                      </w14:textFill>
                    </w:rPr>
                    <w:t>.本项目产生的生活垃圾委托工业园区环卫部门统一清运，固废处理率达到100%。</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434"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环境风险</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防控</w:t>
                  </w:r>
                </w:p>
              </w:tc>
              <w:tc>
                <w:tcPr>
                  <w:tcW w:w="3094"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1.组织编制环境风险应急预案，通过风险源的识别，制定不同风险源的应急处理处置方案，形成应对突发事故应急处理处置能力。</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2.建设风险事故废水排放管道及处置池。</w:t>
                  </w:r>
                </w:p>
              </w:tc>
              <w:tc>
                <w:tcPr>
                  <w:tcW w:w="2765"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1.本次环评提出企业建成后按照要求</w:t>
                  </w:r>
                  <w:r>
                    <w:rPr>
                      <w:rFonts w:hint="eastAsia"/>
                      <w:b w:val="0"/>
                      <w:color w:val="000000" w:themeColor="text1"/>
                      <w14:textFill>
                        <w14:solidFill>
                          <w14:schemeClr w14:val="tx1"/>
                        </w14:solidFill>
                      </w14:textFill>
                    </w:rPr>
                    <w:t>及时编制</w:t>
                  </w:r>
                  <w:r>
                    <w:rPr>
                      <w:b w:val="0"/>
                      <w:color w:val="000000" w:themeColor="text1"/>
                      <w14:textFill>
                        <w14:solidFill>
                          <w14:schemeClr w14:val="tx1"/>
                        </w14:solidFill>
                      </w14:textFill>
                    </w:rPr>
                    <w:t>环境风险应急预案，并报当地环保部门备案。</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w:t>
                  </w:r>
                  <w:r>
                    <w:rPr>
                      <w:rFonts w:hint="eastAsia"/>
                      <w:b w:val="0"/>
                      <w:color w:val="000000" w:themeColor="text1"/>
                      <w14:textFill>
                        <w14:solidFill>
                          <w14:schemeClr w14:val="tx1"/>
                        </w14:solidFill>
                      </w14:textFill>
                    </w:rPr>
                    <w:t>不产生生产废水，无需建设事故池</w:t>
                  </w:r>
                  <w:r>
                    <w:rPr>
                      <w:b w:val="0"/>
                      <w:color w:val="000000" w:themeColor="text1"/>
                      <w14:textFill>
                        <w14:solidFill>
                          <w14:schemeClr w14:val="tx1"/>
                        </w14:solidFill>
                      </w14:textFill>
                    </w:rPr>
                    <w:t>。</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407"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711" w:type="dxa"/>
                  <w:vMerge w:val="continue"/>
                  <w:tcBorders>
                    <w:tl2br w:val="nil"/>
                    <w:tr2bl w:val="nil"/>
                  </w:tcBorders>
                  <w:vAlign w:val="center"/>
                </w:tcPr>
                <w:p>
                  <w:pPr>
                    <w:pStyle w:val="71"/>
                    <w:rPr>
                      <w:b w:val="0"/>
                      <w:color w:val="000000" w:themeColor="text1"/>
                      <w14:textFill>
                        <w14:solidFill>
                          <w14:schemeClr w14:val="tx1"/>
                        </w14:solidFill>
                      </w14:textFill>
                    </w:rPr>
                  </w:pPr>
                </w:p>
              </w:tc>
              <w:tc>
                <w:tcPr>
                  <w:tcW w:w="434"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资源开发效率要求</w:t>
                  </w:r>
                </w:p>
              </w:tc>
              <w:tc>
                <w:tcPr>
                  <w:tcW w:w="3094"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1.清洁生产水平不低于国家清洁生产标准规定的国内先进水平。</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2.金所片区：工业固废综合利用率≥70%，再生水回用率100%，单位工业增加值综合耗能≤0.5吨标煤/万元。</w:t>
                  </w:r>
                </w:p>
              </w:tc>
              <w:tc>
                <w:tcPr>
                  <w:tcW w:w="2765" w:type="dxa"/>
                  <w:tcBorders>
                    <w:tl2br w:val="nil"/>
                    <w:tr2bl w:val="nil"/>
                  </w:tcBorders>
                  <w:vAlign w:val="center"/>
                </w:tcPr>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1.本项目清洁生产水平不低于国家清洁生产标准规定的国内先进水平。</w:t>
                  </w:r>
                </w:p>
                <w:p>
                  <w:pPr>
                    <w:pStyle w:val="71"/>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2.工业固体废物综合利用率≥70%。本项目</w:t>
                  </w:r>
                  <w:r>
                    <w:rPr>
                      <w:rFonts w:hint="eastAsia"/>
                      <w:b w:val="0"/>
                      <w:color w:val="000000" w:themeColor="text1"/>
                      <w14:textFill>
                        <w14:solidFill>
                          <w14:schemeClr w14:val="tx1"/>
                        </w14:solidFill>
                      </w14:textFill>
                    </w:rPr>
                    <w:t>不产生生产废水</w:t>
                  </w:r>
                  <w:r>
                    <w:rPr>
                      <w:b w:val="0"/>
                      <w:color w:val="000000" w:themeColor="text1"/>
                      <w14:textFill>
                        <w14:solidFill>
                          <w14:schemeClr w14:val="tx1"/>
                        </w14:solidFill>
                      </w14:textFill>
                    </w:rPr>
                    <w:t>。</w:t>
                  </w:r>
                </w:p>
              </w:tc>
              <w:tc>
                <w:tcPr>
                  <w:tcW w:w="722"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pPr>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因此，本项目建设符合《昆明市生态环境分区管控动态更新方案（2023年）》中的相关要求。</w:t>
            </w:r>
          </w:p>
          <w:bookmarkEnd w:id="5"/>
          <w:bookmarkEnd w:id="6"/>
          <w:bookmarkEnd w:id="7"/>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、与《云南省牛栏江保护条例》符合性分析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根据《云南省牛栏江保护条例》牛栏江流域上游保护区划分为水源保护核心区、重点污染控制区和重点水源涵养区。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（三）重点水源涵养区为流域范围内除水源保护核心区、重点污染控制区以外的集水区域。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寻甸产业园区金所片区金所组团内，根据牛栏江水系功能规划图可知，项目区属于重点污染控制区，本项目与牛栏江流域的位置关系详见附图6。根据《云南省牛栏江保护条例》中第三十二、三十三条中规定的禁止行为分析项目选址符合性。</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表1-6  建设内容与《云南省牛栏江保护条例》符合性分析</w:t>
            </w:r>
          </w:p>
          <w:tbl>
            <w:tblPr>
              <w:tblStyle w:val="23"/>
              <w:tblW w:w="81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47"/>
              <w:gridCol w:w="3260"/>
              <w:gridCol w:w="3333"/>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保护区划分</w:t>
                  </w:r>
                </w:p>
              </w:tc>
              <w:tc>
                <w:tcPr>
                  <w:tcW w:w="32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禁止行为</w:t>
                  </w:r>
                </w:p>
              </w:tc>
              <w:tc>
                <w:tcPr>
                  <w:tcW w:w="33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w:t>
                  </w:r>
                </w:p>
              </w:tc>
              <w:tc>
                <w:tcPr>
                  <w:tcW w:w="70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trHeight w:val="839" w:hRule="atLeast"/>
                <w:jc w:val="center"/>
              </w:trPr>
              <w:tc>
                <w:tcPr>
                  <w:tcW w:w="847" w:type="dxa"/>
                  <w:vMerge w:val="restart"/>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重点污染控制区</w:t>
                  </w: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（一）盗伐、滥伐林木和破坏草地；</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项目位于云南寻甸产业园区金所片区金所组团内，项目用地属于园区工业用地，不存在盗伐、滥伐林木和破坏草地行为。</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（二）使用高毒、高残留农药；</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不涉及。</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（三）利用溶洞、渗井、渗坑、裂隙排放、倾倒含有毒有害物质的废水、废渣；</w:t>
                  </w:r>
                </w:p>
              </w:tc>
              <w:tc>
                <w:tcPr>
                  <w:tcW w:w="3333" w:type="dxa"/>
                  <w:vMerge w:val="restart"/>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1.项目无废水</w:t>
                  </w:r>
                  <w:r>
                    <w:rPr>
                      <w:rFonts w:hint="eastAsia"/>
                      <w:b w:val="0"/>
                      <w:color w:val="000000" w:themeColor="text1"/>
                      <w14:textFill>
                        <w14:solidFill>
                          <w14:schemeClr w14:val="tx1"/>
                        </w14:solidFill>
                      </w14:textFill>
                    </w:rPr>
                    <w:t>排入水体</w:t>
                  </w:r>
                  <w:r>
                    <w:rPr>
                      <w:b w:val="0"/>
                      <w:color w:val="000000" w:themeColor="text1"/>
                      <w14:textFill>
                        <w14:solidFill>
                          <w14:schemeClr w14:val="tx1"/>
                        </w14:solidFill>
                      </w14:textFill>
                    </w:rPr>
                    <w:t>。</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2.项目所有固体废弃物均得到合理有效的利用和处置，处置率为100%。</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（四）向水体排放废水、倾倒工业废渣、城镇垃圾或者其他废弃物；</w:t>
                  </w:r>
                </w:p>
              </w:tc>
              <w:tc>
                <w:tcPr>
                  <w:tcW w:w="3333" w:type="dxa"/>
                  <w:vMerge w:val="continue"/>
                  <w:vAlign w:val="center"/>
                </w:tcPr>
                <w:p>
                  <w:pPr>
                    <w:pStyle w:val="71"/>
                    <w:rPr>
                      <w:b w:val="0"/>
                      <w:color w:val="000000" w:themeColor="text1"/>
                      <w14:textFill>
                        <w14:solidFill>
                          <w14:schemeClr w14:val="tx1"/>
                        </w14:solidFill>
                      </w14:textFill>
                    </w:rPr>
                  </w:pP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（五）在江河、渠道、水库最高水位线以下的滩地、岸坡堆放、存贮固体废弃物或者其他污染物；</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项目危险废物暂存</w:t>
                  </w:r>
                  <w:r>
                    <w:rPr>
                      <w:rFonts w:hint="eastAsia"/>
                      <w:b w:val="0"/>
                      <w:color w:val="000000" w:themeColor="text1"/>
                      <w14:textFill>
                        <w14:solidFill>
                          <w14:schemeClr w14:val="tx1"/>
                        </w14:solidFill>
                      </w14:textFill>
                    </w:rPr>
                    <w:t>库</w:t>
                  </w:r>
                  <w:r>
                    <w:rPr>
                      <w:b w:val="0"/>
                      <w:color w:val="000000" w:themeColor="text1"/>
                      <w14:textFill>
                        <w14:solidFill>
                          <w14:schemeClr w14:val="tx1"/>
                        </w14:solidFill>
                      </w14:textFill>
                    </w:rPr>
                    <w:t>暂存危险废物，并委托资质单位进行处置，危险废物贮存设施的选址与设计、运行与管理、安全防护、环境监测及应急措施等</w:t>
                  </w:r>
                  <w:r>
                    <w:rPr>
                      <w:rFonts w:hint="eastAsia"/>
                      <w:b w:val="0"/>
                      <w:color w:val="000000" w:themeColor="text1"/>
                      <w14:textFill>
                        <w14:solidFill>
                          <w14:schemeClr w14:val="tx1"/>
                        </w14:solidFill>
                      </w14:textFill>
                    </w:rPr>
                    <w:t>符合</w:t>
                  </w:r>
                  <w:r>
                    <w:rPr>
                      <w:b w:val="0"/>
                      <w:color w:val="000000" w:themeColor="text1"/>
                      <w14:textFill>
                        <w14:solidFill>
                          <w14:schemeClr w14:val="tx1"/>
                        </w14:solidFill>
                      </w14:textFill>
                    </w:rPr>
                    <w:t>《危险废物贮存污染控制标准》（GB18597-2023）的规定。</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（六）利用无防渗漏措施的沟渠、坑塘等输送或者存贮含有毒污染物的废水、含病原体的污水或者其他废弃物。</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项目不产生含有毒、病原体的污水，项目各污染物均得到妥善处置，无此行为。</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（七）新建、扩建工业园区；</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无此行为。</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（八）新建、扩建重点水污染物排放的工业项目；</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项目不是重点水污染物排放的工业项目。</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Ex>
              <w:trPr>
                <w:jc w:val="center"/>
              </w:trPr>
              <w:tc>
                <w:tcPr>
                  <w:tcW w:w="847" w:type="dxa"/>
                  <w:vMerge w:val="continue"/>
                  <w:vAlign w:val="center"/>
                </w:tcPr>
                <w:p>
                  <w:pPr>
                    <w:pStyle w:val="71"/>
                    <w:rPr>
                      <w:b w:val="0"/>
                      <w:color w:val="000000" w:themeColor="text1"/>
                      <w14:textFill>
                        <w14:solidFill>
                          <w14:schemeClr w14:val="tx1"/>
                        </w14:solidFill>
                      </w14:textFill>
                    </w:rPr>
                  </w:pPr>
                </w:p>
              </w:tc>
              <w:tc>
                <w:tcPr>
                  <w:tcW w:w="326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（九）新建、改建、扩建经营性陵园、公墓。</w:t>
                  </w:r>
                </w:p>
              </w:tc>
              <w:tc>
                <w:tcPr>
                  <w:tcW w:w="33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与项目无关。</w:t>
                  </w:r>
                </w:p>
              </w:tc>
              <w:tc>
                <w:tcPr>
                  <w:tcW w:w="702"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综上所述，本项目生产中不涉及高毒、高残留农药，项目废水不外排；固废均能得到有效处置，处置率达100%。项目建设和运营期不存在牛栏江污染控制区禁止的行为，故项目与《云南省牛栏江保护条例》相符。</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4、与《牛栏江流域（云南部分）水环境保护规划（2009~2030）》的相符性分析</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6km²，属于污染重点治理区。水源涵养区包括除水源保护核心区、重点污染控制区以外的山地。涉及杨林镇、仁德镇、通泉镇、王家庄镇、马过河镇、旧县镇六个乡镇，面积1764.16km²。</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项目排水采用雨污分流的排水方式，生产过程中不产生废水；员工不在项目区食宿，办公生活和如厕依托云南建工云岭水泥有限公司已建的设施，生活污水依托已建的污水处理设施进行处理，不外排。</w:t>
            </w:r>
            <w:r>
              <w:rPr>
                <w:color w:val="000000" w:themeColor="text1"/>
                <w:kern w:val="0"/>
                <w:sz w:val="24"/>
                <w14:textFill>
                  <w14:solidFill>
                    <w14:schemeClr w14:val="tx1"/>
                  </w14:solidFill>
                </w14:textFill>
              </w:rPr>
              <w:t>项目内设有垃圾和危废收集设施，可保证固废合理收集处置，</w:t>
            </w:r>
            <w:r>
              <w:rPr>
                <w:rFonts w:hint="eastAsia"/>
                <w:color w:val="000000" w:themeColor="text1"/>
                <w:kern w:val="0"/>
                <w:sz w:val="24"/>
                <w14:textFill>
                  <w14:solidFill>
                    <w14:schemeClr w14:val="tx1"/>
                  </w14:solidFill>
                </w14:textFill>
              </w:rPr>
              <w:t>生活垃圾</w:t>
            </w:r>
            <w:r>
              <w:rPr>
                <w:color w:val="000000" w:themeColor="text1"/>
                <w:kern w:val="0"/>
                <w:sz w:val="24"/>
                <w14:textFill>
                  <w14:solidFill>
                    <w14:schemeClr w14:val="tx1"/>
                  </w14:solidFill>
                </w14:textFill>
              </w:rPr>
              <w:t>由环卫部门进行处置，危废收集后委托有资质单位处理。项目选址符合《云南省牛栏江保护条例》中的选址要求。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综上所述，项目选址符合《牛栏江流域（云南部分）水环境保护规划（2009~2030）》对重点污染控制区的水环境保护要求。</w:t>
            </w:r>
          </w:p>
          <w:p>
            <w:pPr>
              <w:spacing w:line="360" w:lineRule="auto"/>
              <w:ind w:firstLine="482" w:firstLineChars="200"/>
              <w:rPr>
                <w:color w:val="000000" w:themeColor="text1"/>
                <w:kern w:val="0"/>
                <w:sz w:val="24"/>
                <w14:textFill>
                  <w14:solidFill>
                    <w14:schemeClr w14:val="tx1"/>
                  </w14:solidFill>
                </w14:textFill>
              </w:rPr>
            </w:pPr>
            <w:r>
              <w:rPr>
                <w:rFonts w:hint="eastAsia"/>
                <w:b/>
                <w:color w:val="000000" w:themeColor="text1"/>
                <w:sz w:val="24"/>
                <w14:textFill>
                  <w14:solidFill>
                    <w14:schemeClr w14:val="tx1"/>
                  </w14:solidFill>
                </w14:textFill>
              </w:rPr>
              <w:t>5、</w:t>
            </w:r>
            <w:r>
              <w:rPr>
                <w:b/>
                <w:bCs/>
                <w:color w:val="000000" w:themeColor="text1"/>
                <w:kern w:val="0"/>
                <w:sz w:val="24"/>
                <w14:textFill>
                  <w14:solidFill>
                    <w14:schemeClr w14:val="tx1"/>
                  </w14:solidFill>
                </w14:textFill>
              </w:rPr>
              <w:t>与《牛栏江流域（寻甸段）水环境保护规划（20</w:t>
            </w:r>
            <w:r>
              <w:rPr>
                <w:rFonts w:hint="eastAsia"/>
                <w:b/>
                <w:bCs/>
                <w:color w:val="000000" w:themeColor="text1"/>
                <w:kern w:val="0"/>
                <w:sz w:val="24"/>
                <w14:textFill>
                  <w14:solidFill>
                    <w14:schemeClr w14:val="tx1"/>
                  </w14:solidFill>
                </w14:textFill>
              </w:rPr>
              <w:t>09</w:t>
            </w:r>
            <w:r>
              <w:rPr>
                <w:b/>
                <w:bCs/>
                <w:color w:val="000000" w:themeColor="text1"/>
                <w:kern w:val="0"/>
                <w:sz w:val="24"/>
                <w14:textFill>
                  <w14:solidFill>
                    <w14:schemeClr w14:val="tx1"/>
                  </w14:solidFill>
                </w14:textFill>
              </w:rPr>
              <w:t>~2030）》的相符性分析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根据《牛栏江流域（寻甸段）水环境保护规划》分区结果，牛栏江流域（寻甸段）共分为三个区进行保护，水源保护核心区、重点污染控制区、重点水源涵养区，各分区范围节点如下：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②重点污染控制区范围指水体保护核心区外，主要入江支流水域外延3000m的区域和流域范围内的坝区，若区域范围超过一级山脊，按一级山脊线划定。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③重点水源涵养区范围指流域范围内除水源保护核心区、重点污染控制区以外的区域。</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本项目位于</w:t>
            </w:r>
            <w:r>
              <w:rPr>
                <w:color w:val="000000" w:themeColor="text1"/>
                <w:sz w:val="24"/>
                <w14:textFill>
                  <w14:solidFill>
                    <w14:schemeClr w14:val="tx1"/>
                  </w14:solidFill>
                </w14:textFill>
              </w:rPr>
              <w:t>云南寻甸产业园区金所片区金所组团内</w:t>
            </w:r>
            <w:r>
              <w:rPr>
                <w:color w:val="000000" w:themeColor="text1"/>
                <w:kern w:val="0"/>
                <w:sz w:val="24"/>
                <w14:textFill>
                  <w14:solidFill>
                    <w14:schemeClr w14:val="tx1"/>
                  </w14:solidFill>
                </w14:textFill>
              </w:rPr>
              <w:t>，属重点污染控制区。对照《牛栏江（寻甸段）水环境保护规划（20</w:t>
            </w:r>
            <w:r>
              <w:rPr>
                <w:rFonts w:hint="eastAsia"/>
                <w:color w:val="000000" w:themeColor="text1"/>
                <w:kern w:val="0"/>
                <w:sz w:val="24"/>
                <w14:textFill>
                  <w14:solidFill>
                    <w14:schemeClr w14:val="tx1"/>
                  </w14:solidFill>
                </w14:textFill>
              </w:rPr>
              <w:t>09</w:t>
            </w:r>
            <w:r>
              <w:rPr>
                <w:color w:val="000000" w:themeColor="text1"/>
                <w:kern w:val="0"/>
                <w:sz w:val="24"/>
                <w14:textFill>
                  <w14:solidFill>
                    <w14:schemeClr w14:val="tx1"/>
                  </w14:solidFill>
                </w14:textFill>
              </w:rPr>
              <w:t>~2030）》对重点污染控制区的水环境保护策略，项目符合性分析见表1-</w:t>
            </w:r>
            <w:r>
              <w:rPr>
                <w:rFonts w:hint="eastAsia"/>
                <w:color w:val="000000" w:themeColor="text1"/>
                <w:kern w:val="0"/>
                <w:sz w:val="24"/>
                <w14:textFill>
                  <w14:solidFill>
                    <w14:schemeClr w14:val="tx1"/>
                  </w14:solidFill>
                </w14:textFill>
              </w:rPr>
              <w:t>7</w:t>
            </w:r>
            <w:r>
              <w:rPr>
                <w:color w:val="000000" w:themeColor="text1"/>
                <w:kern w:val="0"/>
                <w:sz w:val="24"/>
                <w14:textFill>
                  <w14:solidFill>
                    <w14:schemeClr w14:val="tx1"/>
                  </w14:solidFill>
                </w14:textFill>
              </w:rPr>
              <w:t>。</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对照分析符合表</w:t>
            </w:r>
          </w:p>
          <w:tbl>
            <w:tblPr>
              <w:tblStyle w:val="23"/>
              <w:tblW w:w="7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829"/>
              <w:gridCol w:w="3033"/>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44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序号</w:t>
                  </w:r>
                </w:p>
              </w:tc>
              <w:tc>
                <w:tcPr>
                  <w:tcW w:w="382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《牛栏江流域（寻甸段）水环境保护规划》水环境保护策略</w:t>
                  </w:r>
                </w:p>
              </w:tc>
              <w:tc>
                <w:tcPr>
                  <w:tcW w:w="30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该项目情况</w:t>
                  </w:r>
                </w:p>
              </w:tc>
              <w:tc>
                <w:tcPr>
                  <w:tcW w:w="66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44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1</w:t>
                  </w:r>
                </w:p>
              </w:tc>
              <w:tc>
                <w:tcPr>
                  <w:tcW w:w="382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0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本项目废水不外排。项目</w:t>
                  </w:r>
                  <w:r>
                    <w:rPr>
                      <w:rFonts w:hint="eastAsia"/>
                      <w:b w:val="0"/>
                      <w:color w:val="000000" w:themeColor="text1"/>
                      <w14:textFill>
                        <w14:solidFill>
                          <w14:schemeClr w14:val="tx1"/>
                        </w14:solidFill>
                      </w14:textFill>
                    </w:rPr>
                    <w:t>设置危废暂存库</w:t>
                  </w:r>
                  <w:r>
                    <w:rPr>
                      <w:b w:val="0"/>
                      <w:color w:val="000000" w:themeColor="text1"/>
                      <w14:textFill>
                        <w14:solidFill>
                          <w14:schemeClr w14:val="tx1"/>
                        </w14:solidFill>
                      </w14:textFill>
                    </w:rPr>
                    <w:t>，危废收集</w:t>
                  </w:r>
                  <w:r>
                    <w:rPr>
                      <w:rFonts w:hint="eastAsia"/>
                      <w:b w:val="0"/>
                      <w:color w:val="000000" w:themeColor="text1"/>
                      <w14:textFill>
                        <w14:solidFill>
                          <w14:schemeClr w14:val="tx1"/>
                        </w14:solidFill>
                      </w14:textFill>
                    </w:rPr>
                    <w:t>暂存</w:t>
                  </w:r>
                  <w:r>
                    <w:rPr>
                      <w:b w:val="0"/>
                      <w:color w:val="000000" w:themeColor="text1"/>
                      <w14:textFill>
                        <w14:solidFill>
                          <w14:schemeClr w14:val="tx1"/>
                        </w14:solidFill>
                      </w14:textFill>
                    </w:rPr>
                    <w:t>后委托有资质单位处理。</w:t>
                  </w:r>
                </w:p>
              </w:tc>
              <w:tc>
                <w:tcPr>
                  <w:tcW w:w="66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44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382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303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项目不属于高污染工业项目，本项目</w:t>
                  </w:r>
                  <w:r>
                    <w:rPr>
                      <w:rFonts w:hint="eastAsia"/>
                      <w:b w:val="0"/>
                      <w:color w:val="000000" w:themeColor="text1"/>
                      <w14:textFill>
                        <w14:solidFill>
                          <w14:schemeClr w14:val="tx1"/>
                        </w14:solidFill>
                      </w14:textFill>
                    </w:rPr>
                    <w:t>废水不外排，</w:t>
                  </w:r>
                  <w:r>
                    <w:rPr>
                      <w:b w:val="0"/>
                      <w:color w:val="000000" w:themeColor="text1"/>
                      <w14:textFill>
                        <w14:solidFill>
                          <w14:schemeClr w14:val="tx1"/>
                        </w14:solidFill>
                      </w14:textFill>
                    </w:rPr>
                    <w:t>不排放有毒有害物质。</w:t>
                  </w:r>
                </w:p>
              </w:tc>
              <w:tc>
                <w:tcPr>
                  <w:tcW w:w="66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pPr>
              <w:spacing w:line="360" w:lineRule="auto"/>
              <w:ind w:firstLine="480" w:firstLineChars="200"/>
              <w:rPr>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由上表可知，项目不违反《牛栏江流域（寻甸段）水环境保护规划》对</w:t>
            </w:r>
            <w:r>
              <w:rPr>
                <w:color w:val="000000" w:themeColor="text1"/>
                <w:kern w:val="0"/>
                <w:sz w:val="24"/>
                <w14:textFill>
                  <w14:solidFill>
                    <w14:schemeClr w14:val="tx1"/>
                  </w14:solidFill>
                </w14:textFill>
              </w:rPr>
              <w:t>重点污染控制区</w:t>
            </w:r>
            <w:r>
              <w:rPr>
                <w:rFonts w:hint="eastAsia" w:ascii="宋体" w:hAnsi="宋体" w:cs="宋体"/>
                <w:color w:val="000000" w:themeColor="text1"/>
                <w:sz w:val="24"/>
                <w14:textFill>
                  <w14:solidFill>
                    <w14:schemeClr w14:val="tx1"/>
                  </w14:solidFill>
                </w14:textFill>
              </w:rPr>
              <w:t>的相关要求。项目的建设与《牛栏江流域（寻甸段）水环境保护规划》相符。</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、《长江经济带发展负面清单指南》（试行，2022年版）的通知》的符合性分析</w:t>
            </w:r>
          </w:p>
          <w:p>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项目与《长江经济带发展负面清单指南》（试行，2022年版）的通知》对比分析情况见下表1-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pStyle w:val="55"/>
              <w:rPr>
                <w:color w:val="000000" w:themeColor="text1"/>
                <w:szCs w:val="21"/>
                <w14:textFill>
                  <w14:solidFill>
                    <w14:schemeClr w14:val="tx1"/>
                  </w14:solidFill>
                </w14:textFill>
              </w:rPr>
            </w:pPr>
            <w:r>
              <w:rPr>
                <w:color w:val="000000" w:themeColor="text1"/>
                <w:szCs w:val="21"/>
                <w14:textFill>
                  <w14:solidFill>
                    <w14:schemeClr w14:val="tx1"/>
                  </w14:solidFill>
                </w14:textFill>
              </w:rPr>
              <w:t>表1-</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 xml:space="preserve"> 与《长江经济带发展负面清单指南》的通知》相符性分析</w:t>
            </w:r>
          </w:p>
          <w:tbl>
            <w:tblPr>
              <w:tblStyle w:val="23"/>
              <w:tblW w:w="81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2731"/>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《指南》要求</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4"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（一）</w:t>
                  </w:r>
                  <w:r>
                    <w:rPr>
                      <w:b w:val="0"/>
                      <w:color w:val="000000" w:themeColor="text1"/>
                      <w:lang w:val="zh-CN"/>
                      <w14:textFill>
                        <w14:solidFill>
                          <w14:schemeClr w14:val="tx1"/>
                        </w14:solidFill>
                      </w14:textFill>
                    </w:rPr>
                    <w:t>禁止建设不符合全国和省级港口布局规划以及港口总体夫划的码头项目，禁止建设不符合《长江于线过江通道布局规划》的过长江通道项目。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项目位于云南寻甸产业园区金所片区金所组团内，不属于码头或过长江通道项目。</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（二）</w:t>
                  </w:r>
                  <w:r>
                    <w:rPr>
                      <w:b w:val="0"/>
                      <w:color w:val="000000" w:themeColor="text1"/>
                      <w:lang w:val="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项目位于云南寻甸产业园区金所片区金所组团内，项目选址区域不涉及自然保护区、风景名胜区等，不涉及条款禁止行为。</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（三）</w:t>
                  </w:r>
                  <w:r>
                    <w:rPr>
                      <w:b w:val="0"/>
                      <w:color w:val="000000" w:themeColor="text1"/>
                      <w:lang w:val="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项目位于云南寻甸产业园区金所片区金所组团内，项目选址区域不涉及</w:t>
                  </w:r>
                  <w:r>
                    <w:rPr>
                      <w:b w:val="0"/>
                      <w:color w:val="000000" w:themeColor="text1"/>
                      <w:lang w:val="zh-CN"/>
                      <w14:textFill>
                        <w14:solidFill>
                          <w14:schemeClr w14:val="tx1"/>
                        </w14:solidFill>
                      </w14:textFill>
                    </w:rPr>
                    <w:t>饮用水水源一、二级保护区，</w:t>
                  </w:r>
                  <w:r>
                    <w:rPr>
                      <w:b w:val="0"/>
                      <w:color w:val="000000" w:themeColor="text1"/>
                      <w14:textFill>
                        <w14:solidFill>
                          <w14:schemeClr w14:val="tx1"/>
                        </w14:solidFill>
                      </w14:textFill>
                    </w:rPr>
                    <w:t>不涉及条款禁止行为。</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（四）</w:t>
                  </w:r>
                  <w:r>
                    <w:rPr>
                      <w:b w:val="0"/>
                      <w:color w:val="000000" w:themeColor="text1"/>
                      <w:lang w:val="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项目不属于在水产种质资源保护区的岸线和河段范围内新建围湖造田、围海造地或围填海等投资建设项目，项目符合主体功能定位的投资建设项目。</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（五）</w:t>
                  </w:r>
                  <w:r>
                    <w:rPr>
                      <w:b w:val="0"/>
                      <w:color w:val="000000" w:themeColor="text1"/>
                      <w:lang w:val="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项目在工业园区内，不属于</w:t>
                  </w:r>
                  <w:r>
                    <w:rPr>
                      <w:b w:val="0"/>
                      <w:color w:val="000000" w:themeColor="text1"/>
                      <w:lang w:val="zh-CN"/>
                      <w14:textFill>
                        <w14:solidFill>
                          <w14:schemeClr w14:val="tx1"/>
                        </w14:solidFill>
                      </w14:textFill>
                    </w:rPr>
                    <w:t>违法利用、占用长江流域河湖岸线和投资建设不利于水资源及自然生态保护的项目</w:t>
                  </w:r>
                  <w:r>
                    <w:rPr>
                      <w:b w:val="0"/>
                      <w:color w:val="000000" w:themeColor="text1"/>
                      <w14:textFill>
                        <w14:solidFill>
                          <w14:schemeClr w14:val="tx1"/>
                        </w14:solidFill>
                      </w14:textFill>
                    </w:rPr>
                    <w:t>。</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（六）</w:t>
                  </w:r>
                  <w:r>
                    <w:rPr>
                      <w:b w:val="0"/>
                      <w:color w:val="000000" w:themeColor="text1"/>
                      <w:lang w:val="zh-CN"/>
                      <w14:textFill>
                        <w14:solidFill>
                          <w14:schemeClr w14:val="tx1"/>
                        </w14:solidFill>
                      </w14:textFill>
                    </w:rPr>
                    <w:t>禁止未经许可在长江干支流及湖泊新设、改设或扩大排污口。</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项目废水不外排。</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（七）</w:t>
                  </w:r>
                  <w:r>
                    <w:rPr>
                      <w:b w:val="0"/>
                      <w:color w:val="000000" w:themeColor="text1"/>
                      <w:lang w:val="zh-CN"/>
                      <w14:textFill>
                        <w14:solidFill>
                          <w14:schemeClr w14:val="tx1"/>
                        </w14:solidFill>
                      </w14:textFill>
                    </w:rPr>
                    <w:t>禁止在“一江一口两湖七河”和332个水生生物保护区开展生产性捕捞。</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项目不涉及捕捞。</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（八）</w:t>
                  </w:r>
                  <w:r>
                    <w:rPr>
                      <w:b w:val="0"/>
                      <w:color w:val="000000" w:themeColor="text1"/>
                      <w:lang w:val="zh-CN"/>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项目位于云南寻甸产业园区金所片区金所组团内，位于合规园区内，项目不属于</w:t>
                  </w:r>
                  <w:r>
                    <w:rPr>
                      <w:b w:val="0"/>
                      <w:color w:val="000000" w:themeColor="text1"/>
                      <w:lang w:val="zh-CN"/>
                      <w14:textFill>
                        <w14:solidFill>
                          <w14:schemeClr w14:val="tx1"/>
                        </w14:solidFill>
                      </w14:textFill>
                    </w:rPr>
                    <w:t>尾矿库、冶炼渣库和磷石膏库的项目</w:t>
                  </w:r>
                  <w:r>
                    <w:rPr>
                      <w:b w:val="0"/>
                      <w:color w:val="000000" w:themeColor="text1"/>
                      <w14:textFill>
                        <w14:solidFill>
                          <w14:schemeClr w14:val="tx1"/>
                        </w14:solidFill>
                      </w14:textFill>
                    </w:rPr>
                    <w:t>。</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（九）</w:t>
                  </w:r>
                  <w:r>
                    <w:rPr>
                      <w:b w:val="0"/>
                      <w:color w:val="000000" w:themeColor="text1"/>
                      <w:lang w:val="zh-CN"/>
                      <w14:textFill>
                        <w14:solidFill>
                          <w14:schemeClr w14:val="tx1"/>
                        </w14:solidFill>
                      </w14:textFill>
                    </w:rPr>
                    <w:t>禁止在合规园区外新建、扩建钢铁、石化、化工、焦化、建材、有色、制浆造纸等高污染项目。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项目位于</w:t>
                  </w:r>
                  <w:r>
                    <w:rPr>
                      <w:b w:val="0"/>
                      <w:color w:val="000000" w:themeColor="text1"/>
                      <w:lang w:val="zh-CN"/>
                      <w14:textFill>
                        <w14:solidFill>
                          <w14:schemeClr w14:val="tx1"/>
                        </w14:solidFill>
                      </w14:textFill>
                    </w:rPr>
                    <w:t>合规园区内</w:t>
                  </w:r>
                  <w:r>
                    <w:rPr>
                      <w:b w:val="0"/>
                      <w:color w:val="000000" w:themeColor="text1"/>
                      <w14:textFill>
                        <w14:solidFill>
                          <w14:schemeClr w14:val="tx1"/>
                        </w14:solidFill>
                      </w14:textFill>
                    </w:rPr>
                    <w:t>。</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5" w:hRule="atLeast"/>
              </w:trPr>
              <w:tc>
                <w:tcPr>
                  <w:tcW w:w="449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（十）</w:t>
                  </w:r>
                  <w:r>
                    <w:rPr>
                      <w:b w:val="0"/>
                      <w:color w:val="000000" w:themeColor="text1"/>
                      <w:lang w:val="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273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w:t>
                  </w:r>
                  <w:r>
                    <w:rPr>
                      <w:b w:val="0"/>
                      <w:color w:val="000000" w:themeColor="text1"/>
                      <w:lang w:val="zh-CN"/>
                      <w14:textFill>
                        <w14:solidFill>
                          <w14:schemeClr w14:val="tx1"/>
                        </w14:solidFill>
                      </w14:textFill>
                    </w:rPr>
                    <w:t>新建、扩建法律法规和相关政策明令禁止的落后产能项目，不属于禁止新建、扩建不符合国家产能置换要求的严重过剩产能行业的项目，不属于禁止新建、扩建不符合要求的高耗能高排放项目</w:t>
                  </w:r>
                  <w:r>
                    <w:rPr>
                      <w:b w:val="0"/>
                      <w:color w:val="000000" w:themeColor="text1"/>
                      <w14:textFill>
                        <w14:solidFill>
                          <w14:schemeClr w14:val="tx1"/>
                        </w14:solidFill>
                      </w14:textFill>
                    </w:rPr>
                    <w:t>。</w:t>
                  </w:r>
                </w:p>
              </w:tc>
              <w:tc>
                <w:tcPr>
                  <w:tcW w:w="91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bl>
          <w:p>
            <w:pPr>
              <w:spacing w:line="360" w:lineRule="auto"/>
              <w:ind w:firstLine="420" w:firstLineChars="200"/>
              <w:rPr>
                <w:color w:val="000000" w:themeColor="text1"/>
                <w14:textFill>
                  <w14:solidFill>
                    <w14:schemeClr w14:val="tx1"/>
                  </w14:solidFill>
                </w14:textFill>
              </w:rPr>
            </w:pPr>
            <w:bookmarkStart w:id="9" w:name="_Toc15006"/>
            <w:r>
              <w:rPr>
                <w:rFonts w:hint="eastAsia"/>
                <w:color w:val="000000" w:themeColor="text1"/>
                <w14:textFill>
                  <w14:solidFill>
                    <w14:schemeClr w14:val="tx1"/>
                  </w14:solidFill>
                </w14:textFill>
              </w:rPr>
              <w:t>综上分析，</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符合</w:t>
            </w:r>
            <w:r>
              <w:rPr>
                <w:color w:val="000000" w:themeColor="text1"/>
                <w:sz w:val="24"/>
                <w14:textFill>
                  <w14:solidFill>
                    <w14:schemeClr w14:val="tx1"/>
                  </w14:solidFill>
                </w14:textFill>
              </w:rPr>
              <w:t>《长江经济带发展负面清单指南》（试行，2022年版）的通知》</w:t>
            </w:r>
            <w:r>
              <w:rPr>
                <w:rFonts w:hint="eastAsia"/>
                <w:color w:val="000000" w:themeColor="text1"/>
                <w:sz w:val="24"/>
                <w14:textFill>
                  <w14:solidFill>
                    <w14:schemeClr w14:val="tx1"/>
                  </w14:solidFill>
                </w14:textFill>
              </w:rPr>
              <w:t>的相关要求。</w:t>
            </w:r>
          </w:p>
          <w:p>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w:t>
            </w:r>
            <w:r>
              <w:rPr>
                <w:b/>
                <w:bCs/>
                <w:color w:val="000000" w:themeColor="text1"/>
                <w:kern w:val="0"/>
                <w:sz w:val="24"/>
                <w14:textFill>
                  <w14:solidFill>
                    <w14:schemeClr w14:val="tx1"/>
                  </w14:solidFill>
                </w14:textFill>
              </w:rPr>
              <w:t>、与《云南省长江经济带发展负面清单指南实施细则（试行，2022年版）》的符合性分析</w:t>
            </w:r>
            <w:bookmarkEnd w:id="9"/>
          </w:p>
          <w:p>
            <w:pPr>
              <w:pStyle w:val="5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《云南省长江经济带发展负面清单指南实施细则》符合性分析</w:t>
            </w:r>
          </w:p>
          <w:tbl>
            <w:tblPr>
              <w:tblStyle w:val="23"/>
              <w:tblW w:w="81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5135"/>
              <w:gridCol w:w="2351"/>
              <w:gridCol w:w="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规范要求</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项目实际情况</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禁止新建、改建和扩建不符合《全国内河航道与港</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口布局规划》等全国港口规划和《昭通市港口码头岸线规划（金沙江段 2019 年—2035年）》、《景洪港总体规划（2019—2035年）》等州（市）级以上港口布局规划以及港口总体规划的码头项目。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本项目不属于港口布局规划以及港口总体规划的码头项目。</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禁止在自然保护区核心区、缓冲区的岸线和河段范</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禁止在风景名胜区核心景区的岸线和河段范围内</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项目用地不涉及风景名胜区。</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禁止在饮用水水源一级保护区的岸线和河段范围</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本项目不涉及饮用水水源一级保护区、饮用水水源二级保护区。</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禁止在水产种质资源保护区的岸线和河段范围内</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本项目不涉及水产种质资源保护区的岸线或河段范围；本项目不涉及国家湿地公园的土地。</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禁止违法利用、占用长江流域河湖岸线。禁止在金</w:t>
                  </w:r>
                </w:p>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本项目不涉及占用长江流域河湖岸线项目。</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项目不属于过江基础设施项目，项目不涉及新设、改设或扩大排污口。</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禁止在金沙江干流、长江一级支流、水生生物保护区和长江流域禁捕水域开展天然渔业资源生产性捕捞。</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本项目不涉及天然渔业资源生产性捕捞。</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本项目所在区域不属于金沙江干流、长江一级支流、水生生物保护区、九大高原湖泊岸线一公里范围。</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禁止在合规园区外新建、扩建钢铁、石化、化工、焦化、建材、有色、制浆造纸行业中的高污染项目。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本项目建设地址为合规园区。</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为有机肥生产，</w:t>
                  </w:r>
                  <w:r>
                    <w:rPr>
                      <w:b w:val="0"/>
                      <w:color w:val="000000" w:themeColor="text1"/>
                      <w14:textFill>
                        <w14:solidFill>
                          <w14:schemeClr w14:val="tx1"/>
                        </w14:solidFill>
                      </w14:textFill>
                    </w:rPr>
                    <w:t>不属于不符合国家石化、现代煤化工等产业布局规划的项目；本项目不属于危险化学品生产项目。</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Ex>
              <w:trPr>
                <w:jc w:val="center"/>
              </w:trPr>
              <w:tc>
                <w:tcPr>
                  <w:tcW w:w="513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351"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656"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bl>
          <w:p>
            <w:pPr>
              <w:adjustRightInd w:val="0"/>
              <w:snapToGrid w:val="0"/>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综上，本项目与《云南省长江经济带发展负面清单指南实施细则（试行，2022年版）》规定的内容相符合。</w:t>
            </w:r>
          </w:p>
          <w:p>
            <w:pPr>
              <w:spacing w:line="360" w:lineRule="auto"/>
              <w:ind w:firstLine="482" w:firstLineChars="200"/>
              <w:rPr>
                <w:b/>
                <w:color w:val="000000" w:themeColor="text1"/>
                <w:spacing w:val="4"/>
                <w:kern w:val="24"/>
                <w:szCs w:val="21"/>
                <w:lang w:bidi="ar"/>
                <w14:textFill>
                  <w14:solidFill>
                    <w14:schemeClr w14:val="tx1"/>
                  </w14:solidFill>
                </w14:textFill>
              </w:rPr>
            </w:pPr>
            <w:bookmarkStart w:id="10" w:name="_Toc26297"/>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w:t>
            </w:r>
            <w:bookmarkEnd w:id="10"/>
            <w:r>
              <w:rPr>
                <w:b/>
                <w:color w:val="000000" w:themeColor="text1"/>
                <w:spacing w:val="4"/>
                <w:kern w:val="24"/>
                <w:sz w:val="24"/>
                <w:lang w:bidi="ar"/>
                <w14:textFill>
                  <w14:solidFill>
                    <w14:schemeClr w14:val="tx1"/>
                  </w14:solidFill>
                </w14:textFill>
              </w:rPr>
              <w:t>与《昆明市大气污染防治条例》相符性分析</w:t>
            </w:r>
          </w:p>
          <w:p>
            <w:pPr>
              <w:pStyle w:val="55"/>
              <w:rPr>
                <w:color w:val="000000" w:themeColor="text1"/>
                <w:spacing w:val="4"/>
                <w:kern w:val="24"/>
                <w:szCs w:val="21"/>
                <w:lang w:bidi="ar"/>
                <w14:textFill>
                  <w14:solidFill>
                    <w14:schemeClr w14:val="tx1"/>
                  </w14:solidFill>
                </w14:textFill>
              </w:rPr>
            </w:pPr>
            <w:r>
              <w:rPr>
                <w:color w:val="000000" w:themeColor="text1"/>
                <w:spacing w:val="4"/>
                <w:kern w:val="24"/>
                <w:szCs w:val="21"/>
                <w:lang w:bidi="ar"/>
                <w14:textFill>
                  <w14:solidFill>
                    <w14:schemeClr w14:val="tx1"/>
                  </w14:solidFill>
                </w14:textFill>
              </w:rPr>
              <w:t>表1-</w:t>
            </w:r>
            <w:r>
              <w:rPr>
                <w:rFonts w:hint="eastAsia"/>
                <w:color w:val="000000" w:themeColor="text1"/>
                <w:spacing w:val="4"/>
                <w:kern w:val="24"/>
                <w:szCs w:val="21"/>
                <w:lang w:bidi="ar"/>
                <w14:textFill>
                  <w14:solidFill>
                    <w14:schemeClr w14:val="tx1"/>
                  </w14:solidFill>
                </w14:textFill>
              </w:rPr>
              <w:t>10</w:t>
            </w:r>
            <w:r>
              <w:rPr>
                <w:color w:val="000000" w:themeColor="text1"/>
                <w:spacing w:val="4"/>
                <w:kern w:val="24"/>
                <w:szCs w:val="21"/>
                <w:lang w:bidi="ar"/>
                <w14:textFill>
                  <w14:solidFill>
                    <w14:schemeClr w14:val="tx1"/>
                  </w14:solidFill>
                </w14:textFill>
              </w:rPr>
              <w:t xml:space="preserve">  与《昆明市大气污染防治条例》符合性分析</w:t>
            </w:r>
          </w:p>
          <w:tbl>
            <w:tblPr>
              <w:tblStyle w:val="23"/>
              <w:tblW w:w="7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338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相关要求</w:t>
                  </w:r>
                </w:p>
              </w:tc>
              <w:tc>
                <w:tcPr>
                  <w:tcW w:w="354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项目情况</w:t>
                  </w:r>
                </w:p>
              </w:tc>
              <w:tc>
                <w:tcPr>
                  <w:tcW w:w="949"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8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547" w:type="dxa"/>
                  <w:vMerge w:val="restart"/>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b w:val="0"/>
                      <w:bCs/>
                      <w:color w:val="000000" w:themeColor="text1"/>
                      <w14:textFill>
                        <w14:solidFill>
                          <w14:schemeClr w14:val="tx1"/>
                        </w14:solidFill>
                      </w14:textFill>
                    </w:rPr>
                    <w:t>废气均经过有效的治理措施处理后</w:t>
                  </w:r>
                  <w:r>
                    <w:rPr>
                      <w:rFonts w:hint="eastAsia"/>
                      <w:b w:val="0"/>
                      <w:bCs/>
                      <w:color w:val="000000" w:themeColor="text1"/>
                      <w14:textFill>
                        <w14:solidFill>
                          <w14:schemeClr w14:val="tx1"/>
                        </w14:solidFill>
                      </w14:textFill>
                    </w:rPr>
                    <w:t>对周围环境影响不大。</w:t>
                  </w:r>
                </w:p>
              </w:tc>
              <w:tc>
                <w:tcPr>
                  <w:tcW w:w="949"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8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547" w:type="dxa"/>
                  <w:vMerge w:val="continue"/>
                  <w:vAlign w:val="center"/>
                </w:tcPr>
                <w:p>
                  <w:pPr>
                    <w:pStyle w:val="71"/>
                    <w:rPr>
                      <w:b w:val="0"/>
                      <w:bCs/>
                      <w:color w:val="000000" w:themeColor="text1"/>
                      <w14:textFill>
                        <w14:solidFill>
                          <w14:schemeClr w14:val="tx1"/>
                        </w14:solidFill>
                      </w14:textFill>
                    </w:rPr>
                  </w:pPr>
                </w:p>
              </w:tc>
              <w:tc>
                <w:tcPr>
                  <w:tcW w:w="949"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8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547"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本项目生产的产品</w:t>
                  </w:r>
                  <w:r>
                    <w:rPr>
                      <w:rFonts w:hint="eastAsia"/>
                      <w:b w:val="0"/>
                      <w:bCs/>
                      <w:color w:val="000000" w:themeColor="text1"/>
                      <w14:textFill>
                        <w14:solidFill>
                          <w14:schemeClr w14:val="tx1"/>
                        </w14:solidFill>
                      </w14:textFill>
                    </w:rPr>
                    <w:t>不</w:t>
                  </w:r>
                  <w:r>
                    <w:rPr>
                      <w:b w:val="0"/>
                      <w:bCs/>
                      <w:color w:val="000000" w:themeColor="text1"/>
                      <w14:textFill>
                        <w14:solidFill>
                          <w14:schemeClr w14:val="tx1"/>
                        </w14:solidFill>
                      </w14:textFill>
                    </w:rPr>
                    <w:t>含挥发性有机物。</w:t>
                  </w:r>
                </w:p>
              </w:tc>
              <w:tc>
                <w:tcPr>
                  <w:tcW w:w="949" w:type="dxa"/>
                  <w:vAlign w:val="center"/>
                </w:tcPr>
                <w:p>
                  <w:pPr>
                    <w:pStyle w:val="71"/>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bl>
          <w:p>
            <w:pPr>
              <w:adjustRightInd w:val="0"/>
              <w:snapToGrid w:val="0"/>
              <w:spacing w:line="360" w:lineRule="auto"/>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color w:val="000000" w:themeColor="text1"/>
                <w:sz w:val="24"/>
                <w14:textFill>
                  <w14:solidFill>
                    <w14:schemeClr w14:val="tx1"/>
                  </w14:solidFill>
                </w14:textFill>
              </w:rPr>
              <w:t>《昆明市大气污染防治条例》要求。</w:t>
            </w:r>
          </w:p>
          <w:p>
            <w:pPr>
              <w:spacing w:line="360" w:lineRule="auto"/>
              <w:ind w:firstLine="482" w:firstLineChars="200"/>
              <w:rPr>
                <w:b/>
                <w:color w:val="000000" w:themeColor="text1"/>
                <w:spacing w:val="4"/>
                <w:kern w:val="24"/>
                <w:sz w:val="24"/>
                <w:lang w:bidi="ar"/>
                <w14:textFill>
                  <w14:solidFill>
                    <w14:schemeClr w14:val="tx1"/>
                  </w14:solidFill>
                </w14:textFill>
              </w:rPr>
            </w:pPr>
            <w:r>
              <w:rPr>
                <w:rFonts w:hint="eastAsia"/>
                <w:b/>
                <w:color w:val="000000" w:themeColor="text1"/>
                <w:sz w:val="24"/>
                <w14:textFill>
                  <w14:solidFill>
                    <w14:schemeClr w14:val="tx1"/>
                  </w14:solidFill>
                </w14:textFill>
              </w:rPr>
              <w:t>9、与</w:t>
            </w:r>
            <w:r>
              <w:rPr>
                <w:b/>
                <w:color w:val="000000" w:themeColor="text1"/>
                <w:spacing w:val="4"/>
                <w:kern w:val="24"/>
                <w:sz w:val="24"/>
                <w:lang w:bidi="ar"/>
                <w14:textFill>
                  <w14:solidFill>
                    <w14:schemeClr w14:val="tx1"/>
                  </w14:solidFill>
                </w14:textFill>
              </w:rPr>
              <w:t>《</w:t>
            </w:r>
            <w:r>
              <w:rPr>
                <w:rFonts w:hint="eastAsia"/>
                <w:b/>
                <w:color w:val="000000" w:themeColor="text1"/>
                <w:spacing w:val="4"/>
                <w:kern w:val="24"/>
                <w:sz w:val="24"/>
                <w:lang w:bidi="ar"/>
                <w14:textFill>
                  <w14:solidFill>
                    <w14:schemeClr w14:val="tx1"/>
                  </w14:solidFill>
                </w14:textFill>
              </w:rPr>
              <w:t>中华人民共和国大气污染防治法</w:t>
            </w:r>
            <w:r>
              <w:rPr>
                <w:b/>
                <w:color w:val="000000" w:themeColor="text1"/>
                <w:spacing w:val="4"/>
                <w:kern w:val="24"/>
                <w:sz w:val="24"/>
                <w:lang w:bidi="ar"/>
                <w14:textFill>
                  <w14:solidFill>
                    <w14:schemeClr w14:val="tx1"/>
                  </w14:solidFill>
                </w14:textFill>
              </w:rPr>
              <w:t>》相符性分析</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 xml:space="preserve"> 与《</w:t>
            </w:r>
            <w:r>
              <w:rPr>
                <w:rFonts w:hint="eastAsia"/>
                <w:color w:val="000000" w:themeColor="text1"/>
                <w14:textFill>
                  <w14:solidFill>
                    <w14:schemeClr w14:val="tx1"/>
                  </w14:solidFill>
                </w14:textFill>
              </w:rPr>
              <w:t>中华人民共和国大气污染防治法</w:t>
            </w:r>
            <w:r>
              <w:rPr>
                <w:color w:val="000000" w:themeColor="text1"/>
                <w14:textFill>
                  <w14:solidFill>
                    <w14:schemeClr w14:val="tx1"/>
                  </w14:solidFill>
                </w14:textFill>
              </w:rP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相关要求</w:t>
                  </w:r>
                </w:p>
              </w:tc>
              <w:tc>
                <w:tcPr>
                  <w:tcW w:w="354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94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防治大气污染，应当加强对燃煤、工业、机动车船、扬尘、农业等大气污染的综合防治，推行区域大气污染联合防治，对颗粒物、二氧化硫、氮氧化物、挥发性有机物、氨等大气污染物和温室气体实施协同控制。</w:t>
                  </w:r>
                </w:p>
              </w:tc>
              <w:tc>
                <w:tcPr>
                  <w:tcW w:w="3547" w:type="dxa"/>
                  <w:vAlign w:val="center"/>
                </w:tcPr>
                <w:p>
                  <w:pPr>
                    <w:pStyle w:val="71"/>
                    <w:jc w:val="both"/>
                    <w:rPr>
                      <w:b w:val="0"/>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b w:val="0"/>
                      <w:bCs/>
                      <w:color w:val="000000" w:themeColor="text1"/>
                      <w14:textFill>
                        <w14:solidFill>
                          <w14:schemeClr w14:val="tx1"/>
                        </w14:solidFill>
                      </w14:textFill>
                    </w:rPr>
                    <w:t>废气均经过有效的治理措施处理后</w:t>
                  </w:r>
                  <w:r>
                    <w:rPr>
                      <w:rFonts w:hint="eastAsia"/>
                      <w:b w:val="0"/>
                      <w:bCs/>
                      <w:color w:val="000000" w:themeColor="text1"/>
                      <w14:textFill>
                        <w14:solidFill>
                          <w14:schemeClr w14:val="tx1"/>
                        </w14:solidFill>
                      </w14:textFill>
                    </w:rPr>
                    <w:t>对周围环境影响不大。</w:t>
                  </w:r>
                </w:p>
              </w:tc>
              <w:tc>
                <w:tcPr>
                  <w:tcW w:w="94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单位存放煤炭、煤矸石、煤渣、煤灰等物料，应当采取防燃措施，防止大气污染。</w:t>
                  </w:r>
                </w:p>
              </w:tc>
              <w:tc>
                <w:tcPr>
                  <w:tcW w:w="354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本项目不存放</w:t>
                  </w:r>
                  <w:r>
                    <w:rPr>
                      <w:b w:val="0"/>
                      <w:color w:val="000000" w:themeColor="text1"/>
                      <w14:textFill>
                        <w14:solidFill>
                          <w14:schemeClr w14:val="tx1"/>
                        </w14:solidFill>
                      </w14:textFill>
                    </w:rPr>
                    <w:t>煤炭、煤矸石、煤渣、煤灰等物料</w:t>
                  </w:r>
                  <w:r>
                    <w:rPr>
                      <w:rFonts w:hint="eastAsia"/>
                      <w:b w:val="0"/>
                      <w:color w:val="000000" w:themeColor="text1"/>
                      <w14:textFill>
                        <w14:solidFill>
                          <w14:schemeClr w14:val="tx1"/>
                        </w14:solidFill>
                      </w14:textFill>
                    </w:rPr>
                    <w:t>，车间内设置有消防器材。</w:t>
                  </w:r>
                </w:p>
              </w:tc>
              <w:tc>
                <w:tcPr>
                  <w:tcW w:w="94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在禁燃区内，禁止销售、燃用高污染燃料</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禁止新建、扩建燃用高污染燃料的设施，已建成的，应当在城市人民政府规定的期限内改用天然气、页岩气、液化石油气、电或者其他清洁能源。</w:t>
                  </w:r>
                </w:p>
              </w:tc>
              <w:tc>
                <w:tcPr>
                  <w:tcW w:w="354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本项目位于</w:t>
                  </w:r>
                  <w:r>
                    <w:rPr>
                      <w:b w:val="0"/>
                      <w:color w:val="000000" w:themeColor="text1"/>
                      <w14:textFill>
                        <w14:solidFill>
                          <w14:schemeClr w14:val="tx1"/>
                        </w14:solidFill>
                      </w14:textFill>
                    </w:rPr>
                    <w:t>云南寻甸产业园区金所片区金所组团内</w:t>
                  </w:r>
                  <w:r>
                    <w:rPr>
                      <w:rFonts w:hint="eastAsia"/>
                      <w:b w:val="0"/>
                      <w:color w:val="000000" w:themeColor="text1"/>
                      <w14:textFill>
                        <w14:solidFill>
                          <w14:schemeClr w14:val="tx1"/>
                        </w14:solidFill>
                      </w14:textFill>
                    </w:rPr>
                    <w:t>，不属于禁燃区。</w:t>
                  </w:r>
                </w:p>
              </w:tc>
              <w:tc>
                <w:tcPr>
                  <w:tcW w:w="94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燃煤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tc>
              <w:tc>
                <w:tcPr>
                  <w:tcW w:w="3547" w:type="dxa"/>
                  <w:vMerge w:val="restart"/>
                  <w:vAlign w:val="center"/>
                </w:tcPr>
                <w:p>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为有机肥生产项目，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bCs/>
                      <w:color w:val="000000" w:themeColor="text1"/>
                      <w:szCs w:val="21"/>
                      <w14:textFill>
                        <w14:solidFill>
                          <w14:schemeClr w14:val="tx1"/>
                        </w14:solidFill>
                      </w14:textFill>
                    </w:rPr>
                    <w:t>废气均经过有效的治理措施处理后</w:t>
                  </w:r>
                  <w:r>
                    <w:rPr>
                      <w:rFonts w:hint="eastAsia"/>
                      <w:bCs/>
                      <w:color w:val="000000" w:themeColor="text1"/>
                      <w:szCs w:val="21"/>
                      <w14:textFill>
                        <w14:solidFill>
                          <w14:schemeClr w14:val="tx1"/>
                        </w14:solidFill>
                      </w14:textFill>
                    </w:rPr>
                    <w:t>对周围环境影响不大。</w:t>
                  </w:r>
                </w:p>
              </w:tc>
              <w:tc>
                <w:tcPr>
                  <w:tcW w:w="94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钢铁、建材、有色金属、石油、化工等企业生产过程中排放粉尘、硫化物和氮氧化物的，应当采用清洁生产工艺，配套建设除尘、脱硫、脱硝等装置，或者采取技术改造等其他控制大气污染物排放的措施。</w:t>
                  </w:r>
                </w:p>
              </w:tc>
              <w:tc>
                <w:tcPr>
                  <w:tcW w:w="3547" w:type="dxa"/>
                  <w:vMerge w:val="continue"/>
                  <w:vAlign w:val="center"/>
                </w:tcPr>
                <w:p>
                  <w:pPr>
                    <w:widowControl/>
                    <w:jc w:val="center"/>
                    <w:rPr>
                      <w:color w:val="000000" w:themeColor="text1"/>
                      <w14:textFill>
                        <w14:solidFill>
                          <w14:schemeClr w14:val="tx1"/>
                        </w14:solidFill>
                      </w14:textFill>
                    </w:rPr>
                  </w:pPr>
                </w:p>
              </w:tc>
              <w:tc>
                <w:tcPr>
                  <w:tcW w:w="94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运输煤炭、垃圾、渣土、砂石、土方、灰浆等散装、流体物料的车辆应当采取密闭或者其他措施防止物料遗撒造成扬尘污染，并按照规定路线行驶。装卸物料应当采取密闭或者喷淋等方式防治扬尘污染。</w:t>
                  </w:r>
                </w:p>
              </w:tc>
              <w:tc>
                <w:tcPr>
                  <w:tcW w:w="354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本项目原料运输进场时车辆加盖篷布，为密闭式，按</w:t>
                  </w:r>
                  <w:r>
                    <w:rPr>
                      <w:b w:val="0"/>
                      <w:color w:val="000000" w:themeColor="text1"/>
                      <w14:textFill>
                        <w14:solidFill>
                          <w14:schemeClr w14:val="tx1"/>
                        </w14:solidFill>
                      </w14:textFill>
                    </w:rPr>
                    <w:t>照规定路线行驶</w:t>
                  </w:r>
                  <w:r>
                    <w:rPr>
                      <w:rFonts w:hint="eastAsia"/>
                      <w:b w:val="0"/>
                      <w:color w:val="000000" w:themeColor="text1"/>
                      <w14:textFill>
                        <w14:solidFill>
                          <w14:schemeClr w14:val="tx1"/>
                        </w14:solidFill>
                      </w14:textFill>
                    </w:rPr>
                    <w:t>。卸料在密闭的车间内进行。</w:t>
                  </w:r>
                </w:p>
              </w:tc>
              <w:tc>
                <w:tcPr>
                  <w:tcW w:w="94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33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贮存煤炭、煤矸石、煤渣、煤灰、水泥、石灰、石膏、砂土等易产生扬尘的物料应当密闭</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不能密闭的，应当设置不低于堆放物高度的严密围挡，并采取有效覆盖措施防治扬尘污染。</w:t>
                  </w:r>
                </w:p>
              </w:tc>
              <w:tc>
                <w:tcPr>
                  <w:tcW w:w="354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本项目原料及成品堆场均为全密闭。</w:t>
                  </w:r>
                </w:p>
              </w:tc>
              <w:tc>
                <w:tcPr>
                  <w:tcW w:w="94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bl>
          <w:p>
            <w:pPr>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bCs/>
                <w:color w:val="000000" w:themeColor="text1"/>
                <w:spacing w:val="4"/>
                <w:kern w:val="24"/>
                <w:sz w:val="24"/>
                <w:lang w:bidi="ar"/>
                <w14:textFill>
                  <w14:solidFill>
                    <w14:schemeClr w14:val="tx1"/>
                  </w14:solidFill>
                </w14:textFill>
              </w:rPr>
              <w:t>《</w:t>
            </w:r>
            <w:r>
              <w:rPr>
                <w:rFonts w:hint="eastAsia"/>
                <w:bCs/>
                <w:color w:val="000000" w:themeColor="text1"/>
                <w:spacing w:val="4"/>
                <w:kern w:val="24"/>
                <w:sz w:val="24"/>
                <w:lang w:bidi="ar"/>
                <w14:textFill>
                  <w14:solidFill>
                    <w14:schemeClr w14:val="tx1"/>
                  </w14:solidFill>
                </w14:textFill>
              </w:rPr>
              <w:t>中华人民共和国大气污染防治法</w:t>
            </w:r>
            <w:r>
              <w:rPr>
                <w:bCs/>
                <w:color w:val="000000" w:themeColor="text1"/>
                <w:spacing w:val="4"/>
                <w:kern w:val="24"/>
                <w:sz w:val="24"/>
                <w:lang w:bidi="ar"/>
                <w14:textFill>
                  <w14:solidFill>
                    <w14:schemeClr w14:val="tx1"/>
                  </w14:solidFill>
                </w14:textFill>
              </w:rPr>
              <w:t>》</w:t>
            </w:r>
            <w:r>
              <w:rPr>
                <w:color w:val="000000" w:themeColor="text1"/>
                <w:sz w:val="24"/>
                <w14:textFill>
                  <w14:solidFill>
                    <w14:schemeClr w14:val="tx1"/>
                  </w14:solidFill>
                </w14:textFill>
              </w:rPr>
              <w:t>要求。</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11、</w:t>
            </w:r>
            <w:r>
              <w:rPr>
                <w:b/>
                <w:color w:val="000000" w:themeColor="text1"/>
                <w:sz w:val="24"/>
                <w14:textFill>
                  <w14:solidFill>
                    <w14:schemeClr w14:val="tx1"/>
                  </w14:solidFill>
                </w14:textFill>
              </w:rPr>
              <w:t>选址合理性分析</w:t>
            </w:r>
          </w:p>
          <w:p>
            <w:pPr>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本项目为</w:t>
            </w:r>
            <w:r>
              <w:rPr>
                <w:rFonts w:hint="eastAsia"/>
                <w:color w:val="000000" w:themeColor="text1"/>
                <w:sz w:val="24"/>
                <w14:textFill>
                  <w14:solidFill>
                    <w14:schemeClr w14:val="tx1"/>
                  </w14:solidFill>
                </w14:textFill>
              </w:rPr>
              <w:t>有机肥生产</w:t>
            </w:r>
            <w:r>
              <w:rPr>
                <w:color w:val="000000" w:themeColor="text1"/>
                <w:kern w:val="0"/>
                <w:sz w:val="24"/>
                <w:lang w:bidi="ar"/>
                <w14:textFill>
                  <w14:solidFill>
                    <w14:schemeClr w14:val="tx1"/>
                  </w14:solidFill>
                </w14:textFill>
              </w:rPr>
              <w:t>，位于</w:t>
            </w:r>
            <w:r>
              <w:rPr>
                <w:color w:val="000000" w:themeColor="text1"/>
                <w:sz w:val="24"/>
                <w14:textFill>
                  <w14:solidFill>
                    <w14:schemeClr w14:val="tx1"/>
                  </w14:solidFill>
                </w14:textFill>
              </w:rPr>
              <w:t>云南寻甸产业园区金所片区金所组团内</w:t>
            </w:r>
            <w:r>
              <w:rPr>
                <w:color w:val="000000" w:themeColor="text1"/>
                <w:kern w:val="0"/>
                <w:sz w:val="24"/>
                <w:lang w:bidi="ar"/>
                <w14:textFill>
                  <w14:solidFill>
                    <w14:schemeClr w14:val="tx1"/>
                  </w14:solidFill>
                </w14:textFill>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综上，项目建设场地条件、交通运输、环境保护和水、电、通信等条件好，无重大的环境制约因素，项目选址合理。</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12</w:t>
            </w:r>
            <w:r>
              <w:rPr>
                <w:b/>
                <w:color w:val="000000" w:themeColor="text1"/>
                <w:sz w:val="24"/>
                <w14:textFill>
                  <w14:solidFill>
                    <w14:schemeClr w14:val="tx1"/>
                  </w14:solidFill>
                </w14:textFill>
              </w:rPr>
              <w:t>、环境相容性分析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本项目位于云南省昆明市寻甸县特色产业园区金所片区，项目500m范围内保护目标主要为竹沟村零散居民户。根据分析，项目主要废气污染物为颗粒物</w:t>
            </w:r>
            <w:r>
              <w:rPr>
                <w:rFonts w:hint="eastAsia"/>
                <w:color w:val="000000" w:themeColor="text1"/>
                <w:sz w:val="24"/>
                <w14:textFill>
                  <w14:solidFill>
                    <w14:schemeClr w14:val="tx1"/>
                  </w14:solidFill>
                </w14:textFill>
              </w:rPr>
              <w:t>、异味</w:t>
            </w:r>
            <w:r>
              <w:rPr>
                <w:color w:val="000000" w:themeColor="text1"/>
                <w:sz w:val="24"/>
                <w14:textFill>
                  <w14:solidFill>
                    <w14:schemeClr w14:val="tx1"/>
                  </w14:solidFill>
                </w14:textFill>
              </w:rPr>
              <w:t>，经采取措施治理后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经稀释扩散后对周围环境及环境空气保护目标影响较小。项目运营期噪声采取措施治理后厂界达标，对以上环境保护目标影响可以接受。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根据现场调查，项目周边企业情况见下表：</w:t>
            </w:r>
          </w:p>
          <w:p>
            <w:pPr>
              <w:pStyle w:val="55"/>
              <w:rPr>
                <w:color w:val="000000" w:themeColor="text1"/>
                <w14:textFill>
                  <w14:solidFill>
                    <w14:schemeClr w14:val="tx1"/>
                  </w14:solidFill>
                </w14:textFill>
              </w:rPr>
            </w:pPr>
            <w:r>
              <w:rPr>
                <w:color w:val="000000" w:themeColor="text1"/>
                <w14:textFill>
                  <w14:solidFill>
                    <w14:schemeClr w14:val="tx1"/>
                  </w14:solidFill>
                </w14:textFill>
              </w:rPr>
              <w:t>表1-1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本项目周边企业情况一览表</w:t>
            </w:r>
          </w:p>
          <w:tbl>
            <w:tblPr>
              <w:tblStyle w:val="23"/>
              <w:tblW w:w="76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383"/>
              <w:gridCol w:w="168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序号</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名称</w:t>
                  </w:r>
                </w:p>
              </w:tc>
              <w:tc>
                <w:tcPr>
                  <w:tcW w:w="16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方位</w:t>
                  </w:r>
                </w:p>
              </w:tc>
              <w:tc>
                <w:tcPr>
                  <w:tcW w:w="1810"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①</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云南建工云岭水泥有限公司</w:t>
                  </w:r>
                </w:p>
              </w:tc>
              <w:tc>
                <w:tcPr>
                  <w:tcW w:w="168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项目租用其厂房</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②</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云南南磷集团寻甸麟电有限公司</w:t>
                  </w:r>
                </w:p>
              </w:tc>
              <w:tc>
                <w:tcPr>
                  <w:tcW w:w="168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南</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③</w:t>
                  </w:r>
                </w:p>
              </w:tc>
              <w:tc>
                <w:tcPr>
                  <w:tcW w:w="3383"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昆明东屹峰商贸有限公司</w:t>
                  </w:r>
                </w:p>
              </w:tc>
              <w:tc>
                <w:tcPr>
                  <w:tcW w:w="168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北</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④</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云南</w:t>
                  </w:r>
                  <w:r>
                    <w:rPr>
                      <w:rFonts w:hint="eastAsia"/>
                      <w:b w:val="0"/>
                      <w:color w:val="000000" w:themeColor="text1"/>
                      <w14:textFill>
                        <w14:solidFill>
                          <w14:schemeClr w14:val="tx1"/>
                        </w14:solidFill>
                      </w14:textFill>
                    </w:rPr>
                    <w:t>寻甸宏盛</w:t>
                  </w:r>
                  <w:r>
                    <w:rPr>
                      <w:b w:val="0"/>
                      <w:color w:val="000000" w:themeColor="text1"/>
                      <w14:textFill>
                        <w14:solidFill>
                          <w14:schemeClr w14:val="tx1"/>
                        </w14:solidFill>
                      </w14:textFill>
                    </w:rPr>
                    <w:t>公司</w:t>
                  </w:r>
                </w:p>
              </w:tc>
              <w:tc>
                <w:tcPr>
                  <w:tcW w:w="16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东</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⑤</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云南先锋化工有限公司</w:t>
                  </w:r>
                </w:p>
              </w:tc>
              <w:tc>
                <w:tcPr>
                  <w:tcW w:w="16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东</w:t>
                  </w:r>
                  <w:r>
                    <w:rPr>
                      <w:rFonts w:hint="eastAsia"/>
                      <w:b w:val="0"/>
                      <w:color w:val="000000" w:themeColor="text1"/>
                      <w14:textFill>
                        <w14:solidFill>
                          <w14:schemeClr w14:val="tx1"/>
                        </w14:solidFill>
                      </w14:textFill>
                    </w:rPr>
                    <w:t>北</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9"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⑥</w:t>
                  </w:r>
                </w:p>
              </w:tc>
              <w:tc>
                <w:tcPr>
                  <w:tcW w:w="3383"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中化云龙有限公司</w:t>
                  </w:r>
                </w:p>
              </w:tc>
              <w:tc>
                <w:tcPr>
                  <w:tcW w:w="168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东南</w:t>
                  </w:r>
                </w:p>
              </w:tc>
              <w:tc>
                <w:tcPr>
                  <w:tcW w:w="1810"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660</w:t>
                  </w:r>
                </w:p>
              </w:tc>
            </w:tr>
          </w:tbl>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项目周边企业情况调查可知，周围的企业对本项目无制约性因素。根据工程分析，</w:t>
            </w:r>
            <w:r>
              <w:rPr>
                <w:color w:val="000000" w:themeColor="text1"/>
                <w:sz w:val="24"/>
                <w:lang w:val="zh-CN"/>
                <w14:textFill>
                  <w14:solidFill>
                    <w14:schemeClr w14:val="tx1"/>
                  </w14:solidFill>
                </w14:textFill>
              </w:rPr>
              <w:t>项目</w:t>
            </w:r>
            <w:r>
              <w:rPr>
                <w:color w:val="000000" w:themeColor="text1"/>
                <w:sz w:val="24"/>
                <w14:textFill>
                  <w14:solidFill>
                    <w14:schemeClr w14:val="tx1"/>
                  </w14:solidFill>
                </w14:textFill>
              </w:rPr>
              <w:t>产生的</w:t>
            </w:r>
            <w:r>
              <w:rPr>
                <w:color w:val="000000" w:themeColor="text1"/>
                <w:sz w:val="24"/>
                <w:lang w:val="zh-CN"/>
                <w14:textFill>
                  <w14:solidFill>
                    <w14:schemeClr w14:val="tx1"/>
                  </w14:solidFill>
                </w14:textFill>
              </w:rPr>
              <w:t>噪声、废气、</w:t>
            </w:r>
            <w:r>
              <w:rPr>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均能达标排放，</w:t>
            </w:r>
            <w:r>
              <w:rPr>
                <w:color w:val="000000" w:themeColor="text1"/>
                <w:sz w:val="24"/>
                <w14:textFill>
                  <w14:solidFill>
                    <w14:schemeClr w14:val="tx1"/>
                  </w14:solidFill>
                </w14:textFill>
              </w:rPr>
              <w:t>固体废物100%合理处置，</w:t>
            </w:r>
            <w:r>
              <w:rPr>
                <w:color w:val="000000" w:themeColor="text1"/>
                <w:sz w:val="24"/>
                <w:lang w:val="zh-CN"/>
                <w14:textFill>
                  <w14:solidFill>
                    <w14:schemeClr w14:val="tx1"/>
                  </w14:solidFill>
                </w14:textFill>
              </w:rPr>
              <w:t>项目的生产对周围企业的影响不大。</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综上所述，本项目与</w:t>
            </w:r>
            <w:r>
              <w:rPr>
                <w:color w:val="000000" w:themeColor="text1"/>
                <w:sz w:val="24"/>
                <w14:textFill>
                  <w14:solidFill>
                    <w14:schemeClr w14:val="tx1"/>
                  </w14:solidFill>
                </w14:textFill>
              </w:rPr>
              <w:t>周边</w:t>
            </w:r>
            <w:r>
              <w:rPr>
                <w:color w:val="000000" w:themeColor="text1"/>
                <w:sz w:val="24"/>
                <w:lang w:val="zh-CN"/>
                <w14:textFill>
                  <w14:solidFill>
                    <w14:schemeClr w14:val="tx1"/>
                  </w14:solidFill>
                </w14:textFill>
              </w:rPr>
              <w:t>环境是相容的。</w:t>
            </w:r>
          </w:p>
          <w:p>
            <w:pPr>
              <w:pStyle w:val="2"/>
              <w:rPr>
                <w:lang w:val="zh-CN"/>
              </w:rPr>
            </w:pPr>
          </w:p>
          <w:p>
            <w:pPr>
              <w:rPr>
                <w:lang w:val="zh-CN"/>
              </w:rPr>
            </w:pPr>
          </w:p>
          <w:p>
            <w:pPr>
              <w:pStyle w:val="2"/>
              <w:rPr>
                <w:lang w:val="zh-CN"/>
              </w:rPr>
            </w:pPr>
          </w:p>
          <w:p>
            <w:pPr>
              <w:rPr>
                <w:lang w:val="zh-CN"/>
              </w:rPr>
            </w:pPr>
          </w:p>
          <w:p>
            <w:pPr>
              <w:rPr>
                <w:lang w:val="zh-CN"/>
              </w:rPr>
            </w:pPr>
          </w:p>
          <w:p>
            <w:pPr>
              <w:pStyle w:val="2"/>
              <w:rPr>
                <w:lang w:val="zh-CN"/>
              </w:rPr>
            </w:pPr>
          </w:p>
          <w:p>
            <w:pPr>
              <w:rPr>
                <w:lang w:val="zh-CN"/>
              </w:rPr>
            </w:pPr>
          </w:p>
          <w:p>
            <w:pPr>
              <w:pStyle w:val="2"/>
              <w:rPr>
                <w:lang w:val="zh-CN"/>
              </w:rPr>
            </w:pPr>
          </w:p>
          <w:p>
            <w:pPr>
              <w:rPr>
                <w:lang w:val="zh-CN"/>
              </w:rPr>
            </w:pPr>
          </w:p>
          <w:p>
            <w:pPr>
              <w:pStyle w:val="2"/>
              <w:rPr>
                <w:lang w:val="zh-CN"/>
              </w:rPr>
            </w:pPr>
          </w:p>
          <w:p>
            <w:pPr>
              <w:rPr>
                <w:lang w:val="zh-CN"/>
              </w:rPr>
            </w:pPr>
          </w:p>
          <w:p>
            <w:pPr>
              <w:pStyle w:val="2"/>
              <w:rPr>
                <w:lang w:val="zh-CN"/>
              </w:rPr>
            </w:pPr>
          </w:p>
          <w:p>
            <w:pPr>
              <w:rPr>
                <w:lang w:val="zh-CN"/>
              </w:rPr>
            </w:pPr>
          </w:p>
          <w:p>
            <w:pPr>
              <w:pStyle w:val="2"/>
              <w:rPr>
                <w:lang w:val="zh-CN"/>
              </w:rPr>
            </w:pPr>
          </w:p>
        </w:tc>
      </w:tr>
    </w:tbl>
    <w:p>
      <w:pPr>
        <w:spacing w:line="360" w:lineRule="auto"/>
        <w:rPr>
          <w:rFonts w:eastAsia="黑体"/>
          <w:color w:val="000000" w:themeColor="text1"/>
          <w:sz w:val="30"/>
          <w14:textFill>
            <w14:solidFill>
              <w14:schemeClr w14:val="tx1"/>
            </w14:solidFill>
          </w14:textFill>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1" w:name="_Toc21940"/>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11"/>
    </w:p>
    <w:tbl>
      <w:tblPr>
        <w:tblStyle w:val="23"/>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8161" w:type="dxa"/>
          </w:tcPr>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一、项目由来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有机肥主要指农业废弃物经有益微生物发酵、加工而成的肥料，其富含有机物和作物生长所需营养元素，不仅提供作物质所需养分，还可以改良土壤、提高肥料利用率、降低农业生产成本，施用有机肥可有效避免土壤理化性质退化，因此，推广有机肥料，符合“加快建设资源节约、环境友好型社会”的要求，对促进农业资源循环利用、农业与环境以及人与自然和谐友好发展，从源头上促进农产品安全、保护生态环境都有重要意义。为此青思生物科技（寻甸）有限责任公司拟租用云南建工云岭水泥有限公司厂房，建设《青思生物科技（寻甸）有限责任公司泥煤、草炭、磷矿石浮选尾矿综合利用项目》。本项目利用草炭（泥煤）、锯木屑、发酵菌剂、尿素、磷矿石浮选尾矿等作为原材料生产有机肥，不仅可以缓解化肥资源的建设短缺，改善土地板结化、提高农作物的品质和产量，还可以实现资源化利用、清洁生产和农业内资源的循环利用，推动生态农业建设的健康发展。因此本项目的建设具有显著的生态环境效益、社会效益和经济效益。</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云南建工云岭水泥有限公司已建厂房进行建设，建设内容包括原料库、生产区、成品库及配套环保设施等。项目2025年12月26日取得云南寻甸产业园区管理委员会出具的入园申请同意书，2025年10月24日取得了寻甸县发展和改革局核发的项目备案证，项目代码为：2510-530129-04-01-685356。根据《备案证》，项目分两期进行建设，一期建设年产5万吨有机肥生产线，二期建设年产5万吨中量元素有机肥生产线，总规模为10万吨有机肥。根据建设单位实际需求，本项目不进行分期建设，两期项目一次建成并投产运行。</w:t>
            </w:r>
          </w:p>
          <w:p>
            <w:pPr>
              <w:spacing w:line="360" w:lineRule="auto"/>
              <w:ind w:firstLine="480" w:firstLineChars="200"/>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二十三、化学原料和化学制品制造业26、45肥料制造262”，需编制环境影响报告表。</w:t>
            </w:r>
          </w:p>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二</w:t>
            </w:r>
            <w:r>
              <w:rPr>
                <w:b/>
                <w:color w:val="000000" w:themeColor="text1"/>
                <w:sz w:val="24"/>
                <w14:textFill>
                  <w14:solidFill>
                    <w14:schemeClr w14:val="tx1"/>
                  </w14:solidFill>
                </w14:textFill>
              </w:rPr>
              <w:t>、建设内容</w:t>
            </w:r>
          </w:p>
          <w:p>
            <w:pPr>
              <w:widowControl/>
              <w:autoSpaceDE w:val="0"/>
              <w:autoSpaceDN w:val="0"/>
              <w:snapToGrid w:val="0"/>
              <w:spacing w:line="360" w:lineRule="auto"/>
              <w:ind w:firstLine="480" w:firstLineChars="200"/>
              <w:jc w:val="left"/>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总占地面积4014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，包含2幢生产厂房，西侧厂房建筑面积3024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，东侧厂房建筑面积990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，主要利用已建建筑建成包括原料库、生产区、成品库及配套环保设施等，办公生活设施依托云南建工云岭水泥有限公司已建的配套设施。</w:t>
            </w:r>
            <w:r>
              <w:rPr>
                <w:bCs/>
                <w:color w:val="000000" w:themeColor="text1"/>
                <w:sz w:val="24"/>
                <w14:textFill>
                  <w14:solidFill>
                    <w14:schemeClr w14:val="tx1"/>
                  </w14:solidFill>
                </w14:textFill>
              </w:rPr>
              <w:t>建设内容包含主体工程、辅助工程、公用工程和环保工程，建设内容详见下表。</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表2-1  工程建设内容表</w:t>
            </w:r>
          </w:p>
          <w:tbl>
            <w:tblPr>
              <w:tblStyle w:val="23"/>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73"/>
              <w:gridCol w:w="1304"/>
              <w:gridCol w:w="4405"/>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Align w:val="center"/>
                </w:tcPr>
                <w:p>
                  <w:pPr>
                    <w:jc w:val="center"/>
                    <w:outlineLvl w:val="0"/>
                    <w:rPr>
                      <w:b/>
                      <w:bCs/>
                      <w:color w:val="000000" w:themeColor="text1"/>
                      <w:szCs w:val="21"/>
                      <w14:textFill>
                        <w14:solidFill>
                          <w14:schemeClr w14:val="tx1"/>
                        </w14:solidFill>
                      </w14:textFill>
                    </w:rPr>
                  </w:pPr>
                  <w:bookmarkStart w:id="12" w:name="_Toc31508"/>
                  <w:r>
                    <w:rPr>
                      <w:b/>
                      <w:bCs/>
                      <w:color w:val="000000" w:themeColor="text1"/>
                      <w:szCs w:val="21"/>
                      <w14:textFill>
                        <w14:solidFill>
                          <w14:schemeClr w14:val="tx1"/>
                        </w14:solidFill>
                      </w14:textFill>
                    </w:rPr>
                    <w:t>工程</w:t>
                  </w:r>
                  <w:bookmarkEnd w:id="12"/>
                </w:p>
                <w:p>
                  <w:pPr>
                    <w:jc w:val="center"/>
                    <w:outlineLvl w:val="0"/>
                    <w:rPr>
                      <w:b/>
                      <w:bCs/>
                      <w:color w:val="000000" w:themeColor="text1"/>
                      <w:szCs w:val="21"/>
                      <w14:textFill>
                        <w14:solidFill>
                          <w14:schemeClr w14:val="tx1"/>
                        </w14:solidFill>
                      </w14:textFill>
                    </w:rPr>
                  </w:pPr>
                  <w:bookmarkStart w:id="13" w:name="_Toc24910"/>
                  <w:r>
                    <w:rPr>
                      <w:b/>
                      <w:bCs/>
                      <w:color w:val="000000" w:themeColor="text1"/>
                      <w:szCs w:val="21"/>
                      <w14:textFill>
                        <w14:solidFill>
                          <w14:schemeClr w14:val="tx1"/>
                        </w14:solidFill>
                      </w14:textFill>
                    </w:rPr>
                    <w:t>类别</w:t>
                  </w:r>
                  <w:bookmarkEnd w:id="13"/>
                </w:p>
              </w:tc>
              <w:tc>
                <w:tcPr>
                  <w:tcW w:w="1977" w:type="dxa"/>
                  <w:gridSpan w:val="2"/>
                  <w:vAlign w:val="center"/>
                </w:tcPr>
                <w:p>
                  <w:pPr>
                    <w:jc w:val="center"/>
                    <w:outlineLvl w:val="0"/>
                    <w:rPr>
                      <w:b/>
                      <w:bCs/>
                      <w:color w:val="000000" w:themeColor="text1"/>
                      <w:szCs w:val="21"/>
                      <w14:textFill>
                        <w14:solidFill>
                          <w14:schemeClr w14:val="tx1"/>
                        </w14:solidFill>
                      </w14:textFill>
                    </w:rPr>
                  </w:pPr>
                  <w:bookmarkStart w:id="14" w:name="_Toc13699"/>
                  <w:r>
                    <w:rPr>
                      <w:b/>
                      <w:bCs/>
                      <w:color w:val="000000" w:themeColor="text1"/>
                      <w:szCs w:val="21"/>
                      <w14:textFill>
                        <w14:solidFill>
                          <w14:schemeClr w14:val="tx1"/>
                        </w14:solidFill>
                      </w14:textFill>
                    </w:rPr>
                    <w:t>工程名称</w:t>
                  </w:r>
                  <w:bookmarkEnd w:id="14"/>
                </w:p>
              </w:tc>
              <w:tc>
                <w:tcPr>
                  <w:tcW w:w="4405" w:type="dxa"/>
                  <w:vAlign w:val="center"/>
                </w:tcPr>
                <w:p>
                  <w:pPr>
                    <w:jc w:val="center"/>
                    <w:outlineLvl w:val="0"/>
                    <w:rPr>
                      <w:b/>
                      <w:bCs/>
                      <w:color w:val="000000" w:themeColor="text1"/>
                      <w:szCs w:val="21"/>
                      <w14:textFill>
                        <w14:solidFill>
                          <w14:schemeClr w14:val="tx1"/>
                        </w14:solidFill>
                      </w14:textFill>
                    </w:rPr>
                  </w:pPr>
                  <w:bookmarkStart w:id="15" w:name="_Toc18027"/>
                  <w:r>
                    <w:rPr>
                      <w:b/>
                      <w:bCs/>
                      <w:color w:val="000000" w:themeColor="text1"/>
                      <w:szCs w:val="21"/>
                      <w14:textFill>
                        <w14:solidFill>
                          <w14:schemeClr w14:val="tx1"/>
                        </w14:solidFill>
                      </w14:textFill>
                    </w:rPr>
                    <w:t>工程内容</w:t>
                  </w:r>
                  <w:bookmarkEnd w:id="15"/>
                </w:p>
              </w:tc>
              <w:tc>
                <w:tcPr>
                  <w:tcW w:w="799" w:type="dxa"/>
                  <w:vAlign w:val="center"/>
                </w:tcPr>
                <w:p>
                  <w:pPr>
                    <w:jc w:val="center"/>
                    <w:outlineLvl w:val="0"/>
                    <w:rPr>
                      <w:b/>
                      <w:bCs/>
                      <w:color w:val="000000" w:themeColor="text1"/>
                      <w:szCs w:val="21"/>
                      <w14:textFill>
                        <w14:solidFill>
                          <w14:schemeClr w14:val="tx1"/>
                        </w14:solidFill>
                      </w14:textFill>
                    </w:rPr>
                  </w:pPr>
                  <w:bookmarkStart w:id="16" w:name="_Toc17548"/>
                  <w:r>
                    <w:rPr>
                      <w:b/>
                      <w:bCs/>
                      <w:color w:val="000000" w:themeColor="text1"/>
                      <w:szCs w:val="21"/>
                      <w14:textFill>
                        <w14:solidFill>
                          <w14:schemeClr w14:val="tx1"/>
                        </w14:solidFill>
                      </w14:textFill>
                    </w:rPr>
                    <w:t>备注</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754" w:type="dxa"/>
                  <w:vMerge w:val="restart"/>
                  <w:vAlign w:val="center"/>
                </w:tcPr>
                <w:p>
                  <w:pPr>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主体工程</w:t>
                  </w:r>
                </w:p>
              </w:tc>
              <w:tc>
                <w:tcPr>
                  <w:tcW w:w="673"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生产厂房（西区）</w:t>
                  </w: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440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原料库位于西区生产厂房的西面，占地面积1000m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，轻钢结构H=8m/1F，主要用于分区堆存原料。</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754" w:type="dxa"/>
                  <w:vMerge w:val="continue"/>
                  <w:vAlign w:val="center"/>
                </w:tcPr>
                <w:p>
                  <w:pPr>
                    <w:jc w:val="center"/>
                    <w:rPr>
                      <w:color w:val="000000" w:themeColor="text1"/>
                      <w:szCs w:val="21"/>
                      <w14:textFill>
                        <w14:solidFill>
                          <w14:schemeClr w14:val="tx1"/>
                        </w14:solidFill>
                      </w14:textFill>
                    </w:rPr>
                  </w:pPr>
                </w:p>
              </w:tc>
              <w:tc>
                <w:tcPr>
                  <w:tcW w:w="673" w:type="dxa"/>
                  <w:vMerge w:val="continue"/>
                  <w:vAlign w:val="center"/>
                </w:tcPr>
                <w:p>
                  <w:pPr>
                    <w:jc w:val="center"/>
                    <w:rPr>
                      <w:color w:val="000000" w:themeColor="text1"/>
                      <w:szCs w:val="21"/>
                      <w14:textFill>
                        <w14:solidFill>
                          <w14:schemeClr w14:val="tx1"/>
                        </w14:solidFill>
                      </w14:textFill>
                    </w:rPr>
                  </w:pP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拌合区</w:t>
                  </w:r>
                </w:p>
              </w:tc>
              <w:tc>
                <w:tcPr>
                  <w:tcW w:w="440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拌合区位于西区生产厂房的中部，占地面积1000m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，轻钢结构H=8m/1F，主要用于草炭、锯木屑的拌合。</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754" w:type="dxa"/>
                  <w:vMerge w:val="continue"/>
                  <w:vAlign w:val="center"/>
                </w:tcPr>
                <w:p>
                  <w:pPr>
                    <w:jc w:val="center"/>
                    <w:rPr>
                      <w:color w:val="000000" w:themeColor="text1"/>
                      <w:szCs w:val="21"/>
                      <w14:textFill>
                        <w14:solidFill>
                          <w14:schemeClr w14:val="tx1"/>
                        </w14:solidFill>
                      </w14:textFill>
                    </w:rPr>
                  </w:pPr>
                </w:p>
              </w:tc>
              <w:tc>
                <w:tcPr>
                  <w:tcW w:w="673" w:type="dxa"/>
                  <w:vMerge w:val="continue"/>
                  <w:vAlign w:val="center"/>
                </w:tcPr>
                <w:p>
                  <w:pPr>
                    <w:jc w:val="center"/>
                    <w:rPr>
                      <w:color w:val="000000" w:themeColor="text1"/>
                      <w:szCs w:val="21"/>
                      <w14:textFill>
                        <w14:solidFill>
                          <w14:schemeClr w14:val="tx1"/>
                        </w14:solidFill>
                      </w14:textFill>
                    </w:rPr>
                  </w:pP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发酵区</w:t>
                  </w:r>
                </w:p>
              </w:tc>
              <w:tc>
                <w:tcPr>
                  <w:tcW w:w="440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发酵区位于西区生产厂房的东部，拌合区的东侧，占地面积1014m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w:t>
                  </w:r>
                  <w:r>
                    <w:rPr>
                      <w:color w:val="000000" w:themeColor="text1"/>
                      <w:szCs w:val="21"/>
                      <w14:textFill>
                        <w14:solidFill>
                          <w14:schemeClr w14:val="tx1"/>
                        </w14:solidFill>
                      </w14:textFill>
                    </w:rPr>
                    <w:t>车间内设置有机肥</w:t>
                  </w:r>
                  <w:r>
                    <w:rPr>
                      <w:rFonts w:hint="eastAsia"/>
                      <w:color w:val="000000" w:themeColor="text1"/>
                      <w:szCs w:val="21"/>
                      <w14:textFill>
                        <w14:solidFill>
                          <w14:schemeClr w14:val="tx1"/>
                        </w14:solidFill>
                      </w14:textFill>
                    </w:rPr>
                    <w:t>、</w:t>
                  </w:r>
                  <w:r>
                    <w:rPr>
                      <w:rFonts w:hint="eastAsia"/>
                      <w:color w:val="000000" w:themeColor="text1"/>
                      <w:spacing w:val="-2"/>
                      <w:kern w:val="0"/>
                      <w:szCs w:val="21"/>
                      <w:lang w:bidi="ar"/>
                      <w14:textFill>
                        <w14:solidFill>
                          <w14:schemeClr w14:val="tx1"/>
                        </w14:solidFill>
                      </w14:textFill>
                    </w:rPr>
                    <w:t>中量元素有机肥</w:t>
                  </w:r>
                  <w:r>
                    <w:rPr>
                      <w:color w:val="000000" w:themeColor="text1"/>
                      <w:szCs w:val="21"/>
                      <w14:textFill>
                        <w14:solidFill>
                          <w14:schemeClr w14:val="tx1"/>
                        </w14:solidFill>
                      </w14:textFill>
                    </w:rPr>
                    <w:t>生产线</w:t>
                  </w:r>
                  <w:r>
                    <w:rPr>
                      <w:rFonts w:hint="eastAsia"/>
                      <w:color w:val="000000" w:themeColor="text1"/>
                      <w:szCs w:val="21"/>
                      <w14:textFill>
                        <w14:solidFill>
                          <w14:schemeClr w14:val="tx1"/>
                        </w14:solidFill>
                      </w14:textFill>
                    </w:rPr>
                    <w:t>各</w:t>
                  </w:r>
                  <w:r>
                    <w:rPr>
                      <w:color w:val="000000" w:themeColor="text1"/>
                      <w:szCs w:val="21"/>
                      <w14:textFill>
                        <w14:solidFill>
                          <w14:schemeClr w14:val="tx1"/>
                        </w14:solidFill>
                      </w14:textFill>
                    </w:rPr>
                    <w:t>一条</w:t>
                  </w:r>
                  <w:r>
                    <w:rPr>
                      <w:rFonts w:hint="eastAsia"/>
                      <w:color w:val="000000" w:themeColor="text1"/>
                      <w:szCs w:val="21"/>
                      <w14:textFill>
                        <w14:solidFill>
                          <w14:schemeClr w14:val="tx1"/>
                        </w14:solidFill>
                      </w14:textFill>
                    </w:rPr>
                    <w:t>，原料混合后在发酵车间进行发酵。</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pStyle w:val="13"/>
                    <w:rPr>
                      <w:rFonts w:ascii="Times New Roman" w:hAnsi="Times New Roman"/>
                      <w:b/>
                      <w:bCs/>
                      <w:color w:val="000000" w:themeColor="text1"/>
                      <w:szCs w:val="21"/>
                      <w14:textFill>
                        <w14:solidFill>
                          <w14:schemeClr w14:val="tx1"/>
                        </w14:solidFill>
                      </w14:textFill>
                    </w:rPr>
                  </w:pPr>
                </w:p>
              </w:tc>
              <w:tc>
                <w:tcPr>
                  <w:tcW w:w="673"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生产厂房（东区）</w:t>
                  </w: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混合区</w:t>
                  </w:r>
                </w:p>
              </w:tc>
              <w:tc>
                <w:tcPr>
                  <w:tcW w:w="4405" w:type="dxa"/>
                  <w:vAlign w:val="center"/>
                </w:tcPr>
                <w:p>
                  <w:pP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混合区位于东区生产厂房的北部，占地面积245m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，轻钢结构H=8m/1F，主要用于发酵腐熟后的物料与尾矿的拌合。</w:t>
                  </w:r>
                </w:p>
              </w:tc>
              <w:tc>
                <w:tcPr>
                  <w:tcW w:w="799"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pStyle w:val="13"/>
                    <w:rPr>
                      <w:rFonts w:ascii="Times New Roman" w:hAnsi="Times New Roman"/>
                      <w:color w:val="000000" w:themeColor="text1"/>
                      <w14:textFill>
                        <w14:solidFill>
                          <w14:schemeClr w14:val="tx1"/>
                        </w14:solidFill>
                      </w14:textFill>
                    </w:rPr>
                  </w:pPr>
                </w:p>
              </w:tc>
              <w:tc>
                <w:tcPr>
                  <w:tcW w:w="673" w:type="dxa"/>
                  <w:vMerge w:val="continue"/>
                  <w:vAlign w:val="center"/>
                </w:tcPr>
                <w:p>
                  <w:pPr>
                    <w:jc w:val="center"/>
                    <w:outlineLvl w:val="0"/>
                    <w:rPr>
                      <w:color w:val="000000" w:themeColor="text1"/>
                      <w:szCs w:val="21"/>
                      <w14:textFill>
                        <w14:solidFill>
                          <w14:schemeClr w14:val="tx1"/>
                        </w14:solidFill>
                      </w14:textFill>
                    </w:rPr>
                  </w:pPr>
                </w:p>
              </w:tc>
              <w:tc>
                <w:tcPr>
                  <w:tcW w:w="1304"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包装区</w:t>
                  </w:r>
                </w:p>
              </w:tc>
              <w:tc>
                <w:tcPr>
                  <w:tcW w:w="4405"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包装区位于东区生产厂房的中部，混合区南面，占地面积245m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，轻钢结构H=8m/1F，主要用于混合区拌合后产品的包装。</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pStyle w:val="13"/>
                    <w:rPr>
                      <w:rFonts w:ascii="Times New Roman" w:hAnsi="Times New Roman"/>
                      <w:color w:val="000000" w:themeColor="text1"/>
                      <w14:textFill>
                        <w14:solidFill>
                          <w14:schemeClr w14:val="tx1"/>
                        </w14:solidFill>
                      </w14:textFill>
                    </w:rPr>
                  </w:pPr>
                </w:p>
              </w:tc>
              <w:tc>
                <w:tcPr>
                  <w:tcW w:w="673" w:type="dxa"/>
                  <w:vMerge w:val="continue"/>
                  <w:vAlign w:val="center"/>
                </w:tcPr>
                <w:p>
                  <w:pPr>
                    <w:jc w:val="center"/>
                    <w:outlineLvl w:val="0"/>
                    <w:rPr>
                      <w:color w:val="000000" w:themeColor="text1"/>
                      <w:szCs w:val="21"/>
                      <w14:textFill>
                        <w14:solidFill>
                          <w14:schemeClr w14:val="tx1"/>
                        </w14:solidFill>
                      </w14:textFill>
                    </w:rPr>
                  </w:pPr>
                </w:p>
              </w:tc>
              <w:tc>
                <w:tcPr>
                  <w:tcW w:w="1304"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车辆周转区</w:t>
                  </w:r>
                </w:p>
              </w:tc>
              <w:tc>
                <w:tcPr>
                  <w:tcW w:w="4405"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车辆周转区位于东区生产厂房的中部，包装区南面，占地面积245m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，轻钢结构H=8m/1F，主要用于车辆的装卸和周转。</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pStyle w:val="13"/>
                    <w:rPr>
                      <w:rFonts w:ascii="Times New Roman" w:hAnsi="Times New Roman"/>
                      <w:color w:val="000000" w:themeColor="text1"/>
                      <w14:textFill>
                        <w14:solidFill>
                          <w14:schemeClr w14:val="tx1"/>
                        </w14:solidFill>
                      </w14:textFill>
                    </w:rPr>
                  </w:pPr>
                </w:p>
              </w:tc>
              <w:tc>
                <w:tcPr>
                  <w:tcW w:w="673" w:type="dxa"/>
                  <w:vMerge w:val="continue"/>
                  <w:vAlign w:val="center"/>
                </w:tcPr>
                <w:p>
                  <w:pPr>
                    <w:jc w:val="center"/>
                    <w:outlineLvl w:val="0"/>
                    <w:rPr>
                      <w:color w:val="000000" w:themeColor="text1"/>
                      <w:szCs w:val="21"/>
                      <w14:textFill>
                        <w14:solidFill>
                          <w14:schemeClr w14:val="tx1"/>
                        </w14:solidFill>
                      </w14:textFill>
                    </w:rPr>
                  </w:pPr>
                </w:p>
              </w:tc>
              <w:tc>
                <w:tcPr>
                  <w:tcW w:w="1304"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w:t>
                  </w:r>
                </w:p>
              </w:tc>
              <w:tc>
                <w:tcPr>
                  <w:tcW w:w="4405"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成品库位于东区生产厂房的南部，占地面积255m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，轻钢结构H=8m/1F，主要用于分区堆放成品待售。</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restart"/>
                  <w:vAlign w:val="center"/>
                </w:tcPr>
                <w:p>
                  <w:pPr>
                    <w:jc w:val="center"/>
                    <w:outlineLvl w:val="0"/>
                    <w:rPr>
                      <w:b/>
                      <w:bCs/>
                      <w:color w:val="000000" w:themeColor="text1"/>
                      <w:szCs w:val="21"/>
                      <w14:textFill>
                        <w14:solidFill>
                          <w14:schemeClr w14:val="tx1"/>
                        </w14:solidFill>
                      </w14:textFill>
                    </w:rPr>
                  </w:pPr>
                  <w:bookmarkStart w:id="17" w:name="_Toc14473"/>
                  <w:r>
                    <w:rPr>
                      <w:b/>
                      <w:bCs/>
                      <w:color w:val="000000" w:themeColor="text1"/>
                      <w:szCs w:val="21"/>
                      <w14:textFill>
                        <w14:solidFill>
                          <w14:schemeClr w14:val="tx1"/>
                        </w14:solidFill>
                      </w14:textFill>
                    </w:rPr>
                    <w:t>辅助工程</w:t>
                  </w:r>
                  <w:bookmarkEnd w:id="17"/>
                </w:p>
              </w:tc>
              <w:tc>
                <w:tcPr>
                  <w:tcW w:w="1977" w:type="dxa"/>
                  <w:gridSpan w:val="2"/>
                  <w:shd w:val="clear" w:color="auto" w:fill="auto"/>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办公</w:t>
                  </w:r>
                  <w:r>
                    <w:rPr>
                      <w:rFonts w:hint="eastAsia"/>
                      <w:color w:val="000000" w:themeColor="text1"/>
                      <w:kern w:val="0"/>
                      <w:szCs w:val="21"/>
                      <w14:textFill>
                        <w14:solidFill>
                          <w14:schemeClr w14:val="tx1"/>
                        </w14:solidFill>
                      </w14:textFill>
                    </w:rPr>
                    <w:t>生活区</w:t>
                  </w:r>
                </w:p>
              </w:tc>
              <w:tc>
                <w:tcPr>
                  <w:tcW w:w="440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项目区不设置办公生活区，依托云南建工云岭水泥有限公司已建的配套设施，位于项目东区生产厂房的东面150m处，</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4幢5层的砖混</w:t>
                  </w:r>
                  <w:r>
                    <w:rPr>
                      <w:color w:val="000000" w:themeColor="text1"/>
                      <w:szCs w:val="21"/>
                      <w14:textFill>
                        <w14:solidFill>
                          <w14:schemeClr w14:val="tx1"/>
                        </w14:solidFill>
                      </w14:textFill>
                    </w:rPr>
                    <w:t>结构，包含办公室</w:t>
                  </w:r>
                  <w:r>
                    <w:rPr>
                      <w:rFonts w:hint="eastAsia"/>
                      <w:color w:val="000000" w:themeColor="text1"/>
                      <w:szCs w:val="21"/>
                      <w14:textFill>
                        <w14:solidFill>
                          <w14:schemeClr w14:val="tx1"/>
                        </w14:solidFill>
                      </w14:textFill>
                    </w:rPr>
                    <w:t>、食堂</w:t>
                  </w:r>
                  <w:r>
                    <w:rPr>
                      <w:color w:val="000000" w:themeColor="text1"/>
                      <w:szCs w:val="21"/>
                      <w14:textFill>
                        <w14:solidFill>
                          <w14:schemeClr w14:val="tx1"/>
                        </w14:solidFill>
                      </w14:textFill>
                    </w:rPr>
                    <w:t>等</w:t>
                  </w:r>
                  <w:r>
                    <w:rPr>
                      <w:rFonts w:hint="eastAsia"/>
                      <w:color w:val="000000" w:themeColor="text1"/>
                      <w:szCs w:val="21"/>
                      <w14:textFill>
                        <w14:solidFill>
                          <w14:schemeClr w14:val="tx1"/>
                        </w14:solidFill>
                      </w14:textFill>
                    </w:rPr>
                    <w:t>。</w:t>
                  </w:r>
                </w:p>
              </w:tc>
              <w:tc>
                <w:tcPr>
                  <w:tcW w:w="79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1977" w:type="dxa"/>
                  <w:gridSpan w:val="2"/>
                  <w:shd w:val="clear" w:color="auto" w:fill="auto"/>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出入口</w:t>
                  </w:r>
                </w:p>
              </w:tc>
              <w:tc>
                <w:tcPr>
                  <w:tcW w:w="4405" w:type="dxa"/>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云南建工云岭水泥有限公司位于整个厂区设置南北两个出入口，南侧出入口主要为人员进出口，北侧出入口主要为货物进出口；项目区东西两个厂房均设置有1个进出口便于物料运输。</w:t>
                  </w:r>
                </w:p>
              </w:tc>
              <w:tc>
                <w:tcPr>
                  <w:tcW w:w="79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1977" w:type="dxa"/>
                  <w:gridSpan w:val="2"/>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公厕</w:t>
                  </w:r>
                </w:p>
              </w:tc>
              <w:tc>
                <w:tcPr>
                  <w:tcW w:w="4405" w:type="dxa"/>
                  <w:vAlign w:val="center"/>
                </w:tcPr>
                <w:p>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项目区不设置公厕，依托云南建工云岭水泥有限公司办公生活区已建的配套设施。</w:t>
                  </w:r>
                </w:p>
              </w:tc>
              <w:tc>
                <w:tcPr>
                  <w:tcW w:w="79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restart"/>
                  <w:vAlign w:val="center"/>
                </w:tcPr>
                <w:p>
                  <w:pPr>
                    <w:jc w:val="center"/>
                    <w:outlineLvl w:val="0"/>
                    <w:rPr>
                      <w:b/>
                      <w:bCs/>
                      <w:color w:val="000000" w:themeColor="text1"/>
                      <w:szCs w:val="21"/>
                      <w14:textFill>
                        <w14:solidFill>
                          <w14:schemeClr w14:val="tx1"/>
                        </w14:solidFill>
                      </w14:textFill>
                    </w:rPr>
                  </w:pPr>
                  <w:bookmarkStart w:id="18" w:name="_Toc23937"/>
                  <w:r>
                    <w:rPr>
                      <w:b/>
                      <w:bCs/>
                      <w:color w:val="000000" w:themeColor="text1"/>
                      <w:szCs w:val="21"/>
                      <w14:textFill>
                        <w14:solidFill>
                          <w14:schemeClr w14:val="tx1"/>
                        </w14:solidFill>
                      </w14:textFill>
                    </w:rPr>
                    <w:t>公用</w:t>
                  </w:r>
                  <w:bookmarkEnd w:id="18"/>
                </w:p>
                <w:p>
                  <w:pPr>
                    <w:jc w:val="center"/>
                    <w:outlineLvl w:val="0"/>
                    <w:rPr>
                      <w:b/>
                      <w:bCs/>
                      <w:color w:val="000000" w:themeColor="text1"/>
                      <w:szCs w:val="21"/>
                      <w14:textFill>
                        <w14:solidFill>
                          <w14:schemeClr w14:val="tx1"/>
                        </w14:solidFill>
                      </w14:textFill>
                    </w:rPr>
                  </w:pPr>
                  <w:bookmarkStart w:id="19" w:name="_Toc5393"/>
                  <w:r>
                    <w:rPr>
                      <w:b/>
                      <w:bCs/>
                      <w:color w:val="000000" w:themeColor="text1"/>
                      <w:szCs w:val="21"/>
                      <w14:textFill>
                        <w14:solidFill>
                          <w14:schemeClr w14:val="tx1"/>
                        </w14:solidFill>
                      </w14:textFill>
                    </w:rPr>
                    <w:t>工程</w:t>
                  </w:r>
                  <w:bookmarkEnd w:id="19"/>
                </w:p>
                <w:p>
                  <w:pPr>
                    <w:jc w:val="center"/>
                    <w:rPr>
                      <w:b/>
                      <w:bCs/>
                      <w:color w:val="000000" w:themeColor="text1"/>
                      <w:szCs w:val="21"/>
                      <w14:textFill>
                        <w14:solidFill>
                          <w14:schemeClr w14:val="tx1"/>
                        </w14:solidFill>
                      </w14:textFill>
                    </w:rPr>
                  </w:pPr>
                </w:p>
              </w:tc>
              <w:tc>
                <w:tcPr>
                  <w:tcW w:w="1977"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供电系统</w:t>
                  </w:r>
                </w:p>
              </w:tc>
              <w:tc>
                <w:tcPr>
                  <w:tcW w:w="4405"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项目用电由</w:t>
                  </w:r>
                  <w:r>
                    <w:rPr>
                      <w:rFonts w:hint="eastAsia"/>
                      <w:color w:val="000000" w:themeColor="text1"/>
                      <w:szCs w:val="21"/>
                      <w14:textFill>
                        <w14:solidFill>
                          <w14:schemeClr w14:val="tx1"/>
                        </w14:solidFill>
                      </w14:textFill>
                    </w:rPr>
                    <w:t>云南建工云岭水泥有限公司</w:t>
                  </w:r>
                  <w:r>
                    <w:rPr>
                      <w:color w:val="000000" w:themeColor="text1"/>
                      <w:szCs w:val="21"/>
                      <w14:textFill>
                        <w14:solidFill>
                          <w14:schemeClr w14:val="tx1"/>
                        </w14:solidFill>
                      </w14:textFill>
                    </w:rPr>
                    <w:t>已设</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供电设施接入</w:t>
                  </w:r>
                  <w:r>
                    <w:rPr>
                      <w:rFonts w:hint="eastAsia"/>
                      <w:color w:val="000000" w:themeColor="text1"/>
                      <w:szCs w:val="21"/>
                      <w14:textFill>
                        <w14:solidFill>
                          <w14:schemeClr w14:val="tx1"/>
                        </w14:solidFill>
                      </w14:textFill>
                    </w:rPr>
                    <w:t>。</w:t>
                  </w:r>
                </w:p>
              </w:tc>
              <w:tc>
                <w:tcPr>
                  <w:tcW w:w="7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1977"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供水系统</w:t>
                  </w:r>
                </w:p>
              </w:tc>
              <w:tc>
                <w:tcPr>
                  <w:tcW w:w="4405"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项目用水由</w:t>
                  </w:r>
                  <w:r>
                    <w:rPr>
                      <w:rFonts w:hint="eastAsia"/>
                      <w:color w:val="000000" w:themeColor="text1"/>
                      <w:szCs w:val="21"/>
                      <w14:textFill>
                        <w14:solidFill>
                          <w14:schemeClr w14:val="tx1"/>
                        </w14:solidFill>
                      </w14:textFill>
                    </w:rPr>
                    <w:t>云南建工云岭水泥有限公司已建</w:t>
                  </w:r>
                  <w:r>
                    <w:rPr>
                      <w:color w:val="000000" w:themeColor="text1"/>
                      <w:szCs w:val="21"/>
                      <w14:textFill>
                        <w14:solidFill>
                          <w14:schemeClr w14:val="tx1"/>
                        </w14:solidFill>
                      </w14:textFill>
                    </w:rPr>
                    <w:t>的供水管网</w:t>
                  </w:r>
                  <w:r>
                    <w:rPr>
                      <w:rFonts w:hint="eastAsia"/>
                      <w:color w:val="000000" w:themeColor="text1"/>
                      <w:szCs w:val="21"/>
                      <w14:textFill>
                        <w14:solidFill>
                          <w14:schemeClr w14:val="tx1"/>
                        </w14:solidFill>
                      </w14:textFill>
                    </w:rPr>
                    <w:t>供应。</w:t>
                  </w:r>
                </w:p>
              </w:tc>
              <w:tc>
                <w:tcPr>
                  <w:tcW w:w="799"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1977"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排水系统</w:t>
                  </w:r>
                </w:p>
              </w:tc>
              <w:tc>
                <w:tcPr>
                  <w:tcW w:w="4405"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本项目区拟进行严格的雨污分流制：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雨水：在</w:t>
                  </w:r>
                  <w:r>
                    <w:rPr>
                      <w:color w:val="000000" w:themeColor="text1"/>
                      <w14:textFill>
                        <w14:solidFill>
                          <w14:schemeClr w14:val="tx1"/>
                        </w14:solidFill>
                      </w14:textFill>
                    </w:rPr>
                    <w:t>厂区进行雨污分流，</w:t>
                  </w:r>
                  <w:r>
                    <w:rPr>
                      <w:rFonts w:hint="eastAsia"/>
                      <w:color w:val="000000" w:themeColor="text1"/>
                      <w14:textFill>
                        <w14:solidFill>
                          <w14:schemeClr w14:val="tx1"/>
                        </w14:solidFill>
                      </w14:textFill>
                    </w:rPr>
                    <w:t>车间</w:t>
                  </w:r>
                  <w:r>
                    <w:rPr>
                      <w:color w:val="000000" w:themeColor="text1"/>
                      <w14:textFill>
                        <w14:solidFill>
                          <w14:schemeClr w14:val="tx1"/>
                        </w14:solidFill>
                      </w14:textFill>
                    </w:rPr>
                    <w:t>外雨水</w:t>
                  </w:r>
                  <w:r>
                    <w:rPr>
                      <w:rFonts w:hint="eastAsia"/>
                      <w:color w:val="000000" w:themeColor="text1"/>
                      <w14:textFill>
                        <w14:solidFill>
                          <w14:schemeClr w14:val="tx1"/>
                        </w14:solidFill>
                      </w14:textFill>
                    </w:rPr>
                    <w:t>和屋顶的雨水</w:t>
                  </w:r>
                  <w:r>
                    <w:rPr>
                      <w:color w:val="000000" w:themeColor="text1"/>
                      <w14:textFill>
                        <w14:solidFill>
                          <w14:schemeClr w14:val="tx1"/>
                        </w14:solidFill>
                      </w14:textFill>
                    </w:rPr>
                    <w:t>进入雨水截流系统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经厂区设置的雨水排水沟收集后排至</w:t>
                  </w:r>
                  <w:r>
                    <w:rPr>
                      <w:rFonts w:hint="eastAsia"/>
                      <w:color w:val="000000" w:themeColor="text1"/>
                      <w14:textFill>
                        <w14:solidFill>
                          <w14:schemeClr w14:val="tx1"/>
                        </w14:solidFill>
                      </w14:textFill>
                    </w:rPr>
                    <w:t>雨水排放口。车间内均设置为密闭的车间，无雨水淋滤而产生初期雨水。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污水：本项目员工不在厂区内食宿，依托</w:t>
                  </w:r>
                  <w:r>
                    <w:rPr>
                      <w:color w:val="000000" w:themeColor="text1"/>
                      <w:szCs w:val="21"/>
                      <w14:textFill>
                        <w14:solidFill>
                          <w14:schemeClr w14:val="tx1"/>
                        </w14:solidFill>
                      </w14:textFill>
                    </w:rPr>
                    <w:t>云南建工云岭水泥有限公司已建</w:t>
                  </w:r>
                  <w:r>
                    <w:rPr>
                      <w:rFonts w:hint="eastAsia"/>
                      <w:color w:val="000000" w:themeColor="text1"/>
                      <w:szCs w:val="21"/>
                      <w14:textFill>
                        <w14:solidFill>
                          <w14:schemeClr w14:val="tx1"/>
                        </w14:solidFill>
                      </w14:textFill>
                    </w:rPr>
                    <w:t>办公生活设施。所产生的</w:t>
                  </w:r>
                  <w:r>
                    <w:rPr>
                      <w:color w:val="000000" w:themeColor="text1"/>
                      <w:szCs w:val="21"/>
                      <w14:textFill>
                        <w14:solidFill>
                          <w14:schemeClr w14:val="tx1"/>
                        </w14:solidFill>
                      </w14:textFill>
                    </w:rPr>
                    <w:t>生活污水进入云南建工云岭水泥有限公司已建化粪池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一体化污水处理设备进行处理达标后，回用于绿化和洒水降尘</w:t>
                  </w:r>
                  <w:r>
                    <w:rPr>
                      <w:rFonts w:hint="eastAsia"/>
                      <w:color w:val="000000" w:themeColor="text1"/>
                      <w:szCs w:val="21"/>
                      <w14:textFill>
                        <w14:solidFill>
                          <w14:schemeClr w14:val="tx1"/>
                        </w14:solidFill>
                      </w14:textFill>
                    </w:rPr>
                    <w:t>，不外排。</w:t>
                  </w:r>
                </w:p>
              </w:tc>
              <w:tc>
                <w:tcPr>
                  <w:tcW w:w="799" w:type="dxa"/>
                  <w:vAlign w:val="center"/>
                </w:tcPr>
                <w:p>
                  <w:pPr>
                    <w:pStyle w:val="6"/>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restart"/>
                  <w:vAlign w:val="center"/>
                </w:tcPr>
                <w:p>
                  <w:pPr>
                    <w:jc w:val="center"/>
                    <w:outlineLvl w:val="0"/>
                    <w:rPr>
                      <w:b/>
                      <w:bCs/>
                      <w:color w:val="000000" w:themeColor="text1"/>
                      <w:szCs w:val="21"/>
                      <w14:textFill>
                        <w14:solidFill>
                          <w14:schemeClr w14:val="tx1"/>
                        </w14:solidFill>
                      </w14:textFill>
                    </w:rPr>
                  </w:pPr>
                  <w:bookmarkStart w:id="20" w:name="_Toc3564"/>
                  <w:r>
                    <w:rPr>
                      <w:b/>
                      <w:bCs/>
                      <w:color w:val="000000" w:themeColor="text1"/>
                      <w:szCs w:val="21"/>
                      <w14:textFill>
                        <w14:solidFill>
                          <w14:schemeClr w14:val="tx1"/>
                        </w14:solidFill>
                      </w14:textFill>
                    </w:rPr>
                    <w:t>环保</w:t>
                  </w:r>
                  <w:bookmarkEnd w:id="20"/>
                </w:p>
                <w:p>
                  <w:pPr>
                    <w:jc w:val="center"/>
                    <w:outlineLvl w:val="0"/>
                    <w:rPr>
                      <w:b/>
                      <w:bCs/>
                      <w:color w:val="000000" w:themeColor="text1"/>
                      <w:szCs w:val="21"/>
                      <w14:textFill>
                        <w14:solidFill>
                          <w14:schemeClr w14:val="tx1"/>
                        </w14:solidFill>
                      </w14:textFill>
                    </w:rPr>
                  </w:pPr>
                  <w:bookmarkStart w:id="21" w:name="_Toc10030"/>
                  <w:r>
                    <w:rPr>
                      <w:b/>
                      <w:bCs/>
                      <w:color w:val="000000" w:themeColor="text1"/>
                      <w:szCs w:val="21"/>
                      <w14:textFill>
                        <w14:solidFill>
                          <w14:schemeClr w14:val="tx1"/>
                        </w14:solidFill>
                      </w14:textFill>
                    </w:rPr>
                    <w:t>工程</w:t>
                  </w:r>
                  <w:bookmarkEnd w:id="21"/>
                </w:p>
              </w:tc>
              <w:tc>
                <w:tcPr>
                  <w:tcW w:w="67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304"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减震、吸音装置</w:t>
                  </w:r>
                </w:p>
              </w:tc>
              <w:tc>
                <w:tcPr>
                  <w:tcW w:w="4405" w:type="dxa"/>
                  <w:vAlign w:val="center"/>
                </w:tcPr>
                <w:p>
                  <w:pP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若干，用于设备减震、降噪</w:t>
                  </w:r>
                </w:p>
              </w:tc>
              <w:tc>
                <w:tcPr>
                  <w:tcW w:w="79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304"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4405" w:type="dxa"/>
                  <w:vAlign w:val="center"/>
                </w:tcPr>
                <w:p>
                  <w:pP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本项目生产过程中不产生废水。员工不在厂区内食宿，依托</w:t>
                  </w:r>
                  <w:r>
                    <w:rPr>
                      <w:color w:val="000000" w:themeColor="text1"/>
                      <w:szCs w:val="21"/>
                      <w14:textFill>
                        <w14:solidFill>
                          <w14:schemeClr w14:val="tx1"/>
                        </w14:solidFill>
                      </w14:textFill>
                    </w:rPr>
                    <w:t>云南建工云岭水泥有限公司已建</w:t>
                  </w:r>
                  <w:r>
                    <w:rPr>
                      <w:rFonts w:hint="eastAsia"/>
                      <w:color w:val="000000" w:themeColor="text1"/>
                      <w:szCs w:val="21"/>
                      <w14:textFill>
                        <w14:solidFill>
                          <w14:schemeClr w14:val="tx1"/>
                        </w14:solidFill>
                      </w14:textFill>
                    </w:rPr>
                    <w:t>办公生活设施。所产生的</w:t>
                  </w:r>
                  <w:r>
                    <w:rPr>
                      <w:color w:val="000000" w:themeColor="text1"/>
                      <w:szCs w:val="21"/>
                      <w14:textFill>
                        <w14:solidFill>
                          <w14:schemeClr w14:val="tx1"/>
                        </w14:solidFill>
                      </w14:textFill>
                    </w:rPr>
                    <w:t>生活污水进入云南建工云岭水泥有限公司已建化粪池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一体化污水处理设备进行处理达标后，回用于绿化和洒水降尘</w:t>
                  </w:r>
                  <w:r>
                    <w:rPr>
                      <w:rFonts w:hint="eastAsia"/>
                      <w:color w:val="000000" w:themeColor="text1"/>
                      <w:szCs w:val="21"/>
                      <w14:textFill>
                        <w14:solidFill>
                          <w14:schemeClr w14:val="tx1"/>
                        </w14:solidFill>
                      </w14:textFill>
                    </w:rPr>
                    <w:t>，不外排。</w:t>
                  </w:r>
                </w:p>
              </w:tc>
              <w:tc>
                <w:tcPr>
                  <w:tcW w:w="799" w:type="dxa"/>
                  <w:vAlign w:val="center"/>
                </w:tcPr>
                <w:p>
                  <w:pPr>
                    <w:pStyle w:val="4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304"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tc>
              <w:tc>
                <w:tcPr>
                  <w:tcW w:w="4405" w:type="dxa"/>
                  <w:vAlign w:val="center"/>
                </w:tcPr>
                <w:p>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位于东厂房东南面设置1间5m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危险废物暂存库，并设置</w:t>
                  </w:r>
                  <w:r>
                    <w:rPr>
                      <w:bCs/>
                      <w:color w:val="000000" w:themeColor="text1"/>
                      <w:szCs w:val="21"/>
                      <w14:textFill>
                        <w14:solidFill>
                          <w14:schemeClr w14:val="tx1"/>
                        </w14:solidFill>
                      </w14:textFill>
                    </w:rPr>
                    <w:t>危废收集桶，危废统一收集后委托</w:t>
                  </w:r>
                  <w:r>
                    <w:rPr>
                      <w:rFonts w:hint="eastAsia"/>
                      <w:bCs/>
                      <w:color w:val="000000" w:themeColor="text1"/>
                      <w:szCs w:val="21"/>
                      <w14:textFill>
                        <w14:solidFill>
                          <w14:schemeClr w14:val="tx1"/>
                        </w14:solidFill>
                      </w14:textFill>
                    </w:rPr>
                    <w:t>有资质单位进行</w:t>
                  </w:r>
                  <w:r>
                    <w:rPr>
                      <w:bCs/>
                      <w:color w:val="000000" w:themeColor="text1"/>
                      <w:szCs w:val="21"/>
                      <w14:textFill>
                        <w14:solidFill>
                          <w14:schemeClr w14:val="tx1"/>
                        </w14:solidFill>
                      </w14:textFill>
                    </w:rPr>
                    <w:t>处理处置</w:t>
                  </w:r>
                  <w:r>
                    <w:rPr>
                      <w:rFonts w:hint="eastAsia"/>
                      <w:bCs/>
                      <w:color w:val="000000" w:themeColor="text1"/>
                      <w:szCs w:val="21"/>
                      <w14:textFill>
                        <w14:solidFill>
                          <w14:schemeClr w14:val="tx1"/>
                        </w14:solidFill>
                      </w14:textFill>
                    </w:rPr>
                    <w:t>。</w:t>
                  </w:r>
                </w:p>
              </w:tc>
              <w:tc>
                <w:tcPr>
                  <w:tcW w:w="799" w:type="dxa"/>
                  <w:vAlign w:val="center"/>
                </w:tcPr>
                <w:p>
                  <w:pPr>
                    <w:pStyle w:val="4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bookmarkStart w:id="22" w:name="OLE_LINK3" w:colFirst="2" w:colLast="2"/>
                  <w:bookmarkStart w:id="23" w:name="OLE_LINK4" w:colFirst="2" w:colLast="2"/>
                  <w:bookmarkStart w:id="24" w:name="_Hlk495418723"/>
                </w:p>
              </w:tc>
              <w:tc>
                <w:tcPr>
                  <w:tcW w:w="673" w:type="dxa"/>
                  <w:vMerge w:val="continue"/>
                  <w:vAlign w:val="center"/>
                </w:tcPr>
                <w:p>
                  <w:pPr>
                    <w:jc w:val="center"/>
                    <w:rPr>
                      <w:color w:val="000000" w:themeColor="text1"/>
                      <w:szCs w:val="21"/>
                      <w14:textFill>
                        <w14:solidFill>
                          <w14:schemeClr w14:val="tx1"/>
                        </w14:solidFill>
                      </w14:textFill>
                    </w:rPr>
                  </w:pPr>
                </w:p>
              </w:tc>
              <w:tc>
                <w:tcPr>
                  <w:tcW w:w="130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w:t>
                  </w:r>
                </w:p>
              </w:tc>
              <w:tc>
                <w:tcPr>
                  <w:tcW w:w="4405"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在</w:t>
                  </w:r>
                  <w:r>
                    <w:rPr>
                      <w:rFonts w:hint="eastAsia"/>
                      <w:color w:val="000000" w:themeColor="text1"/>
                      <w:szCs w:val="21"/>
                      <w14:textFill>
                        <w14:solidFill>
                          <w14:schemeClr w14:val="tx1"/>
                        </w14:solidFill>
                      </w14:textFill>
                    </w:rPr>
                    <w:t>项目区不同位置设置生活垃圾收集桶</w:t>
                  </w:r>
                </w:p>
              </w:tc>
              <w:tc>
                <w:tcPr>
                  <w:tcW w:w="799"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Merge w:val="continue"/>
                  <w:vAlign w:val="center"/>
                </w:tcPr>
                <w:p>
                  <w:pPr>
                    <w:jc w:val="center"/>
                    <w:rPr>
                      <w:color w:val="000000" w:themeColor="text1"/>
                      <w:szCs w:val="21"/>
                      <w14:textFill>
                        <w14:solidFill>
                          <w14:schemeClr w14:val="tx1"/>
                        </w14:solidFill>
                      </w14:textFill>
                    </w:rPr>
                  </w:pPr>
                </w:p>
              </w:tc>
              <w:tc>
                <w:tcPr>
                  <w:tcW w:w="130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r>
                    <w:rPr>
                      <w:rFonts w:hint="eastAsia"/>
                      <w:color w:val="000000" w:themeColor="text1"/>
                      <w:szCs w:val="21"/>
                      <w14:textFill>
                        <w14:solidFill>
                          <w14:schemeClr w14:val="tx1"/>
                        </w14:solidFill>
                      </w14:textFill>
                    </w:rPr>
                    <w:t>暂存库</w:t>
                  </w:r>
                </w:p>
              </w:tc>
              <w:tc>
                <w:tcPr>
                  <w:tcW w:w="4405" w:type="dxa"/>
                  <w:vAlign w:val="center"/>
                </w:tcPr>
                <w:p>
                  <w:pP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位于西厂房中部设置1间5m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一般固废暂存库，暂存后外售资源回收公司。</w:t>
                  </w:r>
                </w:p>
              </w:tc>
              <w:tc>
                <w:tcPr>
                  <w:tcW w:w="799" w:type="dxa"/>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bookmarkEnd w:id="22"/>
            <w:bookmarkEnd w:id="23"/>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30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4405" w:type="dxa"/>
                  <w:vAlign w:val="center"/>
                </w:tcPr>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2个生产厂房设置为密闭式，生产过程中严格控制原料的含水率，混合、配料喷水降尘，在2个厂房分别设置1台移动式雾炮机进行喷雾降尘。</w:t>
                  </w:r>
                </w:p>
              </w:tc>
              <w:tc>
                <w:tcPr>
                  <w:tcW w:w="799" w:type="dxa"/>
                  <w:vAlign w:val="center"/>
                </w:tcPr>
                <w:p>
                  <w:pPr>
                    <w:tabs>
                      <w:tab w:val="left" w:pos="3255"/>
                    </w:tabs>
                    <w:adjustRightInd w:val="0"/>
                    <w:snapToGrid w:val="0"/>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Merge w:val="continue"/>
                  <w:vAlign w:val="center"/>
                </w:tcPr>
                <w:p>
                  <w:pPr>
                    <w:jc w:val="center"/>
                    <w:rPr>
                      <w:color w:val="000000" w:themeColor="text1"/>
                      <w:szCs w:val="21"/>
                      <w14:textFill>
                        <w14:solidFill>
                          <w14:schemeClr w14:val="tx1"/>
                        </w14:solidFill>
                      </w14:textFill>
                    </w:rPr>
                  </w:pPr>
                </w:p>
              </w:tc>
              <w:tc>
                <w:tcPr>
                  <w:tcW w:w="1304" w:type="dxa"/>
                  <w:vMerge w:val="continue"/>
                  <w:vAlign w:val="center"/>
                </w:tcPr>
                <w:p>
                  <w:pPr>
                    <w:jc w:val="center"/>
                    <w:rPr>
                      <w:color w:val="000000" w:themeColor="text1"/>
                      <w:szCs w:val="21"/>
                      <w14:textFill>
                        <w14:solidFill>
                          <w14:schemeClr w14:val="tx1"/>
                        </w14:solidFill>
                      </w14:textFill>
                    </w:rPr>
                  </w:pPr>
                </w:p>
              </w:tc>
              <w:tc>
                <w:tcPr>
                  <w:tcW w:w="4405" w:type="dxa"/>
                  <w:vAlign w:val="center"/>
                </w:tcPr>
                <w:p>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生产厂房密闭，生产过程中通过喷洒生物除臭剂进行除臭，车间安装抽排风系统。</w:t>
                  </w:r>
                </w:p>
              </w:tc>
              <w:tc>
                <w:tcPr>
                  <w:tcW w:w="799" w:type="dxa"/>
                  <w:vAlign w:val="center"/>
                </w:tcPr>
                <w:p>
                  <w:pPr>
                    <w:tabs>
                      <w:tab w:val="left" w:pos="3255"/>
                    </w:tabs>
                    <w:adjustRightInd w:val="0"/>
                    <w:snapToGrid w:val="0"/>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754" w:type="dxa"/>
                  <w:vMerge w:val="continue"/>
                  <w:vAlign w:val="center"/>
                </w:tcPr>
                <w:p>
                  <w:pPr>
                    <w:jc w:val="center"/>
                    <w:rPr>
                      <w:b/>
                      <w:bCs/>
                      <w:color w:val="000000" w:themeColor="text1"/>
                      <w:szCs w:val="21"/>
                      <w14:textFill>
                        <w14:solidFill>
                          <w14:schemeClr w14:val="tx1"/>
                        </w14:solidFill>
                      </w14:textFill>
                    </w:rPr>
                  </w:pPr>
                </w:p>
              </w:tc>
              <w:tc>
                <w:tcPr>
                  <w:tcW w:w="67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1304" w:type="dxa"/>
                  <w:vAlign w:val="cente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防渗处理</w:t>
                  </w:r>
                </w:p>
              </w:tc>
              <w:tc>
                <w:tcPr>
                  <w:tcW w:w="4405" w:type="dxa"/>
                  <w:vAlign w:val="center"/>
                </w:tcPr>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简易防渗：</w:t>
                  </w:r>
                  <w:r>
                    <w:rPr>
                      <w:rFonts w:hint="eastAsia" w:eastAsiaTheme="minorEastAsia"/>
                      <w:color w:val="000000" w:themeColor="text1"/>
                      <w14:textFill>
                        <w14:solidFill>
                          <w14:schemeClr w14:val="tx1"/>
                        </w14:solidFill>
                      </w14:textFill>
                    </w:rPr>
                    <w:t>除重点防渗区和一般防渗区外的其他车间区域</w:t>
                  </w:r>
                  <w:r>
                    <w:rPr>
                      <w:rFonts w:eastAsiaTheme="minorEastAsia"/>
                      <w:color w:val="000000" w:themeColor="text1"/>
                      <w14:textFill>
                        <w14:solidFill>
                          <w14:schemeClr w14:val="tx1"/>
                        </w14:solidFill>
                      </w14:textFill>
                    </w:rPr>
                    <w:t>进行地面硬化。</w:t>
                  </w:r>
                </w:p>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一般防渗区：</w:t>
                  </w:r>
                  <w:r>
                    <w:rPr>
                      <w:rFonts w:hint="eastAsia" w:eastAsiaTheme="minorEastAsia"/>
                      <w:color w:val="000000" w:themeColor="text1"/>
                      <w14:textFill>
                        <w14:solidFill>
                          <w14:schemeClr w14:val="tx1"/>
                        </w14:solidFill>
                      </w14:textFill>
                    </w:rPr>
                    <w:t>原料库、一般固废暂存库</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-7</w:t>
                  </w:r>
                  <w:r>
                    <w:rPr>
                      <w:rFonts w:eastAsiaTheme="minorEastAsia"/>
                      <w:color w:val="000000" w:themeColor="text1"/>
                      <w14:textFill>
                        <w14:solidFill>
                          <w14:schemeClr w14:val="tx1"/>
                        </w14:solidFill>
                      </w14:textFill>
                    </w:rPr>
                    <w:t>cm/s，等效黏土防渗层Mb≥1.5m。施工时采用防渗混凝土浇筑。</w:t>
                  </w:r>
                </w:p>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重点防渗区：</w:t>
                  </w:r>
                  <w:r>
                    <w:rPr>
                      <w:rFonts w:hint="eastAsia" w:eastAsiaTheme="minorEastAsia"/>
                      <w:color w:val="000000" w:themeColor="text1"/>
                      <w14:textFill>
                        <w14:solidFill>
                          <w14:schemeClr w14:val="tx1"/>
                        </w14:solidFill>
                      </w14:textFill>
                    </w:rPr>
                    <w:t>危废暂存库</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-10</w:t>
                  </w:r>
                  <w:r>
                    <w:rPr>
                      <w:rFonts w:eastAsiaTheme="minorEastAsia"/>
                      <w:color w:val="000000" w:themeColor="text1"/>
                      <w14:textFill>
                        <w14:solidFill>
                          <w14:schemeClr w14:val="tx1"/>
                        </w14:solidFill>
                      </w14:textFill>
                    </w:rPr>
                    <w:t>cm/s，等效黏土防渗层Mb≥6.0m。施工时采用防渗混凝土浇筑，人工防渗材料衬层。</w:t>
                  </w:r>
                </w:p>
              </w:tc>
              <w:tc>
                <w:tcPr>
                  <w:tcW w:w="799" w:type="dxa"/>
                  <w:vAlign w:val="center"/>
                </w:tcPr>
                <w:p>
                  <w:pPr>
                    <w:pStyle w:val="4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bl>
          <w:p>
            <w:pPr>
              <w:adjustRightInd w:val="0"/>
              <w:snapToGrid w:val="0"/>
              <w:spacing w:before="120"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二、主要产品及产能</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本项目主要产品及产能详见下表。</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本项目产品方案一览表</w:t>
            </w:r>
          </w:p>
          <w:tbl>
            <w:tblPr>
              <w:tblStyle w:val="23"/>
              <w:tblW w:w="7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468"/>
              <w:gridCol w:w="1230"/>
              <w:gridCol w:w="1151"/>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718" w:type="dxa"/>
                  <w:vAlign w:val="center"/>
                </w:tcPr>
                <w:p>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产品名称</w:t>
                  </w:r>
                </w:p>
              </w:tc>
              <w:tc>
                <w:tcPr>
                  <w:tcW w:w="1468" w:type="dxa"/>
                  <w:vAlign w:val="center"/>
                </w:tcPr>
                <w:p>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生产线</w:t>
                  </w:r>
                </w:p>
              </w:tc>
              <w:tc>
                <w:tcPr>
                  <w:tcW w:w="1230" w:type="dxa"/>
                  <w:vAlign w:val="center"/>
                </w:tcPr>
                <w:p>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产能（</w:t>
                  </w:r>
                  <w:r>
                    <w:rPr>
                      <w:rFonts w:hint="eastAsia"/>
                      <w:bCs/>
                      <w:snapToGrid w:val="0"/>
                      <w:color w:val="000000" w:themeColor="text1"/>
                      <w:kern w:val="0"/>
                      <w:szCs w:val="21"/>
                      <w14:textFill>
                        <w14:solidFill>
                          <w14:schemeClr w14:val="tx1"/>
                        </w14:solidFill>
                      </w14:textFill>
                    </w:rPr>
                    <w:t>t</w:t>
                  </w:r>
                  <w:r>
                    <w:rPr>
                      <w:bCs/>
                      <w:snapToGrid w:val="0"/>
                      <w:color w:val="000000" w:themeColor="text1"/>
                      <w:kern w:val="0"/>
                      <w:szCs w:val="21"/>
                      <w14:textFill>
                        <w14:solidFill>
                          <w14:schemeClr w14:val="tx1"/>
                        </w14:solidFill>
                      </w14:textFill>
                    </w:rPr>
                    <w:t>/a）</w:t>
                  </w:r>
                </w:p>
              </w:tc>
              <w:tc>
                <w:tcPr>
                  <w:tcW w:w="1151" w:type="dxa"/>
                  <w:vAlign w:val="center"/>
                </w:tcPr>
                <w:p>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产品形态</w:t>
                  </w:r>
                </w:p>
              </w:tc>
              <w:tc>
                <w:tcPr>
                  <w:tcW w:w="1674" w:type="dxa"/>
                  <w:vAlign w:val="center"/>
                </w:tcPr>
                <w:p>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包装形式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18" w:type="dxa"/>
                  <w:vAlign w:val="center"/>
                </w:tcPr>
                <w:p>
                  <w:pPr>
                    <w:pStyle w:val="51"/>
                    <w:ind w:firstLine="0" w:firstLineChars="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有机肥</w:t>
                  </w:r>
                </w:p>
              </w:tc>
              <w:tc>
                <w:tcPr>
                  <w:tcW w:w="1468" w:type="dxa"/>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1条</w:t>
                  </w:r>
                </w:p>
              </w:tc>
              <w:tc>
                <w:tcPr>
                  <w:tcW w:w="1230" w:type="dxa"/>
                  <w:vAlign w:val="center"/>
                </w:tcPr>
                <w:p>
                  <w:pPr>
                    <w:pStyle w:val="51"/>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50000</w:t>
                  </w:r>
                </w:p>
              </w:tc>
              <w:tc>
                <w:tcPr>
                  <w:tcW w:w="1151" w:type="dxa"/>
                  <w:vAlign w:val="center"/>
                </w:tcPr>
                <w:p>
                  <w:pPr>
                    <w:pStyle w:val="51"/>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粉状</w:t>
                  </w:r>
                </w:p>
              </w:tc>
              <w:tc>
                <w:tcPr>
                  <w:tcW w:w="167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18" w:type="dxa"/>
                  <w:vAlign w:val="center"/>
                </w:tcPr>
                <w:p>
                  <w:pPr>
                    <w:pStyle w:val="51"/>
                    <w:ind w:firstLine="0" w:firstLineChars="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中量元素有机肥</w:t>
                  </w:r>
                </w:p>
              </w:tc>
              <w:tc>
                <w:tcPr>
                  <w:tcW w:w="1468" w:type="dxa"/>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1条</w:t>
                  </w:r>
                </w:p>
              </w:tc>
              <w:tc>
                <w:tcPr>
                  <w:tcW w:w="1230" w:type="dxa"/>
                  <w:vAlign w:val="center"/>
                </w:tcPr>
                <w:p>
                  <w:pPr>
                    <w:pStyle w:val="51"/>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50000</w:t>
                  </w:r>
                </w:p>
              </w:tc>
              <w:tc>
                <w:tcPr>
                  <w:tcW w:w="1151" w:type="dxa"/>
                  <w:vAlign w:val="center"/>
                </w:tcPr>
                <w:p>
                  <w:pPr>
                    <w:pStyle w:val="51"/>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粉状</w:t>
                  </w:r>
                </w:p>
              </w:tc>
              <w:tc>
                <w:tcPr>
                  <w:tcW w:w="167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袋</w:t>
                  </w:r>
                </w:p>
              </w:tc>
            </w:tr>
          </w:tbl>
          <w:p>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中量元素有机肥比有机肥多一种辅料，即尾矿，其他原辅料的种类均相同，生产设备也相同。</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《有机肥料》（NY/T525-2021）</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要求产品外观均匀，粉状或颗粒状，无恶臭，目视、鼻嗅测定。产品技术指标应符合表2-3的要求，有机肥料中重金属的限量指标应符合表2-4的要求。</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表2-3  有机肥技术指标</w:t>
            </w:r>
          </w:p>
          <w:tbl>
            <w:tblPr>
              <w:tblStyle w:val="23"/>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2"/>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w:t>
                  </w:r>
                </w:p>
              </w:tc>
              <w:tc>
                <w:tcPr>
                  <w:tcW w:w="1433"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有机质的质量分数（以烘干基计）/（%）</w:t>
                  </w:r>
                </w:p>
              </w:tc>
              <w:tc>
                <w:tcPr>
                  <w:tcW w:w="1433"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r>
                    <w:rPr>
                      <w:color w:val="000000" w:themeColor="text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总养分（氮+五氧化二磷+氧化钾）的质量分数（以烘干基计）/（%）</w:t>
                  </w:r>
                </w:p>
              </w:tc>
              <w:tc>
                <w:tcPr>
                  <w:tcW w:w="1433"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水分（鲜样）的质量分数/（%）</w:t>
                  </w:r>
                </w:p>
              </w:tc>
              <w:tc>
                <w:tcPr>
                  <w:tcW w:w="1433"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酸碱度（pH）</w:t>
                  </w:r>
                </w:p>
              </w:tc>
              <w:tc>
                <w:tcPr>
                  <w:tcW w:w="1433"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种子发芽指数(GI)，%</w:t>
                  </w:r>
                </w:p>
              </w:tc>
              <w:tc>
                <w:tcPr>
                  <w:tcW w:w="1433"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502"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机械杂质的质量分数，%</w:t>
                  </w:r>
                </w:p>
              </w:tc>
              <w:tc>
                <w:tcPr>
                  <w:tcW w:w="1433"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≤0.5</w:t>
                  </w:r>
                </w:p>
              </w:tc>
            </w:tr>
          </w:tbl>
          <w:p>
            <w:pPr>
              <w:adjustRightInd w:val="0"/>
              <w:snapToGrid w:val="0"/>
              <w:spacing w:before="120" w:beforeLines="5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表2-4  有机肥料中重金属的限量指标</w:t>
            </w:r>
          </w:p>
          <w:tbl>
            <w:tblPr>
              <w:tblStyle w:val="23"/>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0"/>
              <w:gridCol w:w="938"/>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限量指标</w:t>
                  </w:r>
                </w:p>
              </w:tc>
              <w:tc>
                <w:tcPr>
                  <w:tcW w:w="3607"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总砷（As）（以烘干基计）/（mg/kg）</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3607" w:type="dxa"/>
                  <w:vMerge w:val="restart"/>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按照NY/T1987的规定执行，以烘干基计算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总汞（Hg）（以烘干基计）/（mg/kg）</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3607" w:type="dxa"/>
                  <w:vMerge w:val="continue"/>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总铅（Pb）（以烘干基计）/（mg/kg）</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3607" w:type="dxa"/>
                  <w:vMerge w:val="continue"/>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总镉（Cd）（以烘干基计）/（mg/kg）</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3607" w:type="dxa"/>
                  <w:vMerge w:val="continue"/>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总铬（Cr）（以烘干基计）/（mg/kg）</w:t>
                  </w:r>
                </w:p>
              </w:tc>
              <w:tc>
                <w:tcPr>
                  <w:tcW w:w="938" w:type="dxa"/>
                  <w:vAlign w:val="center"/>
                </w:tcPr>
                <w:p>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w:t>
                  </w:r>
                </w:p>
              </w:tc>
              <w:tc>
                <w:tcPr>
                  <w:tcW w:w="3607" w:type="dxa"/>
                  <w:vMerge w:val="continue"/>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粪大肠菌群数，个/g</w:t>
                  </w:r>
                </w:p>
              </w:tc>
              <w:tc>
                <w:tcPr>
                  <w:tcW w:w="938"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100</w:t>
                  </w:r>
                </w:p>
              </w:tc>
              <w:tc>
                <w:tcPr>
                  <w:tcW w:w="3607"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按照GB/T19524.1规定执行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蛔虫卵死亡率，%</w:t>
                  </w:r>
                </w:p>
              </w:tc>
              <w:tc>
                <w:tcPr>
                  <w:tcW w:w="938"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95</w:t>
                  </w:r>
                </w:p>
              </w:tc>
              <w:tc>
                <w:tcPr>
                  <w:tcW w:w="3607"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按照GB/T19524.2规定执行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氯离子质量分数，%</w:t>
                  </w:r>
                </w:p>
              </w:tc>
              <w:tc>
                <w:tcPr>
                  <w:tcW w:w="938"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3607"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按照GB/T15063-2020附录B规定执行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3390"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杂草种子活性，株/kg</w:t>
                  </w:r>
                </w:p>
              </w:tc>
              <w:tc>
                <w:tcPr>
                  <w:tcW w:w="938"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3607" w:type="dxa"/>
                  <w:vAlign w:val="center"/>
                </w:tcPr>
                <w:p>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按照附录H规定执行</w:t>
                  </w:r>
                </w:p>
              </w:tc>
            </w:tr>
          </w:tbl>
          <w:p>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《生物有机肥》（</w:t>
            </w:r>
            <w:r>
              <w:rPr>
                <w:rFonts w:hint="eastAsia"/>
                <w:bCs/>
                <w:color w:val="000000" w:themeColor="text1"/>
                <w:sz w:val="24"/>
                <w14:textFill>
                  <w14:solidFill>
                    <w14:schemeClr w14:val="tx1"/>
                  </w14:solidFill>
                </w14:textFill>
              </w:rPr>
              <w:t xml:space="preserve"> NY/T 884-2020</w:t>
            </w:r>
            <w:r>
              <w:rPr>
                <w:bCs/>
                <w:color w:val="000000" w:themeColor="text1"/>
                <w:sz w:val="24"/>
                <w14:textFill>
                  <w14:solidFill>
                    <w14:schemeClr w14:val="tx1"/>
                  </w14:solidFill>
                </w14:textFill>
              </w:rPr>
              <w:t>）</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要求：使用的微生物菌种应安全、有效，有明确来源和种名。菌株安全性应符合NY1109—2006的规定。粉剂产品应松散、无恶臭味；颗粒产品应无明显机械杂质、大小均匀、无腐败味。生物有机肥的产品技术指标应符合表2-5的要求，产品剂型包括粉剂和颗粒两种，生物有机肥料中重金属的限量指标应符合表2-6的要求。</w:t>
            </w:r>
          </w:p>
          <w:p>
            <w:pPr>
              <w:pStyle w:val="75"/>
              <w:spacing w:before="0" w:after="0" w:line="240" w:lineRule="auto"/>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hint="eastAsia" w:ascii="Times New Roman" w:hAnsi="Times New Roman" w:eastAsia="宋体" w:cs="Times New Roman"/>
                <w:color w:val="000000" w:themeColor="text1"/>
                <w:sz w:val="21"/>
                <w:szCs w:val="21"/>
                <w14:textFill>
                  <w14:solidFill>
                    <w14:schemeClr w14:val="tx1"/>
                  </w14:solidFill>
                </w14:textFill>
              </w:rPr>
              <w:t>生物有机肥料技术指标要求</w:t>
            </w:r>
          </w:p>
          <w:tbl>
            <w:tblPr>
              <w:tblStyle w:val="23"/>
              <w:tblW w:w="7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682"/>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99" w:type="dxa"/>
                  <w:gridSpan w:val="2"/>
                  <w:vAlign w:val="center"/>
                </w:tcPr>
                <w:p>
                  <w:pPr>
                    <w:autoSpaceDE w:val="0"/>
                    <w:autoSpaceDN w:val="0"/>
                    <w:spacing w:line="276" w:lineRule="auto"/>
                    <w:jc w:val="center"/>
                    <w:rPr>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项目</w:t>
                  </w:r>
                </w:p>
              </w:tc>
              <w:tc>
                <w:tcPr>
                  <w:tcW w:w="2531" w:type="dxa"/>
                  <w:vAlign w:val="center"/>
                </w:tcPr>
                <w:p>
                  <w:pPr>
                    <w:autoSpaceDE w:val="0"/>
                    <w:autoSpaceDN w:val="0"/>
                    <w:spacing w:line="276" w:lineRule="auto"/>
                    <w:jc w:val="center"/>
                    <w:rPr>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99" w:type="dxa"/>
                  <w:gridSpan w:val="2"/>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外观</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外观均匀</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粉状或颗粒状</w:t>
                  </w:r>
                  <w:r>
                    <w:rPr>
                      <w:rFonts w:hint="eastAsia"/>
                      <w:color w:val="000000" w:themeColor="text1"/>
                      <w:kern w:val="0"/>
                      <w:szCs w:val="21"/>
                      <w14:textFill>
                        <w14:solidFill>
                          <w14:schemeClr w14:val="tx1"/>
                        </w14:solidFill>
                      </w14:textFill>
                    </w:rPr>
                    <w:t>，无机械杂质、</w:t>
                  </w:r>
                  <w:r>
                    <w:rPr>
                      <w:color w:val="000000" w:themeColor="text1"/>
                      <w:kern w:val="0"/>
                      <w:szCs w:val="21"/>
                      <w14:textFill>
                        <w14:solidFill>
                          <w14:schemeClr w14:val="tx1"/>
                        </w14:solidFill>
                      </w14:textFill>
                    </w:rPr>
                    <w:t>无恶臭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restart"/>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技术</w:t>
                  </w:r>
                  <w:r>
                    <w:rPr>
                      <w:rFonts w:hAnsi="宋体"/>
                      <w:color w:val="000000" w:themeColor="text1"/>
                      <w:kern w:val="0"/>
                      <w:szCs w:val="21"/>
                      <w14:textFill>
                        <w14:solidFill>
                          <w14:schemeClr w14:val="tx1"/>
                        </w14:solidFill>
                      </w14:textFill>
                    </w:rPr>
                    <w:t>指标</w:t>
                  </w: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有机质</w:t>
                  </w:r>
                  <w:r>
                    <w:rPr>
                      <w:color w:val="000000" w:themeColor="text1"/>
                      <w:kern w:val="0"/>
                      <w:szCs w:val="21"/>
                      <w14:textFill>
                        <w14:solidFill>
                          <w14:schemeClr w14:val="tx1"/>
                        </w14:solidFill>
                      </w14:textFill>
                    </w:rPr>
                    <w:t>的质量分数</w:t>
                  </w:r>
                  <w:r>
                    <w:rPr>
                      <w:rFonts w:hint="eastAsia"/>
                      <w:color w:val="000000" w:themeColor="text1"/>
                      <w:kern w:val="0"/>
                      <w:szCs w:val="21"/>
                      <w14:textFill>
                        <w14:solidFill>
                          <w14:schemeClr w14:val="tx1"/>
                        </w14:solidFill>
                      </w14:textFill>
                    </w:rPr>
                    <w:t>（以烘干基计），%</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总养分（</w:t>
                  </w:r>
                  <w:r>
                    <w:rPr>
                      <w:color w:val="000000" w:themeColor="text1"/>
                      <w:kern w:val="0"/>
                      <w:szCs w:val="21"/>
                      <w14:textFill>
                        <w14:solidFill>
                          <w14:schemeClr w14:val="tx1"/>
                        </w14:solidFill>
                      </w14:textFill>
                    </w:rPr>
                    <w:t>N+P</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color w:val="000000" w:themeColor="text1"/>
                      <w:kern w:val="0"/>
                      <w:szCs w:val="21"/>
                      <w:vertAlign w:val="subscript"/>
                      <w14:textFill>
                        <w14:solidFill>
                          <w14:schemeClr w14:val="tx1"/>
                        </w14:solidFill>
                      </w14:textFill>
                    </w:rPr>
                    <w:t>5</w:t>
                  </w:r>
                  <w:r>
                    <w:rPr>
                      <w:color w:val="000000" w:themeColor="text1"/>
                      <w:kern w:val="0"/>
                      <w:szCs w:val="21"/>
                      <w14:textFill>
                        <w14:solidFill>
                          <w14:schemeClr w14:val="tx1"/>
                        </w14:solidFill>
                      </w14:textFill>
                    </w:rPr>
                    <w:t>+K</w:t>
                  </w:r>
                  <w:r>
                    <w:rPr>
                      <w:color w:val="000000" w:themeColor="text1"/>
                      <w:kern w:val="0"/>
                      <w:szCs w:val="21"/>
                      <w:vertAlign w:val="subscript"/>
                      <w14:textFill>
                        <w14:solidFill>
                          <w14:schemeClr w14:val="tx1"/>
                        </w14:solidFill>
                      </w14:textFill>
                    </w:rPr>
                    <w:t>2</w:t>
                  </w:r>
                  <w:r>
                    <w:rPr>
                      <w:color w:val="000000" w:themeColor="text1"/>
                      <w:kern w:val="0"/>
                      <w:szCs w:val="21"/>
                      <w14:textFill>
                        <w14:solidFill>
                          <w14:schemeClr w14:val="tx1"/>
                        </w14:solidFill>
                      </w14:textFill>
                    </w:rPr>
                    <w:t>O</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的</w:t>
                  </w:r>
                  <w:r>
                    <w:rPr>
                      <w:color w:val="000000" w:themeColor="text1"/>
                      <w:kern w:val="0"/>
                      <w:szCs w:val="21"/>
                      <w14:textFill>
                        <w14:solidFill>
                          <w14:schemeClr w14:val="tx1"/>
                        </w14:solidFill>
                      </w14:textFill>
                    </w:rPr>
                    <w:t>质量分数</w:t>
                  </w:r>
                  <w:r>
                    <w:rPr>
                      <w:rFonts w:hint="eastAsia"/>
                      <w:color w:val="000000" w:themeColor="text1"/>
                      <w:kern w:val="0"/>
                      <w:szCs w:val="21"/>
                      <w14:textFill>
                        <w14:solidFill>
                          <w14:schemeClr w14:val="tx1"/>
                        </w14:solidFill>
                      </w14:textFill>
                    </w:rPr>
                    <w:t>（以烘干基计），%</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 xml:space="preserve">有效活菌数（cfu），亿/g </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水分</w:t>
                  </w:r>
                  <w:r>
                    <w:rPr>
                      <w:rFonts w:hint="eastAsia" w:hAnsi="宋体"/>
                      <w:color w:val="000000" w:themeColor="text1"/>
                      <w:kern w:val="0"/>
                      <w:szCs w:val="21"/>
                      <w14:textFill>
                        <w14:solidFill>
                          <w14:schemeClr w14:val="tx1"/>
                        </w14:solidFill>
                      </w14:textFill>
                    </w:rPr>
                    <w:t>的质量分数，%</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酸碱度</w:t>
                  </w:r>
                  <w:r>
                    <w:rPr>
                      <w:rFonts w:hint="eastAsia" w:hAnsi="宋体"/>
                      <w:color w:val="000000" w:themeColor="text1"/>
                      <w:kern w:val="0"/>
                      <w:szCs w:val="21"/>
                      <w14:textFill>
                        <w14:solidFill>
                          <w14:schemeClr w14:val="tx1"/>
                        </w14:solidFill>
                      </w14:textFill>
                    </w:rPr>
                    <w:t>（pH）</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restart"/>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限量</w:t>
                  </w:r>
                  <w:r>
                    <w:rPr>
                      <w:rFonts w:hAnsi="宋体"/>
                      <w:color w:val="000000" w:themeColor="text1"/>
                      <w:kern w:val="0"/>
                      <w:szCs w:val="21"/>
                      <w14:textFill>
                        <w14:solidFill>
                          <w14:schemeClr w14:val="tx1"/>
                        </w14:solidFill>
                      </w14:textFill>
                    </w:rPr>
                    <w:t>指标</w:t>
                  </w: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总砷（</w:t>
                  </w:r>
                  <w:r>
                    <w:rPr>
                      <w:color w:val="000000" w:themeColor="text1"/>
                      <w:kern w:val="0"/>
                      <w:szCs w:val="21"/>
                      <w14:textFill>
                        <w14:solidFill>
                          <w14:schemeClr w14:val="tx1"/>
                        </w14:solidFill>
                      </w14:textFill>
                    </w:rPr>
                    <w:t>As</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rFonts w:hAnsi="宋体"/>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总汞（</w:t>
                  </w:r>
                  <w:r>
                    <w:rPr>
                      <w:color w:val="000000" w:themeColor="text1"/>
                      <w:kern w:val="0"/>
                      <w:szCs w:val="21"/>
                      <w14:textFill>
                        <w14:solidFill>
                          <w14:schemeClr w14:val="tx1"/>
                        </w14:solidFill>
                      </w14:textFill>
                    </w:rPr>
                    <w:t>Hg</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rFonts w:hAnsi="宋体"/>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总铅（</w:t>
                  </w:r>
                  <w:r>
                    <w:rPr>
                      <w:color w:val="000000" w:themeColor="text1"/>
                      <w:kern w:val="0"/>
                      <w:szCs w:val="21"/>
                      <w14:textFill>
                        <w14:solidFill>
                          <w14:schemeClr w14:val="tx1"/>
                        </w14:solidFill>
                      </w14:textFill>
                    </w:rPr>
                    <w:t>Pb</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总镉（</w:t>
                  </w:r>
                  <w:r>
                    <w:rPr>
                      <w:color w:val="000000" w:themeColor="text1"/>
                      <w:kern w:val="0"/>
                      <w:szCs w:val="21"/>
                      <w14:textFill>
                        <w14:solidFill>
                          <w14:schemeClr w14:val="tx1"/>
                        </w14:solidFill>
                      </w14:textFill>
                    </w:rPr>
                    <w:t>Cd</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总铬（</w:t>
                  </w:r>
                  <w:r>
                    <w:rPr>
                      <w:color w:val="000000" w:themeColor="text1"/>
                      <w:kern w:val="0"/>
                      <w:szCs w:val="21"/>
                      <w14:textFill>
                        <w14:solidFill>
                          <w14:schemeClr w14:val="tx1"/>
                        </w14:solidFill>
                      </w14:textFill>
                    </w:rPr>
                    <w:t>Cr</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粪大肠杆菌数</w:t>
                  </w:r>
                  <w:r>
                    <w:rPr>
                      <w:rFonts w:hint="eastAsia"/>
                      <w:color w:val="000000" w:themeColor="text1"/>
                      <w:kern w:val="0"/>
                      <w:szCs w:val="21"/>
                      <w14:textFill>
                        <w14:solidFill>
                          <w14:schemeClr w14:val="tx1"/>
                        </w14:solidFill>
                      </w14:textFill>
                    </w:rPr>
                    <w:t>，</w:t>
                  </w:r>
                  <w:r>
                    <w:rPr>
                      <w:rFonts w:hAnsi="宋体"/>
                      <w:color w:val="000000" w:themeColor="text1"/>
                      <w:kern w:val="0"/>
                      <w:szCs w:val="21"/>
                      <w14:textFill>
                        <w14:solidFill>
                          <w14:schemeClr w14:val="tx1"/>
                        </w14:solidFill>
                      </w14:textFill>
                    </w:rPr>
                    <w:t>个</w:t>
                  </w:r>
                  <w:r>
                    <w:rPr>
                      <w:color w:val="000000" w:themeColor="text1"/>
                      <w:kern w:val="0"/>
                      <w:szCs w:val="21"/>
                      <w14:textFill>
                        <w14:solidFill>
                          <w14:schemeClr w14:val="tx1"/>
                        </w14:solidFill>
                      </w14:textFill>
                    </w:rPr>
                    <w:t>/g</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7" w:type="dxa"/>
                  <w:vMerge w:val="continue"/>
                  <w:vAlign w:val="center"/>
                </w:tcPr>
                <w:p>
                  <w:pPr>
                    <w:autoSpaceDE w:val="0"/>
                    <w:autoSpaceDN w:val="0"/>
                    <w:spacing w:line="276" w:lineRule="auto"/>
                    <w:jc w:val="center"/>
                    <w:rPr>
                      <w:color w:val="000000" w:themeColor="text1"/>
                      <w:kern w:val="0"/>
                      <w:szCs w:val="21"/>
                      <w14:textFill>
                        <w14:solidFill>
                          <w14:schemeClr w14:val="tx1"/>
                        </w14:solidFill>
                      </w14:textFill>
                    </w:rPr>
                  </w:pPr>
                </w:p>
              </w:tc>
              <w:tc>
                <w:tcPr>
                  <w:tcW w:w="4682"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蛔虫卵死亡率</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p>
              </w:tc>
              <w:tc>
                <w:tcPr>
                  <w:tcW w:w="2531" w:type="dxa"/>
                  <w:vAlign w:val="center"/>
                </w:tcPr>
                <w:p>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95</w:t>
                  </w:r>
                </w:p>
              </w:tc>
            </w:tr>
          </w:tbl>
          <w:p>
            <w:pPr>
              <w:pStyle w:val="75"/>
              <w:snapToGrid w:val="0"/>
              <w:spacing w:before="0" w:after="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p>
            <w:pPr>
              <w:pStyle w:val="75"/>
              <w:snapToGrid w:val="0"/>
              <w:spacing w:before="0" w:after="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w:t>
            </w:r>
            <w:r>
              <w:rPr>
                <w:rFonts w:hint="eastAsia" w:ascii="Times New Roman" w:hAnsi="Times New Roman" w:eastAsia="宋体" w:cs="Times New Roman"/>
                <w:bCs/>
                <w:color w:val="000000" w:themeColor="text1"/>
                <w:sz w:val="21"/>
                <w:szCs w:val="21"/>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6</w:t>
            </w:r>
            <w:r>
              <w:rPr>
                <w:rFonts w:ascii="Times New Roman" w:hAnsi="Times New Roman" w:eastAsia="宋体" w:cs="Times New Roman"/>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Cs/>
                <w:color w:val="000000" w:themeColor="text1"/>
                <w:sz w:val="21"/>
                <w:szCs w:val="21"/>
                <w14:textFill>
                  <w14:solidFill>
                    <w14:schemeClr w14:val="tx1"/>
                  </w14:solidFill>
                </w14:textFill>
              </w:rPr>
              <w:t>肥料中有毒有害物质的限量要求（基本项目）</w:t>
            </w:r>
          </w:p>
          <w:tbl>
            <w:tblPr>
              <w:tblStyle w:val="23"/>
              <w:tblW w:w="7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866"/>
              <w:gridCol w:w="2675"/>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91" w:type="dxa"/>
                  <w:vMerge w:val="restart"/>
                  <w:vAlign w:val="center"/>
                </w:tcPr>
                <w:p>
                  <w:pPr>
                    <w:adjustRightInd w:val="0"/>
                    <w:snapToGrid w:val="0"/>
                    <w:spacing w:line="360" w:lineRule="auto"/>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序号</w:t>
                  </w:r>
                </w:p>
              </w:tc>
              <w:tc>
                <w:tcPr>
                  <w:tcW w:w="1866" w:type="dxa"/>
                  <w:vMerge w:val="restart"/>
                  <w:vAlign w:val="center"/>
                </w:tcPr>
                <w:p>
                  <w:pPr>
                    <w:adjustRightInd w:val="0"/>
                    <w:snapToGrid w:val="0"/>
                    <w:spacing w:line="360" w:lineRule="auto"/>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项目</w:t>
                  </w:r>
                </w:p>
              </w:tc>
              <w:tc>
                <w:tcPr>
                  <w:tcW w:w="5275" w:type="dxa"/>
                  <w:gridSpan w:val="2"/>
                  <w:vAlign w:val="center"/>
                </w:tcPr>
                <w:p>
                  <w:pPr>
                    <w:adjustRightInd w:val="0"/>
                    <w:snapToGrid w:val="0"/>
                    <w:spacing w:line="360" w:lineRule="auto"/>
                    <w:jc w:val="center"/>
                    <w:rPr>
                      <w:b/>
                      <w:snapToGrid w:val="0"/>
                      <w:color w:val="000000" w:themeColor="text1"/>
                      <w:kern w:val="0"/>
                      <w:szCs w:val="21"/>
                      <w14:textFill>
                        <w14:solidFill>
                          <w14:schemeClr w14:val="tx1"/>
                        </w14:solidFill>
                      </w14:textFill>
                    </w:rPr>
                  </w:pPr>
                  <w:r>
                    <w:rPr>
                      <w:rFonts w:hint="eastAsia"/>
                      <w:b/>
                      <w:snapToGrid w:val="0"/>
                      <w:color w:val="000000" w:themeColor="text1"/>
                      <w:kern w:val="0"/>
                      <w:szCs w:val="21"/>
                      <w14:textFill>
                        <w14:solidFill>
                          <w14:schemeClr w14:val="tx1"/>
                        </w14:solidFill>
                      </w14:textFill>
                    </w:rPr>
                    <w:t>含量限值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791" w:type="dxa"/>
                  <w:vMerge w:val="continue"/>
                  <w:vAlign w:val="center"/>
                </w:tcPr>
                <w:p>
                  <w:pPr>
                    <w:adjustRightInd w:val="0"/>
                    <w:snapToGrid w:val="0"/>
                    <w:spacing w:line="360" w:lineRule="auto"/>
                    <w:jc w:val="center"/>
                    <w:rPr>
                      <w:color w:val="000000" w:themeColor="text1"/>
                      <w14:textFill>
                        <w14:solidFill>
                          <w14:schemeClr w14:val="tx1"/>
                        </w14:solidFill>
                      </w14:textFill>
                    </w:rPr>
                  </w:pPr>
                </w:p>
              </w:tc>
              <w:tc>
                <w:tcPr>
                  <w:tcW w:w="1866" w:type="dxa"/>
                  <w:vMerge w:val="continue"/>
                  <w:vAlign w:val="center"/>
                </w:tcPr>
                <w:p>
                  <w:pPr>
                    <w:adjustRightInd w:val="0"/>
                    <w:snapToGrid w:val="0"/>
                    <w:spacing w:line="360" w:lineRule="auto"/>
                    <w:jc w:val="center"/>
                    <w:rPr>
                      <w:color w:val="000000" w:themeColor="text1"/>
                      <w14:textFill>
                        <w14:solidFill>
                          <w14:schemeClr w14:val="tx1"/>
                        </w14:solidFill>
                      </w14:textFill>
                    </w:rPr>
                  </w:pPr>
                </w:p>
              </w:tc>
              <w:tc>
                <w:tcPr>
                  <w:tcW w:w="2675" w:type="dxa"/>
                  <w:vAlign w:val="center"/>
                </w:tcPr>
                <w:p>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无机肥料</w:t>
                  </w:r>
                </w:p>
              </w:tc>
              <w:tc>
                <w:tcPr>
                  <w:tcW w:w="2600" w:type="dxa"/>
                  <w:vAlign w:val="center"/>
                </w:tcPr>
                <w:p>
                  <w:pPr>
                    <w:adjustRightInd w:val="0"/>
                    <w:snapToGrid w:val="0"/>
                    <w:spacing w:line="360" w:lineRule="auto"/>
                    <w:jc w:val="center"/>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其他肥料</w:t>
                  </w:r>
                  <w:r>
                    <w:rPr>
                      <w:rFonts w:hint="eastAsia"/>
                      <w:color w:val="000000" w:themeColor="text1"/>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总镉</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10mg/kg</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总汞</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5mg/kg</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总砷</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50mg/kg</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总铅</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200mg/kg</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总铬</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500mg/kg</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总铊</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2.5mg/kg</w:t>
                  </w:r>
                </w:p>
              </w:tc>
              <w:tc>
                <w:tcPr>
                  <w:tcW w:w="2600"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1866" w:type="dxa"/>
                  <w:vAlign w:val="center"/>
                </w:tcPr>
                <w:p>
                  <w:pPr>
                    <w:adjustRightInd w:val="0"/>
                    <w:snapToGrid w:val="0"/>
                    <w:spacing w:line="360" w:lineRule="auto"/>
                    <w:jc w:val="center"/>
                    <w:rPr>
                      <w:rFonts w:ascii="宋体" w:hAnsi="宋体" w:cs="宋体"/>
                      <w:color w:val="000000" w:themeColor="text1"/>
                      <w:szCs w:val="21"/>
                      <w:vertAlign w:val="superscript"/>
                      <w14:textFill>
                        <w14:solidFill>
                          <w14:schemeClr w14:val="tx1"/>
                        </w14:solidFill>
                      </w14:textFill>
                    </w:rPr>
                  </w:pPr>
                  <w:r>
                    <w:rPr>
                      <w:rFonts w:hint="eastAsia" w:ascii="宋体" w:hAnsi="宋体" w:cs="宋体"/>
                      <w:color w:val="000000" w:themeColor="text1"/>
                      <w:szCs w:val="21"/>
                      <w14:textFill>
                        <w14:solidFill>
                          <w14:schemeClr w14:val="tx1"/>
                        </w14:solidFill>
                      </w14:textFill>
                    </w:rPr>
                    <w:t>缩二脲</w:t>
                  </w:r>
                  <w:r>
                    <w:rPr>
                      <w:rFonts w:hint="eastAsia" w:ascii="宋体" w:hAnsi="宋体" w:cs="宋体"/>
                      <w:color w:val="000000" w:themeColor="text1"/>
                      <w:szCs w:val="21"/>
                      <w:vertAlign w:val="superscript"/>
                      <w14:textFill>
                        <w14:solidFill>
                          <w14:schemeClr w14:val="tx1"/>
                        </w14:solidFill>
                      </w14:textFill>
                    </w:rPr>
                    <w:t>b</w:t>
                  </w:r>
                </w:p>
              </w:tc>
              <w:tc>
                <w:tcPr>
                  <w:tcW w:w="2675"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c>
                <w:tcPr>
                  <w:tcW w:w="2600" w:type="dxa"/>
                  <w:vAlign w:val="center"/>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蛔虫卵死亡率</w:t>
                  </w:r>
                </w:p>
              </w:tc>
              <w:tc>
                <w:tcPr>
                  <w:tcW w:w="2675" w:type="dxa"/>
                  <w:vAlign w:val="center"/>
                </w:tcPr>
                <w:p>
                  <w:pPr>
                    <w:adjustRightInd w:val="0"/>
                    <w:snapToGrid w:val="0"/>
                    <w:spacing w:line="360" w:lineRule="auto"/>
                    <w:jc w:val="center"/>
                    <w:rPr>
                      <w:color w:val="000000" w:themeColor="text1"/>
                      <w:szCs w:val="21"/>
                      <w:vertAlign w:val="superscript"/>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vertAlign w:val="superscript"/>
                      <w14:textFill>
                        <w14:solidFill>
                          <w14:schemeClr w14:val="tx1"/>
                        </w14:solidFill>
                      </w14:textFill>
                    </w:rPr>
                    <w:t>c</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1"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1866" w:type="dxa"/>
                  <w:vAlign w:val="center"/>
                </w:tcPr>
                <w:p>
                  <w:pPr>
                    <w:adjustRightInd w:val="0"/>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粪大肠菌群数</w:t>
                  </w:r>
                </w:p>
              </w:tc>
              <w:tc>
                <w:tcPr>
                  <w:tcW w:w="2675" w:type="dxa"/>
                  <w:vAlign w:val="center"/>
                </w:tcPr>
                <w:p>
                  <w:pPr>
                    <w:adjustRightInd w:val="0"/>
                    <w:snapToGrid w:val="0"/>
                    <w:spacing w:line="360" w:lineRule="auto"/>
                    <w:jc w:val="center"/>
                    <w:rPr>
                      <w:color w:val="000000" w:themeColor="text1"/>
                      <w:szCs w:val="21"/>
                      <w:vertAlign w:val="superscript"/>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vertAlign w:val="superscript"/>
                      <w14:textFill>
                        <w14:solidFill>
                          <w14:schemeClr w14:val="tx1"/>
                        </w14:solidFill>
                      </w14:textFill>
                    </w:rPr>
                    <w:t>c</w:t>
                  </w:r>
                </w:p>
              </w:tc>
              <w:tc>
                <w:tcPr>
                  <w:tcW w:w="2600" w:type="dxa"/>
                </w:tcPr>
                <w:p>
                  <w:pPr>
                    <w:adjustRightInd w:val="0"/>
                    <w:snapToGrid w:val="0"/>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100个/g或</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100个/mL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7932" w:type="dxa"/>
                  <w:gridSpan w:val="4"/>
                  <w:vAlign w:val="center"/>
                </w:tcPr>
                <w:p>
                  <w:pPr>
                    <w:adjustRightInd w:val="0"/>
                    <w:snapToGrid w:val="0"/>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a：除无机肥料以外的肥料，有毒有害物质含量以烘干基计。</w:t>
                  </w:r>
                </w:p>
                <w:p>
                  <w:pPr>
                    <w:pStyle w:val="22"/>
                    <w:ind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b：仅在标明总氮含量时进行检测和判定。</w:t>
                  </w:r>
                </w:p>
                <w:p>
                  <w:pPr>
                    <w:pStyle w:val="21"/>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c：该指标不做要求。</w:t>
                  </w:r>
                </w:p>
              </w:tc>
            </w:tr>
          </w:tbl>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三</w:t>
            </w:r>
            <w:r>
              <w:rPr>
                <w:b/>
                <w:color w:val="000000" w:themeColor="text1"/>
                <w:sz w:val="24"/>
                <w14:textFill>
                  <w14:solidFill>
                    <w14:schemeClr w14:val="tx1"/>
                  </w14:solidFill>
                </w14:textFill>
              </w:rPr>
              <w:t>、主要生产设施及设施参数</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本项目主要的生产设施及设施参数详见下表</w:t>
            </w:r>
            <w:r>
              <w:rPr>
                <w:rFonts w:hint="eastAsia"/>
                <w:bCs/>
                <w:color w:val="000000" w:themeColor="text1"/>
                <w:sz w:val="24"/>
                <w14:textFill>
                  <w14:solidFill>
                    <w14:schemeClr w14:val="tx1"/>
                  </w14:solidFill>
                </w14:textFill>
              </w:rPr>
              <w:t>。</w:t>
            </w:r>
          </w:p>
          <w:p>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7</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本项目的</w:t>
            </w:r>
            <w:r>
              <w:rPr>
                <w:b/>
                <w:color w:val="000000" w:themeColor="text1"/>
                <w:szCs w:val="21"/>
                <w14:textFill>
                  <w14:solidFill>
                    <w14:schemeClr w14:val="tx1"/>
                  </w14:solidFill>
                </w14:textFill>
              </w:rPr>
              <w:t>设备清单一览表</w:t>
            </w:r>
          </w:p>
          <w:tbl>
            <w:tblPr>
              <w:tblStyle w:val="23"/>
              <w:tblW w:w="7945" w:type="dxa"/>
              <w:jc w:val="center"/>
              <w:tblInd w:w="0" w:type="dxa"/>
              <w:tblLayout w:type="fixed"/>
              <w:tblCellMar>
                <w:top w:w="15" w:type="dxa"/>
                <w:left w:w="15" w:type="dxa"/>
                <w:bottom w:w="15" w:type="dxa"/>
                <w:right w:w="15" w:type="dxa"/>
              </w:tblCellMar>
            </w:tblPr>
            <w:tblGrid>
              <w:gridCol w:w="751"/>
              <w:gridCol w:w="3850"/>
              <w:gridCol w:w="2591"/>
              <w:gridCol w:w="753"/>
            </w:tblGrid>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序号</w:t>
                  </w:r>
                </w:p>
              </w:tc>
              <w:tc>
                <w:tcPr>
                  <w:tcW w:w="385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名称</w:t>
                  </w:r>
                </w:p>
              </w:tc>
              <w:tc>
                <w:tcPr>
                  <w:tcW w:w="25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型号</w:t>
                  </w:r>
                </w:p>
              </w:tc>
              <w:tc>
                <w:tcPr>
                  <w:tcW w:w="7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数量</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装载机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ZL-30型</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2</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翻抛机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20t/h</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1</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3</w:t>
                  </w:r>
                </w:p>
              </w:tc>
              <w:tc>
                <w:tcPr>
                  <w:tcW w:w="385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菌种加料器</w:t>
                  </w:r>
                </w:p>
              </w:tc>
              <w:tc>
                <w:tcPr>
                  <w:tcW w:w="25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w:t>
                  </w:r>
                </w:p>
              </w:tc>
              <w:tc>
                <w:tcPr>
                  <w:tcW w:w="7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4</w:t>
                  </w:r>
                </w:p>
              </w:tc>
              <w:tc>
                <w:tcPr>
                  <w:tcW w:w="385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双斗自动包装</w:t>
                  </w:r>
                  <w:r>
                    <w:rPr>
                      <w:rFonts w:hint="eastAsia" w:eastAsiaTheme="minorEastAsia"/>
                      <w:color w:val="000000" w:themeColor="text1"/>
                      <w:spacing w:val="-2"/>
                      <w:kern w:val="0"/>
                      <w:szCs w:val="21"/>
                      <w:lang w:bidi="ar"/>
                      <w14:textFill>
                        <w14:solidFill>
                          <w14:schemeClr w14:val="tx1"/>
                        </w14:solidFill>
                      </w14:textFill>
                    </w:rPr>
                    <w:t>机</w:t>
                  </w:r>
                </w:p>
              </w:tc>
              <w:tc>
                <w:tcPr>
                  <w:tcW w:w="25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3-4包/分钟</w:t>
                  </w:r>
                </w:p>
              </w:tc>
              <w:tc>
                <w:tcPr>
                  <w:tcW w:w="7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5</w:t>
                  </w:r>
                </w:p>
              </w:tc>
              <w:tc>
                <w:tcPr>
                  <w:tcW w:w="385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运输车辆</w:t>
                  </w:r>
                </w:p>
              </w:tc>
              <w:tc>
                <w:tcPr>
                  <w:tcW w:w="25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20-30T</w:t>
                  </w:r>
                </w:p>
              </w:tc>
              <w:tc>
                <w:tcPr>
                  <w:tcW w:w="7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tblPrEx>
                <w:tblLayout w:type="fixed"/>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6</w:t>
                  </w:r>
                </w:p>
              </w:tc>
              <w:tc>
                <w:tcPr>
                  <w:tcW w:w="385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雾炮机</w:t>
                  </w:r>
                </w:p>
              </w:tc>
              <w:tc>
                <w:tcPr>
                  <w:tcW w:w="259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eastAsiaTheme="minorEastAsia"/>
                      <w:color w:val="000000" w:themeColor="text1"/>
                      <w:szCs w:val="21"/>
                      <w14:textFill>
                        <w14:solidFill>
                          <w14:schemeClr w14:val="tx1"/>
                        </w14:solidFill>
                      </w14:textFill>
                    </w:rPr>
                  </w:pPr>
                </w:p>
              </w:tc>
              <w:tc>
                <w:tcPr>
                  <w:tcW w:w="7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2</w:t>
                  </w:r>
                </w:p>
              </w:tc>
            </w:tr>
          </w:tbl>
          <w:p>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本项目采购原料可满足生产需求，不需要进行破碎、烘干等环节，产品的质量检测每批次定期委托相应的检测机构进行，项目区不设置实验室和检测仪器。</w:t>
            </w:r>
          </w:p>
          <w:p>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四</w:t>
            </w:r>
            <w:r>
              <w:rPr>
                <w:b/>
                <w:color w:val="000000" w:themeColor="text1"/>
                <w:sz w:val="24"/>
                <w14:textFill>
                  <w14:solidFill>
                    <w14:schemeClr w14:val="tx1"/>
                  </w14:solidFill>
                </w14:textFill>
              </w:rPr>
              <w:t>、主要原辅材料及燃料的种类、用量：</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1、主要原辅料种类及用量</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本项目原辅材料及用量详见表2-</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w:t>
            </w:r>
          </w:p>
          <w:p>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8</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w:t>
            </w:r>
            <w:r>
              <w:rPr>
                <w:b/>
                <w:color w:val="000000" w:themeColor="text1"/>
                <w:szCs w:val="21"/>
                <w14:textFill>
                  <w14:solidFill>
                    <w14:schemeClr w14:val="tx1"/>
                  </w14:solidFill>
                </w14:textFill>
              </w:rPr>
              <w:t>原辅料用量及来源</w:t>
            </w:r>
          </w:p>
          <w:tbl>
            <w:tblPr>
              <w:tblStyle w:val="23"/>
              <w:tblW w:w="7945" w:type="dxa"/>
              <w:jc w:val="center"/>
              <w:tblInd w:w="0" w:type="dxa"/>
              <w:tblLayout w:type="fixed"/>
              <w:tblCellMar>
                <w:top w:w="15" w:type="dxa"/>
                <w:left w:w="15" w:type="dxa"/>
                <w:bottom w:w="15" w:type="dxa"/>
                <w:right w:w="15" w:type="dxa"/>
              </w:tblCellMar>
            </w:tblPr>
            <w:tblGrid>
              <w:gridCol w:w="653"/>
              <w:gridCol w:w="2425"/>
              <w:gridCol w:w="1425"/>
              <w:gridCol w:w="1078"/>
              <w:gridCol w:w="1334"/>
              <w:gridCol w:w="1030"/>
            </w:tblGrid>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序号</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原辅料名称</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年耗量</w:t>
                  </w:r>
                  <w:r>
                    <w:rPr>
                      <w:rFonts w:hint="eastAsia"/>
                      <w:color w:val="000000" w:themeColor="text1"/>
                      <w:spacing w:val="-2"/>
                      <w:kern w:val="0"/>
                      <w:szCs w:val="21"/>
                      <w:lang w:bidi="ar"/>
                      <w14:textFill>
                        <w14:solidFill>
                          <w14:schemeClr w14:val="tx1"/>
                        </w14:solidFill>
                      </w14:textFill>
                    </w:rPr>
                    <w:t>（t）</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含水率（%）</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最大暂存量（t）</w:t>
                  </w:r>
                </w:p>
              </w:tc>
              <w:tc>
                <w:tcPr>
                  <w:tcW w:w="103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备注</w:t>
                  </w:r>
                </w:p>
              </w:tc>
            </w:tr>
            <w:tr>
              <w:tblPrEx>
                <w:tblLayout w:type="fixed"/>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一、有机肥生产线</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40000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30~4</w:t>
                  </w:r>
                  <w:r>
                    <w:rPr>
                      <w:rFonts w:hint="eastAsia"/>
                      <w:color w:val="000000" w:themeColor="text1"/>
                      <w:spacing w:val="-2"/>
                      <w:kern w:val="0"/>
                      <w:szCs w:val="21"/>
                      <w:lang w:bidi="ar"/>
                      <w14:textFill>
                        <w14:solidFill>
                          <w14:schemeClr w14:val="tx1"/>
                        </w14:solidFill>
                      </w14:textFill>
                    </w:rPr>
                    <w:t>0</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2666</w:t>
                  </w:r>
                </w:p>
              </w:tc>
              <w:tc>
                <w:tcPr>
                  <w:tcW w:w="1030" w:type="dxa"/>
                  <w:vMerge w:val="restart"/>
                  <w:tcBorders>
                    <w:top w:val="single" w:color="000000" w:sz="4" w:space="0"/>
                    <w:left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寻甸周边购买</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10000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10-15</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666</w:t>
                  </w:r>
                </w:p>
              </w:tc>
              <w:tc>
                <w:tcPr>
                  <w:tcW w:w="1030" w:type="dxa"/>
                  <w:vMerge w:val="continue"/>
                  <w:tcBorders>
                    <w:left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166</w:t>
                  </w:r>
                </w:p>
              </w:tc>
              <w:tc>
                <w:tcPr>
                  <w:tcW w:w="1030" w:type="dxa"/>
                  <w:vMerge w:val="continue"/>
                  <w:tcBorders>
                    <w:left w:val="single" w:color="000000" w:sz="4" w:space="0"/>
                    <w:bottom w:val="single" w:color="auto"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0.67</w:t>
                  </w:r>
                </w:p>
              </w:tc>
              <w:tc>
                <w:tcPr>
                  <w:tcW w:w="1030"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地衣芽孢杆菌、枯草芽孢杆菌、酵母菌等</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4000</w:t>
                  </w:r>
                </w:p>
              </w:tc>
              <w:tc>
                <w:tcPr>
                  <w:tcW w:w="3442"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已建供水系统提供</w:t>
                  </w:r>
                </w:p>
              </w:tc>
            </w:tr>
            <w:tr>
              <w:tblPrEx>
                <w:tblLayout w:type="fixed"/>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二、中量元素有机肥生产线</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尾矿</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12-15</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1666</w:t>
                  </w:r>
                </w:p>
              </w:tc>
              <w:tc>
                <w:tcPr>
                  <w:tcW w:w="1030" w:type="dxa"/>
                  <w:tcBorders>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中化云龙</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20000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30~4</w:t>
                  </w:r>
                  <w:r>
                    <w:rPr>
                      <w:rFonts w:hint="eastAsia"/>
                      <w:color w:val="000000" w:themeColor="text1"/>
                      <w:spacing w:val="-2"/>
                      <w:kern w:val="0"/>
                      <w:szCs w:val="21"/>
                      <w:lang w:bidi="ar"/>
                      <w14:textFill>
                        <w14:solidFill>
                          <w14:schemeClr w14:val="tx1"/>
                        </w14:solidFill>
                      </w14:textFill>
                    </w:rPr>
                    <w:t>0</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1333</w:t>
                  </w:r>
                </w:p>
              </w:tc>
              <w:tc>
                <w:tcPr>
                  <w:tcW w:w="1030" w:type="dxa"/>
                  <w:vMerge w:val="restart"/>
                  <w:tcBorders>
                    <w:left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寻甸周边购买</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5000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10-15</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333</w:t>
                  </w:r>
                </w:p>
              </w:tc>
              <w:tc>
                <w:tcPr>
                  <w:tcW w:w="1030" w:type="dxa"/>
                  <w:vMerge w:val="continue"/>
                  <w:tcBorders>
                    <w:left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166</w:t>
                  </w:r>
                </w:p>
              </w:tc>
              <w:tc>
                <w:tcPr>
                  <w:tcW w:w="1030" w:type="dxa"/>
                  <w:vMerge w:val="continue"/>
                  <w:tcBorders>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0.67</w:t>
                  </w:r>
                </w:p>
              </w:tc>
              <w:tc>
                <w:tcPr>
                  <w:tcW w:w="1030" w:type="dxa"/>
                  <w:tcBorders>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地衣芽孢杆菌、枯草芽孢杆菌、酵母菌等</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6000</w:t>
                  </w:r>
                </w:p>
              </w:tc>
              <w:tc>
                <w:tcPr>
                  <w:tcW w:w="3442"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已建供水系统提供</w:t>
                  </w:r>
                </w:p>
              </w:tc>
            </w:tr>
            <w:tr>
              <w:tblPrEx>
                <w:tblLayout w:type="fixed"/>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其他</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生物除臭剂</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107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33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w:t>
                  </w:r>
                </w:p>
              </w:tc>
              <w:tc>
                <w:tcPr>
                  <w:tcW w:w="1030" w:type="dxa"/>
                  <w:tcBorders>
                    <w:top w:val="single" w:color="000000" w:sz="4" w:space="0"/>
                    <w:left w:val="single" w:color="000000" w:sz="4" w:space="0"/>
                    <w:bottom w:val="single" w:color="000000" w:sz="4" w:space="0"/>
                    <w:right w:val="single" w:color="000000" w:sz="4" w:space="0"/>
                  </w:tcBorders>
                </w:tcPr>
                <w:p>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寻甸周边购买</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383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11531</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r>
                    <w:rPr>
                      <w:rFonts w:hint="eastAsia"/>
                      <w:color w:val="000000" w:themeColor="text1"/>
                      <w:spacing w:val="-2"/>
                      <w:kern w:val="0"/>
                      <w:szCs w:val="21"/>
                      <w:lang w:bidi="ar"/>
                      <w14:textFill>
                        <w14:solidFill>
                          <w14:schemeClr w14:val="tx1"/>
                        </w14:solidFill>
                      </w14:textFill>
                    </w:rPr>
                    <w:t>，当地已建供水系统提供</w:t>
                  </w:r>
                </w:p>
              </w:tc>
              <w:tc>
                <w:tcPr>
                  <w:tcW w:w="1030" w:type="dxa"/>
                  <w:tcBorders>
                    <w:top w:val="single" w:color="000000" w:sz="4" w:space="0"/>
                    <w:left w:val="single" w:color="000000" w:sz="4" w:space="0"/>
                    <w:bottom w:val="single" w:color="000000" w:sz="4" w:space="0"/>
                    <w:right w:val="single" w:color="000000" w:sz="4" w:space="0"/>
                  </w:tcBorders>
                </w:tcPr>
                <w:p>
                  <w:pPr>
                    <w:adjustRightInd w:val="0"/>
                    <w:snapToGrid w:val="0"/>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 xml:space="preserve">  </w:t>
                  </w:r>
                </w:p>
              </w:tc>
            </w:tr>
            <w:tr>
              <w:tblPrEx>
                <w:tblLayout w:type="fixed"/>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w:t>
                  </w:r>
                </w:p>
              </w:tc>
              <w:tc>
                <w:tcPr>
                  <w:tcW w:w="24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电</w:t>
                  </w:r>
                </w:p>
              </w:tc>
              <w:tc>
                <w:tcPr>
                  <w:tcW w:w="3837"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100万</w:t>
                  </w:r>
                  <w:r>
                    <w:rPr>
                      <w:color w:val="000000" w:themeColor="text1"/>
                      <w:szCs w:val="21"/>
                      <w14:textFill>
                        <w14:solidFill>
                          <w14:schemeClr w14:val="tx1"/>
                        </w14:solidFill>
                      </w14:textFill>
                    </w:rPr>
                    <w:t>kW·h/a</w:t>
                  </w:r>
                  <w:r>
                    <w:rPr>
                      <w:rFonts w:hint="eastAsia"/>
                      <w:color w:val="000000" w:themeColor="text1"/>
                      <w:szCs w:val="21"/>
                      <w14:textFill>
                        <w14:solidFill>
                          <w14:schemeClr w14:val="tx1"/>
                        </w14:solidFill>
                      </w14:textFill>
                    </w:rPr>
                    <w:t>，当地已建供电系统提供</w:t>
                  </w:r>
                </w:p>
              </w:tc>
              <w:tc>
                <w:tcPr>
                  <w:tcW w:w="1030" w:type="dxa"/>
                  <w:tcBorders>
                    <w:top w:val="single" w:color="000000" w:sz="4" w:space="0"/>
                    <w:left w:val="single" w:color="000000" w:sz="4" w:space="0"/>
                    <w:bottom w:val="single" w:color="000000" w:sz="4" w:space="0"/>
                    <w:right w:val="single" w:color="000000" w:sz="4" w:space="0"/>
                  </w:tcBorders>
                </w:tcPr>
                <w:p>
                  <w:pPr>
                    <w:adjustRightInd w:val="0"/>
                    <w:snapToGrid w:val="0"/>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 xml:space="preserve">  </w:t>
                  </w:r>
                </w:p>
              </w:tc>
            </w:tr>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项目产品生物有机肥和</w:t>
            </w:r>
            <w:r>
              <w:rPr>
                <w:rFonts w:hint="eastAsia"/>
                <w:color w:val="000000" w:themeColor="text1"/>
                <w:sz w:val="24"/>
                <w14:textFill>
                  <w14:solidFill>
                    <w14:schemeClr w14:val="tx1"/>
                  </w14:solidFill>
                </w14:textFill>
              </w:rPr>
              <w:t>中量元素有机肥</w:t>
            </w:r>
            <w:r>
              <w:rPr>
                <w:rFonts w:hint="eastAsia" w:ascii="宋体" w:hAnsi="宋体" w:cs="宋体"/>
                <w:color w:val="000000" w:themeColor="text1"/>
                <w:sz w:val="24"/>
                <w14:textFill>
                  <w14:solidFill>
                    <w14:schemeClr w14:val="tx1"/>
                  </w14:solidFill>
                </w14:textFill>
              </w:rPr>
              <w:t>每批次周期约为20天，每年生产15个批次。原料发酵、陈化需要15天，产品生产加工需要5天。厂区每次仅进行一批次有机肥和</w:t>
            </w:r>
            <w:r>
              <w:rPr>
                <w:rFonts w:hint="eastAsia"/>
                <w:color w:val="000000" w:themeColor="text1"/>
                <w:sz w:val="24"/>
                <w14:textFill>
                  <w14:solidFill>
                    <w14:schemeClr w14:val="tx1"/>
                  </w14:solidFill>
                </w14:textFill>
              </w:rPr>
              <w:t>中量元素有机肥</w:t>
            </w:r>
            <w:r>
              <w:rPr>
                <w:rFonts w:hint="eastAsia" w:ascii="宋体" w:hAnsi="宋体" w:cs="宋体"/>
                <w:color w:val="000000" w:themeColor="text1"/>
                <w:sz w:val="24"/>
                <w14:textFill>
                  <w14:solidFill>
                    <w14:schemeClr w14:val="tx1"/>
                  </w14:solidFill>
                </w14:textFill>
              </w:rPr>
              <w:t>生产和原料储存，项目前期按照配比配料、混合后发酵、陈化，陈化后</w:t>
            </w:r>
            <w:r>
              <w:rPr>
                <w:rFonts w:hint="eastAsia"/>
                <w:color w:val="000000" w:themeColor="text1"/>
                <w:sz w:val="24"/>
                <w14:textFill>
                  <w14:solidFill>
                    <w14:schemeClr w14:val="tx1"/>
                  </w14:solidFill>
                </w14:textFill>
              </w:rPr>
              <w:t>中量元素有机肥</w:t>
            </w:r>
            <w:r>
              <w:rPr>
                <w:rFonts w:hint="eastAsia" w:ascii="宋体" w:hAnsi="宋体" w:cs="宋体"/>
                <w:color w:val="000000" w:themeColor="text1"/>
                <w:sz w:val="24"/>
                <w14:textFill>
                  <w14:solidFill>
                    <w14:schemeClr w14:val="tx1"/>
                  </w14:solidFill>
                </w14:textFill>
              </w:rPr>
              <w:t>加入尾矿混合、包装、入库待售，生物有机肥陈化后包装、入库待售。项目每批次原料用量配比如下：</w:t>
            </w:r>
          </w:p>
          <w:p>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表2-9 项目每批次原料用量</w:t>
            </w:r>
          </w:p>
          <w:tbl>
            <w:tblPr>
              <w:tblStyle w:val="23"/>
              <w:tblpPr w:leftFromText="180" w:rightFromText="180" w:vertAnchor="text" w:tblpXSpec="center" w:tblpY="1"/>
              <w:tblOverlap w:val="never"/>
              <w:tblW w:w="826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2"/>
              <w:gridCol w:w="1628"/>
              <w:gridCol w:w="1517"/>
              <w:gridCol w:w="933"/>
              <w:gridCol w:w="1684"/>
              <w:gridCol w:w="18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628"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主要原、辅材料</w:t>
                  </w:r>
                </w:p>
              </w:tc>
              <w:tc>
                <w:tcPr>
                  <w:tcW w:w="1517"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单次用量（t）</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684"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主要原、辅材料</w:t>
                  </w:r>
                </w:p>
              </w:tc>
              <w:tc>
                <w:tcPr>
                  <w:tcW w:w="182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单次用量（t）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3827" w:type="dxa"/>
                  <w:gridSpan w:val="3"/>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有机肥生产线</w:t>
                  </w:r>
                </w:p>
              </w:tc>
              <w:tc>
                <w:tcPr>
                  <w:tcW w:w="4439" w:type="dxa"/>
                  <w:gridSpan w:val="3"/>
                  <w:vAlign w:val="center"/>
                </w:tcPr>
                <w:p>
                  <w:pPr>
                    <w:widowControl/>
                    <w:jc w:val="center"/>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中量元素有机肥生产线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628"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1517"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2666</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684"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1822"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628"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1517"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666</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684"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尾矿</w:t>
                  </w:r>
                </w:p>
              </w:tc>
              <w:tc>
                <w:tcPr>
                  <w:tcW w:w="1822" w:type="dxa"/>
                  <w:vAlign w:val="center"/>
                </w:tcPr>
                <w:p>
                  <w:pPr>
                    <w:widowControl/>
                    <w:adjustRightInd w:val="0"/>
                    <w:snapToGrid w:val="0"/>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628"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1517"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166</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684"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1822"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628"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1517"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0.67</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684"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1822" w:type="dxa"/>
                  <w:vAlign w:val="center"/>
                </w:tcPr>
                <w:p>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628"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w:t>
                  </w:r>
                </w:p>
              </w:tc>
              <w:tc>
                <w:tcPr>
                  <w:tcW w:w="1517"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266.7</w:t>
                  </w: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684" w:type="dxa"/>
                  <w:vAlign w:val="center"/>
                </w:tcPr>
                <w:p>
                  <w:pPr>
                    <w:widowControl/>
                    <w:adjustRightInd w:val="0"/>
                    <w:snapToGrid w:val="0"/>
                    <w:jc w:val="center"/>
                    <w:textAlignment w:val="bottom"/>
                    <w:rPr>
                      <w:rFonts w:ascii="宋体" w:hAnsi="宋体" w:cs="宋体"/>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1822" w:type="dxa"/>
                  <w:vAlign w:val="center"/>
                </w:tcPr>
                <w:p>
                  <w:pPr>
                    <w:widowControl/>
                    <w:adjustRightInd w:val="0"/>
                    <w:snapToGrid w:val="0"/>
                    <w:jc w:val="center"/>
                    <w:textAlignment w:val="bottom"/>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 w:hRule="atLeast"/>
                <w:jc w:val="center"/>
              </w:trPr>
              <w:tc>
                <w:tcPr>
                  <w:tcW w:w="682" w:type="dxa"/>
                  <w:vAlign w:val="center"/>
                </w:tcPr>
                <w:p>
                  <w:pPr>
                    <w:widowControl/>
                    <w:jc w:val="center"/>
                    <w:rPr>
                      <w:rFonts w:ascii="宋体" w:hAnsi="宋体" w:cs="宋体"/>
                      <w:color w:val="000000" w:themeColor="text1"/>
                      <w:szCs w:val="21"/>
                      <w14:textFill>
                        <w14:solidFill>
                          <w14:schemeClr w14:val="tx1"/>
                        </w14:solidFill>
                      </w14:textFill>
                    </w:rPr>
                  </w:pPr>
                </w:p>
              </w:tc>
              <w:tc>
                <w:tcPr>
                  <w:tcW w:w="1628" w:type="dxa"/>
                  <w:vAlign w:val="center"/>
                </w:tcPr>
                <w:p>
                  <w:pPr>
                    <w:widowControl/>
                    <w:jc w:val="center"/>
                    <w:rPr>
                      <w:rFonts w:ascii="宋体" w:hAnsi="宋体" w:cs="宋体"/>
                      <w:color w:val="000000" w:themeColor="text1"/>
                      <w:szCs w:val="21"/>
                      <w14:textFill>
                        <w14:solidFill>
                          <w14:schemeClr w14:val="tx1"/>
                        </w14:solidFill>
                      </w14:textFill>
                    </w:rPr>
                  </w:pPr>
                </w:p>
              </w:tc>
              <w:tc>
                <w:tcPr>
                  <w:tcW w:w="1517" w:type="dxa"/>
                  <w:vAlign w:val="center"/>
                </w:tcPr>
                <w:p>
                  <w:pPr>
                    <w:widowControl/>
                    <w:jc w:val="center"/>
                    <w:rPr>
                      <w:rFonts w:ascii="宋体" w:hAnsi="宋体" w:cs="宋体"/>
                      <w:color w:val="000000" w:themeColor="text1"/>
                      <w:szCs w:val="21"/>
                      <w14:textFill>
                        <w14:solidFill>
                          <w14:schemeClr w14:val="tx1"/>
                        </w14:solidFill>
                      </w14:textFill>
                    </w:rPr>
                  </w:pPr>
                </w:p>
              </w:tc>
              <w:tc>
                <w:tcPr>
                  <w:tcW w:w="933"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1684"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w:t>
                  </w:r>
                </w:p>
              </w:tc>
              <w:tc>
                <w:tcPr>
                  <w:tcW w:w="1822" w:type="dxa"/>
                  <w:vAlign w:val="center"/>
                </w:tcPr>
                <w:p>
                  <w:pPr>
                    <w:widowControl/>
                    <w:jc w:val="center"/>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400</w:t>
                  </w:r>
                </w:p>
              </w:tc>
            </w:tr>
          </w:tbl>
          <w:p>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2、主要原辅料供应指标</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本项目所需</w:t>
            </w:r>
            <w:r>
              <w:rPr>
                <w:rFonts w:hint="eastAsia"/>
                <w:bCs/>
                <w:color w:val="000000" w:themeColor="text1"/>
                <w:sz w:val="24"/>
                <w14:textFill>
                  <w14:solidFill>
                    <w14:schemeClr w14:val="tx1"/>
                  </w14:solidFill>
                </w14:textFill>
              </w:rPr>
              <w:t>草炭</w:t>
            </w:r>
            <w:r>
              <w:rPr>
                <w:rFonts w:hint="eastAsia"/>
                <w:color w:val="000000" w:themeColor="text1"/>
                <w:sz w:val="24"/>
                <w14:textFill>
                  <w14:solidFill>
                    <w14:schemeClr w14:val="tx1"/>
                  </w14:solidFill>
                </w14:textFill>
              </w:rPr>
              <w:t>（泥煤）</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锯木屑、发酵菌剂、尿素</w:t>
            </w:r>
            <w:r>
              <w:rPr>
                <w:bCs/>
                <w:color w:val="000000" w:themeColor="text1"/>
                <w:sz w:val="24"/>
                <w14:textFill>
                  <w14:solidFill>
                    <w14:schemeClr w14:val="tx1"/>
                  </w14:solidFill>
                </w14:textFill>
              </w:rPr>
              <w:t>从</w:t>
            </w:r>
            <w:r>
              <w:rPr>
                <w:rFonts w:hint="eastAsia"/>
                <w:bCs/>
                <w:color w:val="000000" w:themeColor="text1"/>
                <w:sz w:val="24"/>
                <w14:textFill>
                  <w14:solidFill>
                    <w14:schemeClr w14:val="tx1"/>
                  </w14:solidFill>
                </w14:textFill>
              </w:rPr>
              <w:t>寻甸县</w:t>
            </w:r>
            <w:r>
              <w:rPr>
                <w:bCs/>
                <w:color w:val="000000" w:themeColor="text1"/>
                <w:sz w:val="24"/>
                <w14:textFill>
                  <w14:solidFill>
                    <w14:schemeClr w14:val="tx1"/>
                  </w14:solidFill>
                </w14:textFill>
              </w:rPr>
              <w:t>及周边采购，</w:t>
            </w:r>
            <w:r>
              <w:rPr>
                <w:rFonts w:hint="eastAsia"/>
                <w:color w:val="000000" w:themeColor="text1"/>
                <w:sz w:val="24"/>
                <w14:textFill>
                  <w14:solidFill>
                    <w14:schemeClr w14:val="tx1"/>
                  </w14:solidFill>
                </w14:textFill>
              </w:rPr>
              <w:t>磷矿石浮选尾矿</w:t>
            </w:r>
            <w:r>
              <w:rPr>
                <w:rFonts w:hint="eastAsia"/>
                <w:bCs/>
                <w:color w:val="000000" w:themeColor="text1"/>
                <w:sz w:val="24"/>
                <w14:textFill>
                  <w14:solidFill>
                    <w14:schemeClr w14:val="tx1"/>
                  </w14:solidFill>
                </w14:textFill>
              </w:rPr>
              <w:t>采购中化云龙有限公司磷矿石浮选生产中产生的尾矿</w:t>
            </w:r>
            <w:r>
              <w:rPr>
                <w:bCs/>
                <w:color w:val="000000" w:themeColor="text1"/>
                <w:sz w:val="24"/>
                <w14:textFill>
                  <w14:solidFill>
                    <w14:schemeClr w14:val="tx1"/>
                  </w14:solidFill>
                </w14:textFill>
              </w:rPr>
              <w:t>。</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草炭</w:t>
            </w:r>
            <w:r>
              <w:rPr>
                <w:rFonts w:hint="eastAsia"/>
                <w:color w:val="000000" w:themeColor="text1"/>
                <w:sz w:val="24"/>
                <w14:textFill>
                  <w14:solidFill>
                    <w14:schemeClr w14:val="tx1"/>
                  </w14:solidFill>
                </w14:textFill>
              </w:rPr>
              <w:t>（泥煤）</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草</w:t>
            </w:r>
            <w:r>
              <w:rPr>
                <w:bCs/>
                <w:color w:val="000000" w:themeColor="text1"/>
                <w:sz w:val="24"/>
                <w14:textFill>
                  <w14:solidFill>
                    <w14:schemeClr w14:val="tx1"/>
                  </w14:solidFill>
                </w14:textFill>
              </w:rPr>
              <w:t>炭富含有</w:t>
            </w:r>
            <w:r>
              <w:rPr>
                <w:rFonts w:hint="eastAsia"/>
                <w:bCs/>
                <w:color w:val="000000" w:themeColor="text1"/>
                <w:sz w:val="24"/>
                <w:lang w:eastAsia="zh-CN"/>
                <w14:textFill>
                  <w14:solidFill>
                    <w14:schemeClr w14:val="tx1"/>
                  </w14:solidFill>
                </w14:textFill>
              </w:rPr>
              <w:t>机</w:t>
            </w:r>
            <w:r>
              <w:rPr>
                <w:bCs/>
                <w:color w:val="000000" w:themeColor="text1"/>
                <w:sz w:val="24"/>
                <w14:textFill>
                  <w14:solidFill>
                    <w14:schemeClr w14:val="tx1"/>
                  </w14:solidFill>
                </w14:textFill>
              </w:rPr>
              <w:t>质</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高含腐殖酸</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且各种营养元素也较丰富因而在工农医诸方面有着广泛的用途</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成为该区宝贵的自然资源。</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草炭的性能与作用：</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①草炭的丰产作用：草炭属酸性，地表上作物大多是喜欢酸性的，草炭能起到降低PH、使作物、植物生长茂盛，作物植物施用草炭基肥，基</w:t>
            </w:r>
            <w:r>
              <w:rPr>
                <w:rFonts w:hint="eastAsia"/>
                <w:bCs/>
                <w:color w:val="000000" w:themeColor="text1"/>
                <w:sz w:val="24"/>
                <w:lang w:eastAsia="zh-CN"/>
                <w14:textFill>
                  <w14:solidFill>
                    <w14:schemeClr w14:val="tx1"/>
                  </w14:solidFill>
                </w14:textFill>
              </w:rPr>
              <w:t>秆</w:t>
            </w:r>
            <w:r>
              <w:rPr>
                <w:bCs/>
                <w:color w:val="000000" w:themeColor="text1"/>
                <w:sz w:val="24"/>
                <w14:textFill>
                  <w14:solidFill>
                    <w14:schemeClr w14:val="tx1"/>
                  </w14:solidFill>
                </w14:textFill>
              </w:rPr>
              <w:t>粗壮，清秀挺拔，果实饱满，增产11%-16%之间。</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②草炭的生理作用：草炭疏松，集水量强，所以，有草炭土的地方，万物壮丽，土壤里的水带有</w:t>
            </w:r>
            <w:r>
              <w:rPr>
                <w:rFonts w:hint="eastAsia"/>
                <w:bCs/>
                <w:color w:val="000000" w:themeColor="text1"/>
                <w:sz w:val="24"/>
                <w:lang w:eastAsia="zh-CN"/>
                <w14:textFill>
                  <w14:solidFill>
                    <w14:schemeClr w14:val="tx1"/>
                  </w14:solidFill>
                </w14:textFill>
              </w:rPr>
              <w:t>益</w:t>
            </w:r>
            <w:r>
              <w:rPr>
                <w:bCs/>
                <w:color w:val="000000" w:themeColor="text1"/>
                <w:sz w:val="24"/>
                <w14:textFill>
                  <w14:solidFill>
                    <w14:schemeClr w14:val="tx1"/>
                  </w14:solidFill>
                </w14:textFill>
              </w:rPr>
              <w:t>元素。先期草炭急集水，后期缓放水分，通过急集、缓放过程，能促使作物植物对磷的吸收，且提高土壤中磷的释放率，而且也能提高作物植物后期对氮的利用率，加速氮的运输和积累，也有提高酸与氮比的作用。结实期地表土层的磷、氮分别比对照地块增加9.6%和34.2%，钾的吸收量也略增加。有草炭的农田后期不用施肥，有草炭的旷野长势整个生长期旺盛。</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③草炭的对抗性作用：增加土壤中草炭，通透性好，作物植物根多、根全、根壮，作物植物茎基部第二节的抗折强度增强，茎</w:t>
            </w:r>
            <w:r>
              <w:rPr>
                <w:rFonts w:hint="eastAsia"/>
                <w:bCs/>
                <w:color w:val="000000" w:themeColor="text1"/>
                <w:sz w:val="24"/>
                <w:lang w:eastAsia="zh-CN"/>
                <w14:textFill>
                  <w14:solidFill>
                    <w14:schemeClr w14:val="tx1"/>
                  </w14:solidFill>
                </w14:textFill>
              </w:rPr>
              <w:t>秆</w:t>
            </w:r>
            <w:r>
              <w:rPr>
                <w:bCs/>
                <w:color w:val="000000" w:themeColor="text1"/>
                <w:sz w:val="24"/>
                <w14:textFill>
                  <w14:solidFill>
                    <w14:schemeClr w14:val="tx1"/>
                  </w14:solidFill>
                </w14:textFill>
              </w:rPr>
              <w:t>承重强度增加22.7-30.5克/分米。光</w:t>
            </w:r>
            <w:r>
              <w:rPr>
                <w:rFonts w:hint="eastAsia"/>
                <w:bCs/>
                <w:color w:val="000000" w:themeColor="text1"/>
                <w:sz w:val="24"/>
                <w:lang w:eastAsia="zh-CN"/>
                <w14:textFill>
                  <w14:solidFill>
                    <w14:schemeClr w14:val="tx1"/>
                  </w14:solidFill>
                </w14:textFill>
              </w:rPr>
              <w:t>合</w:t>
            </w:r>
            <w:r>
              <w:rPr>
                <w:bCs/>
                <w:color w:val="000000" w:themeColor="text1"/>
                <w:sz w:val="24"/>
                <w14:textFill>
                  <w14:solidFill>
                    <w14:schemeClr w14:val="tx1"/>
                  </w14:solidFill>
                </w14:textFill>
              </w:rPr>
              <w:t>效应提高14.2%，干物质提高24.8%。草炭能促进根系氧化能力，从而抑制了对锰、铁的过量吸收，防止或减轻锰、铁对作物植物的毒害。草炭还有提高作物植物的耐低温、高温、高氮的能力，减轻由于低温、高温、高氮引起的贪青、徒长、空瘪、倒伏。土壤中增加草炭对提高长势，结实抗病、抗虫很有必要。</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④草炭的抗旱节水作用：</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草炭集水量强，固素能量也强，作物植物吸收的腐殖酸有相当部分沉积茎叶表面，形成了</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角度双酸层</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降低了蒸腾强度，土壤中无草炭的蒸腾率比有草炭的增加30%。有草炭的土壤，作物植物不缺营养，健壮，早封地表，能保持地面一定湿度，增加了植物的抗旱能力。草炭对土壤的渗漏也起着理化作用，能把渗漏量高的土壤改为中等渗漏量。草炭能使土壤变为适度的还原程度，通气爽水，保水保肥；更新了原来的渗漏条件，给土壤增施草炭能减少渗漏水30%，所以添加草炭能起到了节水作用。</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根据建设单位采购的草炭检验报告单（见附件6），主要成分为有机质57.84%，腐殖酸29.38%，水分37.55%，成分满足</w:t>
            </w: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w:t>
            </w:r>
          </w:p>
          <w:p>
            <w:pPr>
              <w:numPr>
                <w:ilvl w:val="0"/>
                <w:numId w:val="2"/>
              </w:num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磷矿石浮选尾矿</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本项目磷矿石浮选尾矿采用中化云龙有限公司磷矿石浮选生产中产生的尾矿，磷矿浮选工艺流程具体为：原矿→磷矿破碎→磷矿磨矿→矿浆分级→磷矿浮选→磷矿粉浓缩→过滤→干燥→矿仓。</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①尾矿物理特性</w:t>
            </w:r>
          </w:p>
          <w:p>
            <w:pPr>
              <w:spacing w:line="360" w:lineRule="auto"/>
              <w:ind w:firstLine="480" w:firstLineChars="200"/>
              <w:jc w:val="left"/>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根据《中化云龙有限公司浮选尾矿充填项目环境影响报告书》，尾矿的</w:t>
            </w:r>
            <w:r>
              <w:rPr>
                <w:color w:val="000000" w:themeColor="text1"/>
                <w:sz w:val="24"/>
                <w14:textFill>
                  <w14:solidFill>
                    <w14:schemeClr w14:val="tx1"/>
                  </w14:solidFill>
                </w14:textFill>
              </w:rPr>
              <w:t>基本物理参数测定结果见表</w:t>
            </w:r>
            <w:r>
              <w:rPr>
                <w:rFonts w:hint="eastAsia"/>
                <w:color w:val="000000" w:themeColor="text1"/>
                <w:sz w:val="24"/>
                <w14:textFill>
                  <w14:solidFill>
                    <w14:schemeClr w14:val="tx1"/>
                  </w14:solidFill>
                </w14:textFill>
              </w:rPr>
              <w:t>2-10</w:t>
            </w:r>
            <w:r>
              <w:rPr>
                <w:color w:val="000000" w:themeColor="text1"/>
                <w:sz w:val="24"/>
                <w14:textFill>
                  <w14:solidFill>
                    <w14:schemeClr w14:val="tx1"/>
                  </w14:solidFill>
                </w14:textFill>
              </w:rPr>
              <w:t>、尾</w:t>
            </w:r>
            <w:r>
              <w:rPr>
                <w:rFonts w:hint="eastAsia"/>
                <w:bCs/>
                <w:color w:val="000000" w:themeColor="text1"/>
                <w:sz w:val="24"/>
                <w14:textFill>
                  <w14:solidFill>
                    <w14:schemeClr w14:val="tx1"/>
                  </w14:solidFill>
                </w14:textFill>
              </w:rPr>
              <w:t>矿</w:t>
            </w:r>
            <w:r>
              <w:rPr>
                <w:color w:val="000000" w:themeColor="text1"/>
                <w:sz w:val="24"/>
                <w14:textFill>
                  <w14:solidFill>
                    <w14:schemeClr w14:val="tx1"/>
                  </w14:solidFill>
                </w14:textFill>
              </w:rPr>
              <w:t>粒级测定分析结果见表</w:t>
            </w:r>
            <w:r>
              <w:rPr>
                <w:rFonts w:hint="eastAsia"/>
                <w:color w:val="000000" w:themeColor="text1"/>
                <w:sz w:val="24"/>
                <w14:textFill>
                  <w14:solidFill>
                    <w14:schemeClr w14:val="tx1"/>
                  </w14:solidFill>
                </w14:textFill>
              </w:rPr>
              <w:t>2-11</w:t>
            </w:r>
            <w:r>
              <w:rPr>
                <w:color w:val="000000" w:themeColor="text1"/>
                <w:sz w:val="24"/>
                <w14:textFill>
                  <w14:solidFill>
                    <w14:schemeClr w14:val="tx1"/>
                  </w14:solidFill>
                </w14:textFill>
              </w:rPr>
              <w:t>。</w:t>
            </w:r>
          </w:p>
          <w:p>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2-10</w:t>
            </w:r>
            <w:r>
              <w:rPr>
                <w:b/>
                <w:bCs/>
                <w:color w:val="000000" w:themeColor="text1"/>
                <w:szCs w:val="21"/>
                <w14:textFill>
                  <w14:solidFill>
                    <w14:schemeClr w14:val="tx1"/>
                  </w14:solidFill>
                </w14:textFill>
              </w:rPr>
              <w:t>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基本物理参数测定结果</w:t>
            </w:r>
          </w:p>
          <w:tbl>
            <w:tblPr>
              <w:tblStyle w:val="23"/>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4"/>
              <w:gridCol w:w="844"/>
              <w:gridCol w:w="844"/>
              <w:gridCol w:w="801"/>
              <w:gridCol w:w="1285"/>
              <w:gridCol w:w="900"/>
              <w:gridCol w:w="87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7"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材料</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比重</w:t>
                  </w:r>
                </w:p>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松散</w:t>
                  </w:r>
                </w:p>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容重</w:t>
                  </w:r>
                </w:p>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压实</w:t>
                  </w:r>
                </w:p>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容重</w:t>
                  </w:r>
                </w:p>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01"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孔隙率</w:t>
                  </w:r>
                </w:p>
              </w:tc>
              <w:tc>
                <w:tcPr>
                  <w:tcW w:w="1285"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安息角（原含水率状态下）</w:t>
                  </w:r>
                </w:p>
              </w:tc>
              <w:tc>
                <w:tcPr>
                  <w:tcW w:w="900"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含水率</w:t>
                  </w:r>
                </w:p>
              </w:tc>
              <w:tc>
                <w:tcPr>
                  <w:tcW w:w="870"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渗透系数(cm/s)</w:t>
                  </w:r>
                </w:p>
              </w:tc>
              <w:tc>
                <w:tcPr>
                  <w:tcW w:w="765"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7"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尾</w:t>
                  </w:r>
                  <w:r>
                    <w:rPr>
                      <w:rFonts w:hint="eastAsia"/>
                      <w:bCs/>
                      <w:color w:val="000000" w:themeColor="text1"/>
                      <w:szCs w:val="21"/>
                      <w14:textFill>
                        <w14:solidFill>
                          <w14:schemeClr w14:val="tx1"/>
                        </w14:solidFill>
                      </w14:textFill>
                    </w:rPr>
                    <w:t>矿</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2.87</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w:t>
                  </w:r>
                </w:p>
              </w:tc>
              <w:tc>
                <w:tcPr>
                  <w:tcW w:w="844"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2.29</w:t>
                  </w:r>
                </w:p>
              </w:tc>
              <w:tc>
                <w:tcPr>
                  <w:tcW w:w="801"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43.5%</w:t>
                  </w:r>
                </w:p>
              </w:tc>
              <w:tc>
                <w:tcPr>
                  <w:tcW w:w="1285"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39.8º</w:t>
                  </w:r>
                </w:p>
              </w:tc>
              <w:tc>
                <w:tcPr>
                  <w:tcW w:w="900"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14.5%</w:t>
                  </w:r>
                </w:p>
              </w:tc>
              <w:tc>
                <w:tcPr>
                  <w:tcW w:w="870"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6.94×10</w:t>
                  </w:r>
                  <w:r>
                    <w:rPr>
                      <w:bCs/>
                      <w:color w:val="000000" w:themeColor="text1"/>
                      <w:szCs w:val="21"/>
                      <w:vertAlign w:val="superscript"/>
                      <w14:textFill>
                        <w14:solidFill>
                          <w14:schemeClr w14:val="tx1"/>
                        </w14:solidFill>
                      </w14:textFill>
                    </w:rPr>
                    <w:t>-5</w:t>
                  </w:r>
                </w:p>
              </w:tc>
              <w:tc>
                <w:tcPr>
                  <w:tcW w:w="765" w:type="dxa"/>
                  <w:shd w:val="clear" w:color="auto" w:fill="auto"/>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7.775</w:t>
                  </w:r>
                </w:p>
              </w:tc>
            </w:tr>
          </w:tbl>
          <w:p>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2-11</w:t>
            </w:r>
            <w:r>
              <w:rPr>
                <w:b/>
                <w:bCs/>
                <w:color w:val="000000" w:themeColor="text1"/>
                <w:szCs w:val="21"/>
                <w14:textFill>
                  <w14:solidFill>
                    <w14:schemeClr w14:val="tx1"/>
                  </w14:solidFill>
                </w14:textFill>
              </w:rPr>
              <w:t>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粒级测定分析结果</w:t>
            </w:r>
          </w:p>
          <w:tbl>
            <w:tblPr>
              <w:tblStyle w:val="23"/>
              <w:tblW w:w="7937"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452"/>
              <w:gridCol w:w="1452"/>
              <w:gridCol w:w="1451"/>
              <w:gridCol w:w="1451"/>
              <w:gridCol w:w="106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570" w:hRule="atLeast"/>
                <w:jc w:val="center"/>
              </w:trPr>
              <w:tc>
                <w:tcPr>
                  <w:tcW w:w="1063"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物料名称</w:t>
                  </w:r>
                </w:p>
              </w:tc>
              <w:tc>
                <w:tcPr>
                  <w:tcW w:w="1452"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10%物料粒径</w:t>
                  </w:r>
                </w:p>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1452"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50%物料粒径</w:t>
                  </w:r>
                </w:p>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1451"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75%物料粒径</w:t>
                  </w:r>
                </w:p>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1451"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90%物料粒径</w:t>
                  </w:r>
                </w:p>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1068" w:type="dxa"/>
                  <w:vAlign w:val="center"/>
                </w:tcPr>
                <w:p>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中值粒径</w:t>
                  </w:r>
                </w:p>
                <w:p>
                  <w:pPr>
                    <w:spacing w:line="240" w:lineRule="atLeast"/>
                    <w:jc w:val="center"/>
                    <w:rPr>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063"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尾</w:t>
                  </w:r>
                  <w:r>
                    <w:rPr>
                      <w:rFonts w:hint="eastAsia"/>
                      <w:bCs/>
                      <w:color w:val="000000" w:themeColor="text1"/>
                      <w:szCs w:val="21"/>
                      <w14:textFill>
                        <w14:solidFill>
                          <w14:schemeClr w14:val="tx1"/>
                        </w14:solidFill>
                      </w14:textFill>
                    </w:rPr>
                    <w:t>矿</w:t>
                  </w:r>
                </w:p>
              </w:tc>
              <w:tc>
                <w:tcPr>
                  <w:tcW w:w="1452"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4.247μm</w:t>
                  </w:r>
                </w:p>
              </w:tc>
              <w:tc>
                <w:tcPr>
                  <w:tcW w:w="1452"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51.81μm</w:t>
                  </w:r>
                </w:p>
              </w:tc>
              <w:tc>
                <w:tcPr>
                  <w:tcW w:w="1451"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136.1μm</w:t>
                  </w:r>
                </w:p>
              </w:tc>
              <w:tc>
                <w:tcPr>
                  <w:tcW w:w="1451"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214.2μm</w:t>
                  </w:r>
                </w:p>
              </w:tc>
              <w:tc>
                <w:tcPr>
                  <w:tcW w:w="1068" w:type="dxa"/>
                  <w:vAlign w:val="center"/>
                </w:tcPr>
                <w:p>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51.81μm</w:t>
                  </w:r>
                </w:p>
              </w:tc>
            </w:tr>
          </w:tbl>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尾矿成分分析</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尾矿各项物化性能指标与贵州瓮福磷矿、摩天冲磷矿相近，比重2.87，松散容重2.20，样品中10%的粒径处于4.247μm以下，25%的粒径处于12.43μm以下，50%的粒径处于51.81μm以下，75%的粒径处于136.1μm以下，90%的粒径处于214.2μm以下，中值粒径为51.81μm。尾砂中细粒级含量较高，对充填料浆的和易性、流动性产生有利影响。</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根据中蓝长化工程科技有限公司岩土工程检测中心出具的《检测报告》，尾</w:t>
            </w:r>
            <w:r>
              <w:rPr>
                <w:rFonts w:hint="eastAsia"/>
                <w:color w:val="000000" w:themeColor="text1"/>
                <w:sz w:val="24"/>
                <w14:textFill>
                  <w14:solidFill>
                    <w14:schemeClr w14:val="tx1"/>
                  </w14:solidFill>
                </w14:textFill>
              </w:rPr>
              <w:t>矿</w:t>
            </w:r>
            <w:r>
              <w:rPr>
                <w:color w:val="000000" w:themeColor="text1"/>
                <w:sz w:val="24"/>
                <w14:textFill>
                  <w14:solidFill>
                    <w14:schemeClr w14:val="tx1"/>
                  </w14:solidFill>
                </w14:textFill>
              </w:rPr>
              <w:t>成分分析如下：</w:t>
            </w:r>
          </w:p>
          <w:p>
            <w:pPr>
              <w:pStyle w:val="2"/>
            </w:pPr>
          </w:p>
          <w:p/>
          <w:p>
            <w:pPr>
              <w:pStyle w:val="2"/>
            </w:pPr>
          </w:p>
          <w:p/>
          <w:p>
            <w:pPr>
              <w:pStyle w:val="2"/>
            </w:pPr>
          </w:p>
          <w:p/>
          <w:p>
            <w:pPr>
              <w:pStyle w:val="2"/>
            </w:pPr>
          </w:p>
          <w:p/>
          <w:p>
            <w:pPr>
              <w:pStyle w:val="2"/>
            </w:pP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inline distT="0" distB="0" distL="114300" distR="114300">
                  <wp:extent cx="4591050" cy="5443220"/>
                  <wp:effectExtent l="0" t="0" r="0" b="5080"/>
                  <wp:docPr id="2" name="图片 2" descr="fa26e27f-65d3-4c75-8c12-72dfaaa20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26e27f-65d3-4c75-8c12-72dfaaa205bc"/>
                          <pic:cNvPicPr>
                            <a:picLocks noChangeAspect="1"/>
                          </pic:cNvPicPr>
                        </pic:nvPicPr>
                        <pic:blipFill>
                          <a:blip r:embed="rId11"/>
                          <a:stretch>
                            <a:fillRect/>
                          </a:stretch>
                        </pic:blipFill>
                        <pic:spPr>
                          <a:xfrm>
                            <a:off x="0" y="0"/>
                            <a:ext cx="4591050" cy="5443220"/>
                          </a:xfrm>
                          <a:prstGeom prst="rect">
                            <a:avLst/>
                          </a:prstGeom>
                        </pic:spPr>
                      </pic:pic>
                    </a:graphicData>
                  </a:graphic>
                </wp:inline>
              </w:drawing>
            </w:r>
          </w:p>
          <w:p>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图2-1中化云龙尾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成分分析检测结果（摘录）</w:t>
            </w:r>
          </w:p>
          <w:p>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2-12</w:t>
            </w:r>
            <w:r>
              <w:rPr>
                <w:b/>
                <w:bCs/>
                <w:color w:val="000000" w:themeColor="text1"/>
                <w:szCs w:val="21"/>
                <w14:textFill>
                  <w14:solidFill>
                    <w14:schemeClr w14:val="tx1"/>
                  </w14:solidFill>
                </w14:textFill>
              </w:rPr>
              <w:t>中化云龙尾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成分分析</w:t>
            </w:r>
          </w:p>
          <w:tbl>
            <w:tblPr>
              <w:tblStyle w:val="23"/>
              <w:tblW w:w="793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46"/>
              <w:gridCol w:w="629"/>
              <w:gridCol w:w="667"/>
              <w:gridCol w:w="611"/>
              <w:gridCol w:w="694"/>
              <w:gridCol w:w="687"/>
              <w:gridCol w:w="620"/>
              <w:gridCol w:w="718"/>
              <w:gridCol w:w="718"/>
              <w:gridCol w:w="695"/>
              <w:gridCol w:w="8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trPr>
              <w:tc>
                <w:tcPr>
                  <w:tcW w:w="1046" w:type="dxa"/>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检测参数</w:t>
                  </w:r>
                </w:p>
              </w:tc>
              <w:tc>
                <w:tcPr>
                  <w:tcW w:w="629"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5</w:t>
                  </w:r>
                </w:p>
              </w:tc>
              <w:tc>
                <w:tcPr>
                  <w:tcW w:w="667"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MgO</w:t>
                  </w:r>
                </w:p>
              </w:tc>
              <w:tc>
                <w:tcPr>
                  <w:tcW w:w="611"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CaO</w:t>
                  </w:r>
                </w:p>
              </w:tc>
              <w:tc>
                <w:tcPr>
                  <w:tcW w:w="694"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K</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p>
              </w:tc>
              <w:tc>
                <w:tcPr>
                  <w:tcW w:w="687"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Na</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p>
              </w:tc>
              <w:tc>
                <w:tcPr>
                  <w:tcW w:w="620"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SiO</w:t>
                  </w:r>
                  <w:r>
                    <w:rPr>
                      <w:color w:val="000000" w:themeColor="text1"/>
                      <w:sz w:val="18"/>
                      <w:szCs w:val="18"/>
                      <w:vertAlign w:val="subscript"/>
                      <w14:textFill>
                        <w14:solidFill>
                          <w14:schemeClr w14:val="tx1"/>
                        </w14:solidFill>
                      </w14:textFill>
                    </w:rPr>
                    <w:t>2</w:t>
                  </w:r>
                </w:p>
              </w:tc>
              <w:tc>
                <w:tcPr>
                  <w:tcW w:w="718"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Fe</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3</w:t>
                  </w:r>
                </w:p>
              </w:tc>
              <w:tc>
                <w:tcPr>
                  <w:tcW w:w="718"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Al</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3</w:t>
                  </w:r>
                </w:p>
              </w:tc>
              <w:tc>
                <w:tcPr>
                  <w:tcW w:w="695"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w:t>
                  </w:r>
                </w:p>
              </w:tc>
              <w:tc>
                <w:tcPr>
                  <w:tcW w:w="845" w:type="dxa"/>
                  <w:shd w:val="clear" w:color="auto" w:fill="auto"/>
                  <w:noWrap/>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氟化物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046"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尾</w:t>
                  </w:r>
                  <w:r>
                    <w:rPr>
                      <w:rFonts w:hint="eastAsia"/>
                      <w:color w:val="000000" w:themeColor="text1"/>
                      <w:sz w:val="18"/>
                      <w:szCs w:val="18"/>
                      <w14:textFill>
                        <w14:solidFill>
                          <w14:schemeClr w14:val="tx1"/>
                        </w14:solidFill>
                      </w14:textFill>
                    </w:rPr>
                    <w:t>矿</w:t>
                  </w:r>
                </w:p>
              </w:tc>
              <w:tc>
                <w:tcPr>
                  <w:tcW w:w="629"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8.56</w:t>
                  </w:r>
                </w:p>
              </w:tc>
              <w:tc>
                <w:tcPr>
                  <w:tcW w:w="667"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13.3</w:t>
                  </w:r>
                </w:p>
              </w:tc>
              <w:tc>
                <w:tcPr>
                  <w:tcW w:w="611"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31.9</w:t>
                  </w:r>
                </w:p>
              </w:tc>
              <w:tc>
                <w:tcPr>
                  <w:tcW w:w="694"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0.866</w:t>
                  </w:r>
                </w:p>
              </w:tc>
              <w:tc>
                <w:tcPr>
                  <w:tcW w:w="687"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4.97</w:t>
                  </w:r>
                </w:p>
              </w:tc>
              <w:tc>
                <w:tcPr>
                  <w:tcW w:w="620"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5.13</w:t>
                  </w:r>
                </w:p>
              </w:tc>
              <w:tc>
                <w:tcPr>
                  <w:tcW w:w="718"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0.679</w:t>
                  </w:r>
                </w:p>
              </w:tc>
              <w:tc>
                <w:tcPr>
                  <w:tcW w:w="718"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0.566</w:t>
                  </w:r>
                </w:p>
              </w:tc>
              <w:tc>
                <w:tcPr>
                  <w:tcW w:w="695"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0.686</w:t>
                  </w:r>
                </w:p>
              </w:tc>
              <w:tc>
                <w:tcPr>
                  <w:tcW w:w="845" w:type="dxa"/>
                  <w:shd w:val="clear" w:color="auto" w:fill="auto"/>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0.080</w:t>
                  </w:r>
                </w:p>
              </w:tc>
            </w:tr>
          </w:tbl>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尾矿浸出毒性监测结果</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日中化云龙有限公司</w:t>
            </w:r>
            <w:r>
              <w:rPr>
                <w:rFonts w:hint="eastAsia"/>
                <w:color w:val="000000" w:themeColor="text1"/>
                <w:sz w:val="24"/>
                <w14:textFill>
                  <w14:solidFill>
                    <w14:schemeClr w14:val="tx1"/>
                  </w14:solidFill>
                </w14:textFill>
              </w:rPr>
              <w:t>委托云南省有色金属及制品质量监督检验站</w:t>
            </w:r>
            <w:r>
              <w:rPr>
                <w:color w:val="000000" w:themeColor="text1"/>
                <w:sz w:val="24"/>
                <w14:textFill>
                  <w14:solidFill>
                    <w14:schemeClr w14:val="tx1"/>
                  </w14:solidFill>
                </w14:textFill>
              </w:rPr>
              <w:t>按照《危险废物鉴别标准浸出毒性鉴别》（GB5085.3-2007）的方法对尾矿进行了固废属性鉴定，见下表</w:t>
            </w:r>
            <w:r>
              <w:rPr>
                <w:rFonts w:hint="eastAsia"/>
                <w:color w:val="000000" w:themeColor="text1"/>
                <w:sz w:val="24"/>
                <w14:textFill>
                  <w14:solidFill>
                    <w14:schemeClr w14:val="tx1"/>
                  </w14:solidFill>
                </w14:textFill>
              </w:rPr>
              <w:t>（见附件4）</w:t>
            </w:r>
            <w:r>
              <w:rPr>
                <w:color w:val="000000" w:themeColor="text1"/>
                <w:sz w:val="24"/>
                <w14:textFill>
                  <w14:solidFill>
                    <w14:schemeClr w14:val="tx1"/>
                  </w14:solidFill>
                </w14:textFill>
              </w:rPr>
              <w:t>。</w:t>
            </w:r>
          </w:p>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2-13</w:t>
            </w:r>
            <w:r>
              <w:rPr>
                <w:b/>
                <w:bCs/>
                <w:color w:val="000000" w:themeColor="text1"/>
                <w:sz w:val="24"/>
                <w14:textFill>
                  <w14:solidFill>
                    <w14:schemeClr w14:val="tx1"/>
                  </w14:solidFill>
                </w14:textFill>
              </w:rPr>
              <w:t>尾矿腐蚀性鉴别</w:t>
            </w:r>
          </w:p>
          <w:tbl>
            <w:tblPr>
              <w:tblStyle w:val="23"/>
              <w:tblW w:w="792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14"/>
              <w:gridCol w:w="2050"/>
              <w:gridCol w:w="38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014" w:type="dxa"/>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检测项目</w:t>
                  </w:r>
                </w:p>
              </w:tc>
              <w:tc>
                <w:tcPr>
                  <w:tcW w:w="2050" w:type="dxa"/>
                  <w:vAlign w:val="center"/>
                </w:tcPr>
                <w:p>
                  <w:pPr>
                    <w:spacing w:line="320" w:lineRule="exact"/>
                    <w:jc w:val="center"/>
                    <w:rPr>
                      <w:bCs/>
                      <w:color w:val="000000" w:themeColor="text1"/>
                      <w:szCs w:val="21"/>
                      <w:lang w:val="en-GB"/>
                      <w14:textFill>
                        <w14:solidFill>
                          <w14:schemeClr w14:val="tx1"/>
                        </w14:solidFill>
                      </w14:textFill>
                    </w:rPr>
                  </w:pPr>
                  <w:r>
                    <w:rPr>
                      <w:rFonts w:hint="eastAsia"/>
                      <w:bCs/>
                      <w:color w:val="000000" w:themeColor="text1"/>
                      <w:szCs w:val="21"/>
                      <w:lang w:val="en-GB"/>
                      <w14:textFill>
                        <w14:solidFill>
                          <w14:schemeClr w14:val="tx1"/>
                        </w14:solidFill>
                      </w14:textFill>
                    </w:rPr>
                    <w:t>浮选</w:t>
                  </w:r>
                  <w:r>
                    <w:rPr>
                      <w:bCs/>
                      <w:color w:val="000000" w:themeColor="text1"/>
                      <w:szCs w:val="21"/>
                      <w:lang w:val="en-GB"/>
                      <w14:textFill>
                        <w14:solidFill>
                          <w14:schemeClr w14:val="tx1"/>
                        </w14:solidFill>
                      </w14:textFill>
                    </w:rPr>
                    <w:t>尾</w:t>
                  </w:r>
                  <w:r>
                    <w:rPr>
                      <w:rFonts w:hint="eastAsia"/>
                      <w:bCs/>
                      <w:color w:val="000000" w:themeColor="text1"/>
                      <w:szCs w:val="21"/>
                      <w:lang w:val="en-GB"/>
                      <w14:textFill>
                        <w14:solidFill>
                          <w14:schemeClr w14:val="tx1"/>
                        </w14:solidFill>
                      </w14:textFill>
                    </w:rPr>
                    <w:t>矿</w:t>
                  </w:r>
                </w:p>
              </w:tc>
              <w:tc>
                <w:tcPr>
                  <w:tcW w:w="3862" w:type="dxa"/>
                </w:tcPr>
                <w:p>
                  <w:pPr>
                    <w:spacing w:line="320" w:lineRule="exact"/>
                    <w:jc w:val="center"/>
                    <w:rPr>
                      <w:bCs/>
                      <w:color w:val="000000" w:themeColor="text1"/>
                      <w:szCs w:val="21"/>
                      <w:lang w:val="en-GB"/>
                      <w14:textFill>
                        <w14:solidFill>
                          <w14:schemeClr w14:val="tx1"/>
                        </w14:solidFill>
                      </w14:textFill>
                    </w:rPr>
                  </w:pPr>
                  <w:r>
                    <w:rPr>
                      <w:bCs/>
                      <w:color w:val="000000" w:themeColor="text1"/>
                      <w:sz w:val="22"/>
                      <w:szCs w:val="21"/>
                      <w14:textFill>
                        <w14:solidFill>
                          <w14:schemeClr w14:val="tx1"/>
                        </w14:solidFill>
                      </w14:textFill>
                    </w:rPr>
                    <w:t>《污水综合排放标准》GB8978-1996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2014" w:type="dxa"/>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pH（无量纲）</w:t>
                  </w:r>
                </w:p>
              </w:tc>
              <w:tc>
                <w:tcPr>
                  <w:tcW w:w="2050" w:type="dxa"/>
                  <w:vAlign w:val="center"/>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2</w:t>
                  </w:r>
                </w:p>
              </w:tc>
              <w:tc>
                <w:tcPr>
                  <w:tcW w:w="3862" w:type="dxa"/>
                </w:tcPr>
                <w:p>
                  <w:pPr>
                    <w:adjustRightInd w:val="0"/>
                    <w:snapToGrid w:val="0"/>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r>
          </w:tbl>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2-14</w:t>
            </w:r>
            <w:r>
              <w:rPr>
                <w:b/>
                <w:bCs/>
                <w:color w:val="000000" w:themeColor="text1"/>
                <w:sz w:val="24"/>
                <w14:textFill>
                  <w14:solidFill>
                    <w14:schemeClr w14:val="tx1"/>
                  </w14:solidFill>
                </w14:textFill>
              </w:rPr>
              <w:t>尾</w:t>
            </w:r>
            <w:r>
              <w:rPr>
                <w:rFonts w:hint="eastAsia"/>
                <w:b/>
                <w:bCs/>
                <w:color w:val="000000" w:themeColor="text1"/>
                <w:sz w:val="24"/>
                <w14:textFill>
                  <w14:solidFill>
                    <w14:schemeClr w14:val="tx1"/>
                  </w14:solidFill>
                </w14:textFill>
              </w:rPr>
              <w:t>矿</w:t>
            </w:r>
            <w:r>
              <w:rPr>
                <w:b/>
                <w:bCs/>
                <w:color w:val="000000" w:themeColor="text1"/>
                <w:sz w:val="24"/>
                <w14:textFill>
                  <w14:solidFill>
                    <w14:schemeClr w14:val="tx1"/>
                  </w14:solidFill>
                </w14:textFill>
              </w:rPr>
              <w:t>浸出毒性检测结果尾矿水平振荡结果分析单位：mg/L</w:t>
            </w:r>
          </w:p>
          <w:tbl>
            <w:tblPr>
              <w:tblStyle w:val="23"/>
              <w:tblW w:w="7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20"/>
              <w:gridCol w:w="739"/>
              <w:gridCol w:w="734"/>
              <w:gridCol w:w="1345"/>
              <w:gridCol w:w="1331"/>
              <w:gridCol w:w="150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724"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样品名称</w:t>
                  </w:r>
                </w:p>
              </w:tc>
              <w:tc>
                <w:tcPr>
                  <w:tcW w:w="1159" w:type="dxa"/>
                  <w:gridSpan w:val="2"/>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检测项目</w:t>
                  </w:r>
                </w:p>
              </w:tc>
              <w:tc>
                <w:tcPr>
                  <w:tcW w:w="734"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单位</w:t>
                  </w:r>
                </w:p>
              </w:tc>
              <w:tc>
                <w:tcPr>
                  <w:tcW w:w="1345"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检测结果</w:t>
                  </w:r>
                </w:p>
              </w:tc>
              <w:tc>
                <w:tcPr>
                  <w:tcW w:w="1331"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《危险废物鉴别标准浸出毒性鉴别》GB5085.3-2007</w:t>
                  </w:r>
                </w:p>
              </w:tc>
              <w:tc>
                <w:tcPr>
                  <w:tcW w:w="1500"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《污水综合排放标准》GB8978-1996</w:t>
                  </w:r>
                </w:p>
              </w:tc>
              <w:tc>
                <w:tcPr>
                  <w:tcW w:w="1137"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单项判定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724" w:type="dxa"/>
                  <w:vMerge w:val="continue"/>
                  <w:vAlign w:val="center"/>
                </w:tcPr>
                <w:p>
                  <w:pPr>
                    <w:adjustRightInd w:val="0"/>
                    <w:jc w:val="center"/>
                    <w:rPr>
                      <w:color w:val="000000" w:themeColor="text1"/>
                      <w14:textFill>
                        <w14:solidFill>
                          <w14:schemeClr w14:val="tx1"/>
                        </w14:solidFill>
                      </w14:textFill>
                    </w:rPr>
                  </w:pPr>
                </w:p>
              </w:tc>
              <w:tc>
                <w:tcPr>
                  <w:tcW w:w="1159" w:type="dxa"/>
                  <w:gridSpan w:val="2"/>
                  <w:vMerge w:val="continue"/>
                  <w:vAlign w:val="center"/>
                </w:tcPr>
                <w:p>
                  <w:pPr>
                    <w:adjustRightInd w:val="0"/>
                    <w:jc w:val="center"/>
                    <w:rPr>
                      <w:color w:val="000000" w:themeColor="text1"/>
                      <w14:textFill>
                        <w14:solidFill>
                          <w14:schemeClr w14:val="tx1"/>
                        </w14:solidFill>
                      </w14:textFill>
                    </w:rPr>
                  </w:pPr>
                </w:p>
              </w:tc>
              <w:tc>
                <w:tcPr>
                  <w:tcW w:w="734" w:type="dxa"/>
                  <w:vMerge w:val="continue"/>
                  <w:vAlign w:val="center"/>
                </w:tcPr>
                <w:p>
                  <w:pPr>
                    <w:adjustRightInd w:val="0"/>
                    <w:jc w:val="center"/>
                    <w:rPr>
                      <w:color w:val="000000" w:themeColor="text1"/>
                      <w14:textFill>
                        <w14:solidFill>
                          <w14:schemeClr w14:val="tx1"/>
                        </w14:solidFill>
                      </w14:textFill>
                    </w:rPr>
                  </w:pPr>
                </w:p>
              </w:tc>
              <w:tc>
                <w:tcPr>
                  <w:tcW w:w="1345" w:type="dxa"/>
                  <w:vAlign w:val="center"/>
                </w:tcPr>
                <w:p>
                  <w:pPr>
                    <w:adjustRightInd w:val="0"/>
                    <w:jc w:val="center"/>
                    <w:rPr>
                      <w:bCs/>
                      <w:color w:val="000000" w:themeColor="text1"/>
                      <w:szCs w:val="21"/>
                      <w:lang w:val="en-GB"/>
                      <w14:textFill>
                        <w14:solidFill>
                          <w14:schemeClr w14:val="tx1"/>
                        </w14:solidFill>
                      </w14:textFill>
                    </w:rPr>
                  </w:pPr>
                  <w:r>
                    <w:rPr>
                      <w:rFonts w:hint="eastAsia"/>
                      <w:bCs/>
                      <w:color w:val="000000" w:themeColor="text1"/>
                      <w:szCs w:val="21"/>
                      <w:lang w:val="en-GB"/>
                      <w14:textFill>
                        <w14:solidFill>
                          <w14:schemeClr w14:val="tx1"/>
                        </w14:solidFill>
                      </w14:textFill>
                    </w:rPr>
                    <w:t>浮选</w:t>
                  </w:r>
                  <w:r>
                    <w:rPr>
                      <w:bCs/>
                      <w:color w:val="000000" w:themeColor="text1"/>
                      <w:szCs w:val="21"/>
                      <w:lang w:val="en-GB"/>
                      <w14:textFill>
                        <w14:solidFill>
                          <w14:schemeClr w14:val="tx1"/>
                        </w14:solidFill>
                      </w14:textFill>
                    </w:rPr>
                    <w:t>尾</w:t>
                  </w:r>
                  <w:r>
                    <w:rPr>
                      <w:rFonts w:hint="eastAsia"/>
                      <w:bCs/>
                      <w:color w:val="000000" w:themeColor="text1"/>
                      <w:szCs w:val="21"/>
                      <w:lang w:val="en-GB"/>
                      <w14:textFill>
                        <w14:solidFill>
                          <w14:schemeClr w14:val="tx1"/>
                        </w14:solidFill>
                      </w14:textFill>
                    </w:rPr>
                    <w:t>矿</w:t>
                  </w:r>
                </w:p>
              </w:tc>
              <w:tc>
                <w:tcPr>
                  <w:tcW w:w="1331" w:type="dxa"/>
                  <w:vMerge w:val="continue"/>
                  <w:vAlign w:val="center"/>
                </w:tcPr>
                <w:p>
                  <w:pPr>
                    <w:adjustRightInd w:val="0"/>
                    <w:jc w:val="center"/>
                    <w:rPr>
                      <w:color w:val="000000" w:themeColor="text1"/>
                      <w14:textFill>
                        <w14:solidFill>
                          <w14:schemeClr w14:val="tx1"/>
                        </w14:solidFill>
                      </w14:textFill>
                    </w:rPr>
                  </w:pPr>
                </w:p>
              </w:tc>
              <w:tc>
                <w:tcPr>
                  <w:tcW w:w="1500" w:type="dxa"/>
                  <w:vMerge w:val="continue"/>
                  <w:vAlign w:val="center"/>
                </w:tcPr>
                <w:p>
                  <w:pPr>
                    <w:adjustRightInd w:val="0"/>
                    <w:jc w:val="center"/>
                    <w:rPr>
                      <w:color w:val="000000" w:themeColor="text1"/>
                      <w14:textFill>
                        <w14:solidFill>
                          <w14:schemeClr w14:val="tx1"/>
                        </w14:solidFill>
                      </w14:textFill>
                    </w:rPr>
                  </w:pPr>
                </w:p>
              </w:tc>
              <w:tc>
                <w:tcPr>
                  <w:tcW w:w="1137" w:type="dxa"/>
                  <w:vMerge w:val="continue"/>
                  <w:vAlign w:val="center"/>
                </w:tcPr>
                <w:p>
                  <w:pPr>
                    <w:adjustRightIn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尾砂</w:t>
                  </w: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铜</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＜0.006</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锌</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2.0</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镉</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＜0.005</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0.1</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铅</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＜0.07</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1.0</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总铬</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铬（六价）</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color w:val="000000" w:themeColor="text1"/>
                      <w:sz w:val="22"/>
                      <w:szCs w:val="21"/>
                      <w14:textFill>
                        <w14:solidFill>
                          <w14:schemeClr w14:val="tx1"/>
                        </w14:solidFill>
                      </w14:textFill>
                    </w:rPr>
                    <w:t>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420" w:type="dxa"/>
                  <w:vMerge w:val="restart"/>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烷基汞</w:t>
                  </w:r>
                </w:p>
              </w:tc>
              <w:tc>
                <w:tcPr>
                  <w:tcW w:w="739"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甲基汞</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r>
                    <w:rPr>
                      <w:bCs/>
                      <w:color w:val="000000" w:themeColor="text1"/>
                      <w:szCs w:val="21"/>
                      <w:vertAlign w:val="superscript"/>
                      <w14:textFill>
                        <w14:solidFill>
                          <w14:schemeClr w14:val="tx1"/>
                        </w14:solidFill>
                      </w14:textFill>
                    </w:rPr>
                    <w:t>1</w:t>
                  </w:r>
                </w:p>
              </w:tc>
              <w:tc>
                <w:tcPr>
                  <w:tcW w:w="1500"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420" w:type="dxa"/>
                  <w:vMerge w:val="continue"/>
                  <w:vAlign w:val="center"/>
                </w:tcPr>
                <w:p>
                  <w:pPr>
                    <w:adjustRightInd w:val="0"/>
                    <w:jc w:val="center"/>
                    <w:rPr>
                      <w:bCs/>
                      <w:color w:val="000000" w:themeColor="text1"/>
                      <w:szCs w:val="21"/>
                      <w14:textFill>
                        <w14:solidFill>
                          <w14:schemeClr w14:val="tx1"/>
                        </w14:solidFill>
                      </w14:textFill>
                    </w:rPr>
                  </w:pPr>
                </w:p>
              </w:tc>
              <w:tc>
                <w:tcPr>
                  <w:tcW w:w="739"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乙基汞</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r>
                    <w:rPr>
                      <w:bCs/>
                      <w:color w:val="000000" w:themeColor="text1"/>
                      <w:szCs w:val="21"/>
                      <w:vertAlign w:val="superscript"/>
                      <w14:textFill>
                        <w14:solidFill>
                          <w14:schemeClr w14:val="tx1"/>
                        </w14:solidFill>
                      </w14:textFill>
                    </w:rPr>
                    <w:t>1</w:t>
                  </w:r>
                </w:p>
              </w:tc>
              <w:tc>
                <w:tcPr>
                  <w:tcW w:w="1500"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汞</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＜0.00004</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铍</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＜0.00004</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0.02</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镍</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银</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砷</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0.0121</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0.5</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氟化物</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8.7</w:t>
                  </w:r>
                </w:p>
              </w:tc>
              <w:tc>
                <w:tcPr>
                  <w:tcW w:w="1331"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1500" w:type="dxa"/>
                  <w:vAlign w:val="center"/>
                </w:tcPr>
                <w:p>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10</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苯并芘</w:t>
                  </w:r>
                </w:p>
              </w:tc>
              <w:tc>
                <w:tcPr>
                  <w:tcW w:w="734"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＜0.000005</w:t>
                  </w:r>
                </w:p>
              </w:tc>
              <w:tc>
                <w:tcPr>
                  <w:tcW w:w="1331"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0.0003</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0.00003</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总α放射性</w:t>
                  </w:r>
                </w:p>
              </w:tc>
              <w:tc>
                <w:tcPr>
                  <w:tcW w:w="734"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Bq/L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0.082</w:t>
                  </w:r>
                </w:p>
              </w:tc>
              <w:tc>
                <w:tcPr>
                  <w:tcW w:w="1331"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1Bq/L</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4" w:type="dxa"/>
                  <w:vMerge w:val="continue"/>
                  <w:vAlign w:val="center"/>
                </w:tcPr>
                <w:p>
                  <w:pPr>
                    <w:adjustRightInd w:val="0"/>
                    <w:jc w:val="center"/>
                    <w:rPr>
                      <w:bCs/>
                      <w:color w:val="000000" w:themeColor="text1"/>
                      <w:szCs w:val="21"/>
                      <w14:textFill>
                        <w14:solidFill>
                          <w14:schemeClr w14:val="tx1"/>
                        </w14:solidFill>
                      </w14:textFill>
                    </w:rPr>
                  </w:pPr>
                </w:p>
              </w:tc>
              <w:tc>
                <w:tcPr>
                  <w:tcW w:w="1159" w:type="dxa"/>
                  <w:gridSpan w:val="2"/>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总β放射性</w:t>
                  </w:r>
                </w:p>
              </w:tc>
              <w:tc>
                <w:tcPr>
                  <w:tcW w:w="734"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Bq/L</w:t>
                  </w:r>
                </w:p>
              </w:tc>
              <w:tc>
                <w:tcPr>
                  <w:tcW w:w="1345"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0.08</w:t>
                  </w:r>
                </w:p>
              </w:tc>
              <w:tc>
                <w:tcPr>
                  <w:tcW w:w="1331"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500" w:type="dxa"/>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10Bq/L</w:t>
                  </w:r>
                </w:p>
              </w:tc>
              <w:tc>
                <w:tcPr>
                  <w:tcW w:w="1137" w:type="dxa"/>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883" w:type="dxa"/>
                  <w:gridSpan w:val="3"/>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备注</w:t>
                  </w:r>
                </w:p>
              </w:tc>
              <w:tc>
                <w:tcPr>
                  <w:tcW w:w="6047" w:type="dxa"/>
                  <w:gridSpan w:val="5"/>
                  <w:vAlign w:val="center"/>
                </w:tcPr>
                <w:p>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＜+检出限</w:t>
                  </w:r>
                  <w:r>
                    <w:rPr>
                      <w:bCs/>
                      <w:color w:val="000000" w:themeColor="text1"/>
                      <w:szCs w:val="21"/>
                      <w14:textFill>
                        <w14:solidFill>
                          <w14:schemeClr w14:val="tx1"/>
                        </w14:solidFill>
                      </w14:textFill>
                    </w:rPr>
                    <w:t>”表示检测结果低于分析方法检出限</w:t>
                  </w:r>
                </w:p>
              </w:tc>
            </w:tr>
          </w:tbl>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上</w:t>
            </w:r>
            <w:r>
              <w:rPr>
                <w:color w:val="000000" w:themeColor="text1"/>
                <w:sz w:val="24"/>
                <w14:textFill>
                  <w14:solidFill>
                    <w14:schemeClr w14:val="tx1"/>
                  </w14:solidFill>
                </w14:textFill>
              </w:rPr>
              <w:t>表监测结果，本项目尾矿浸出液中危害成分均未超过《危险废物鉴别标准浸出毒性鉴别》（GB5085.3-2007）表1中所列的浓度限</w:t>
            </w:r>
            <w:r>
              <w:rPr>
                <w:rFonts w:hint="eastAsia"/>
                <w:color w:val="000000" w:themeColor="text1"/>
                <w:sz w:val="24"/>
                <w14:textFill>
                  <w14:solidFill>
                    <w14:schemeClr w14:val="tx1"/>
                  </w14:solidFill>
                </w14:textFill>
              </w:rPr>
              <w:t>值</w:t>
            </w:r>
            <w:r>
              <w:rPr>
                <w:color w:val="000000" w:themeColor="text1"/>
                <w:sz w:val="24"/>
                <w14:textFill>
                  <w14:solidFill>
                    <w14:schemeClr w14:val="tx1"/>
                  </w14:solidFill>
                </w14:textFill>
              </w:rPr>
              <w:t>，同时未超过GB8978-1996《污水综合排放标准》最高允许排放浓度。</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因此，本项目所用尾矿，来自</w:t>
            </w:r>
            <w:r>
              <w:rPr>
                <w:rFonts w:hint="eastAsia"/>
                <w:color w:val="000000" w:themeColor="text1"/>
                <w:sz w:val="24"/>
                <w14:textFill>
                  <w14:solidFill>
                    <w14:schemeClr w14:val="tx1"/>
                  </w14:solidFill>
                </w14:textFill>
              </w:rPr>
              <w:t>中化云龙有限公司</w:t>
            </w:r>
            <w:r>
              <w:rPr>
                <w:color w:val="000000" w:themeColor="text1"/>
                <w:sz w:val="24"/>
                <w14:textFill>
                  <w14:solidFill>
                    <w14:schemeClr w14:val="tx1"/>
                  </w14:solidFill>
                </w14:textFill>
              </w:rPr>
              <w:t>30万吨/年磷酸盐生产线浮选工段，不属于危险废物，属于Ⅰ类一般工业固体废物。</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（3）尿素</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尿素化学式为 CO(NH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相对分子质量 60.06，无色或白色针状或棒状结</w:t>
            </w:r>
          </w:p>
          <w:p>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晶体，工业或农业为白色略带微红色固体颗粒，有刺鼻性气味。具有吸湿性，</w:t>
            </w:r>
          </w:p>
          <w:p>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易结块。含氮量约为 46.67%，密度为 1.335g/cm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，熔点 132.7℃。溶于水、</w:t>
            </w:r>
          </w:p>
          <w:p>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醇，难溶于乙醚、氯仿，呈弱碱性。加热至 160C 分解，产生氨气同时变为</w:t>
            </w:r>
          </w:p>
          <w:p>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异氰酸。尿素适用于各种土壤和植物，易保存，使用方便，对土壤的破坏作用小，它是哺乳动物蛋白质代谢的主要含氮终产物，也是农业上最常用的高氮肥料之一。因其含氮量高、性质稳定、使用方便，在工业和农业领域广泛应用。</w:t>
            </w:r>
          </w:p>
          <w:p>
            <w:pPr>
              <w:adjustRightInd w:val="0"/>
              <w:snapToGrid w:val="0"/>
              <w:spacing w:line="360" w:lineRule="auto"/>
              <w:ind w:left="420" w:left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（4）锯木屑</w:t>
            </w:r>
          </w:p>
          <w:p>
            <w:pPr>
              <w:adjustRightInd w:val="0"/>
              <w:snapToGrid w:val="0"/>
              <w:spacing w:line="360" w:lineRule="auto"/>
              <w:ind w:left="420" w:left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主要从</w:t>
            </w:r>
            <w:r>
              <w:rPr>
                <w:rFonts w:hint="eastAsia"/>
                <w:bCs/>
                <w:color w:val="000000" w:themeColor="text1"/>
                <w:sz w:val="24"/>
                <w14:textFill>
                  <w14:solidFill>
                    <w14:schemeClr w14:val="tx1"/>
                  </w14:solidFill>
                </w14:textFill>
              </w:rPr>
              <w:t>寻甸县</w:t>
            </w:r>
            <w:r>
              <w:rPr>
                <w:bCs/>
                <w:color w:val="000000" w:themeColor="text1"/>
                <w:sz w:val="24"/>
                <w14:textFill>
                  <w14:solidFill>
                    <w14:schemeClr w14:val="tx1"/>
                  </w14:solidFill>
                </w14:textFill>
              </w:rPr>
              <w:t>及周边采购，作为补充有机质原料。</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富含氮、磷、钾大量元素、多种中微量元素以及有机质。</w:t>
            </w: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多处于植物成熟后阶段，粗纤维含量很高，这时植物细胞木质化的程度很高，一般在31％～45％之间</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干物质含量一般90~95%，粗蛋白2~9%，主要成分是纤维，主要集中于细胞壁，细胞壁含量占70%以上，由纤维素、半纤维素、木质素组成。</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（5）微生物发酵剂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有机肥发酵剂为复合有机肥专用菌种，是由地衣芽孢杆菌、枯草芽孢杆菌、乳酸菌、酵母菌、粪肠球菌等几十种有益微生物菌剂复合而成的，并添加适用于发酵有机肥的多种生物酶制剂。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发酵剂具有促进</w:t>
            </w:r>
            <w:r>
              <w:rPr>
                <w:rFonts w:hint="eastAsia"/>
                <w:bCs/>
                <w:color w:val="000000" w:themeColor="text1"/>
                <w:sz w:val="24"/>
                <w14:textFill>
                  <w14:solidFill>
                    <w14:schemeClr w14:val="tx1"/>
                  </w14:solidFill>
                </w14:textFill>
              </w:rPr>
              <w:t>堆肥物料</w:t>
            </w:r>
            <w:r>
              <w:rPr>
                <w:bCs/>
                <w:color w:val="000000" w:themeColor="text1"/>
                <w:sz w:val="24"/>
                <w14:textFill>
                  <w14:solidFill>
                    <w14:schemeClr w14:val="tx1"/>
                  </w14:solidFill>
                </w14:textFill>
              </w:rPr>
              <w:t>快速腐熟、消灭病菌、升温快、提高肥效等特点，通过堆肥发酵，可以将</w:t>
            </w:r>
            <w:r>
              <w:rPr>
                <w:rFonts w:hint="eastAsia"/>
                <w:bCs/>
                <w:color w:val="000000" w:themeColor="text1"/>
                <w:sz w:val="24"/>
                <w14:textFill>
                  <w14:solidFill>
                    <w14:schemeClr w14:val="tx1"/>
                  </w14:solidFill>
                </w14:textFill>
              </w:rPr>
              <w:t>原料</w:t>
            </w:r>
            <w:r>
              <w:rPr>
                <w:bCs/>
                <w:color w:val="000000" w:themeColor="text1"/>
                <w:sz w:val="24"/>
                <w14:textFill>
                  <w14:solidFill>
                    <w14:schemeClr w14:val="tx1"/>
                  </w14:solidFill>
                </w14:textFill>
              </w:rPr>
              <w:t>中的碳、氮、磷、钾、硫等分解矿化，形成简单有机物，从而进一步分解为种植作物可吸收的营养成分。</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根据建设单位提供的项目使用的</w:t>
            </w:r>
            <w:r>
              <w:rPr>
                <w:bCs/>
                <w:color w:val="000000" w:themeColor="text1"/>
                <w:sz w:val="24"/>
                <w14:textFill>
                  <w14:solidFill>
                    <w14:schemeClr w14:val="tx1"/>
                  </w14:solidFill>
                </w14:textFill>
              </w:rPr>
              <w:t>微生物发酵剂</w:t>
            </w:r>
            <w:r>
              <w:rPr>
                <w:rFonts w:hint="eastAsia"/>
                <w:bCs/>
                <w:color w:val="000000" w:themeColor="text1"/>
                <w:sz w:val="24"/>
                <w14:textFill>
                  <w14:solidFill>
                    <w14:schemeClr w14:val="tx1"/>
                  </w14:solidFill>
                </w14:textFill>
              </w:rPr>
              <w:t>检测报告（见附件5），各监测指标均能满足《农用微生物菌剂》（GB 20287-2006）和《肥料中有毒有害物质的限量要求》（GB 38400-2019）。</w:t>
            </w:r>
          </w:p>
          <w:p>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五</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平衡分析</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1、物料平衡</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总</w:t>
            </w:r>
            <w:r>
              <w:rPr>
                <w:bCs/>
                <w:color w:val="000000" w:themeColor="text1"/>
                <w:sz w:val="24"/>
                <w14:textFill>
                  <w14:solidFill>
                    <w14:schemeClr w14:val="tx1"/>
                  </w14:solidFill>
                </w14:textFill>
              </w:rPr>
              <w:t>物料平衡表详见表2-</w:t>
            </w:r>
            <w:r>
              <w:rPr>
                <w:rFonts w:hint="eastAsia"/>
                <w:bCs/>
                <w:color w:val="000000" w:themeColor="text1"/>
                <w:sz w:val="24"/>
                <w14:textFill>
                  <w14:solidFill>
                    <w14:schemeClr w14:val="tx1"/>
                  </w14:solidFill>
                </w14:textFill>
              </w:rPr>
              <w:t>15，物料平衡图详见图2-2~2-3</w:t>
            </w:r>
            <w:r>
              <w:rPr>
                <w:bCs/>
                <w:color w:val="000000" w:themeColor="text1"/>
                <w:sz w:val="24"/>
                <w14:textFill>
                  <w14:solidFill>
                    <w14:schemeClr w14:val="tx1"/>
                  </w14:solidFill>
                </w14:textFill>
              </w:rPr>
              <w:t>。</w:t>
            </w:r>
          </w:p>
          <w:p>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15</w:t>
            </w:r>
            <w:r>
              <w:rPr>
                <w:b/>
                <w:color w:val="000000" w:themeColor="text1"/>
                <w:szCs w:val="21"/>
                <w14:textFill>
                  <w14:solidFill>
                    <w14:schemeClr w14:val="tx1"/>
                  </w14:solidFill>
                </w14:textFill>
              </w:rPr>
              <w:t xml:space="preserve">  项目物料平衡表  单位：t/a</w:t>
            </w:r>
          </w:p>
          <w:tbl>
            <w:tblPr>
              <w:tblStyle w:val="24"/>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103"/>
              <w:gridCol w:w="1869"/>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2" w:type="dxa"/>
                  <w:gridSpan w:val="2"/>
                  <w:vAlign w:val="center"/>
                </w:tcPr>
                <w:p>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输入</w:t>
                  </w:r>
                </w:p>
              </w:tc>
              <w:tc>
                <w:tcPr>
                  <w:tcW w:w="3973" w:type="dxa"/>
                  <w:gridSpan w:val="2"/>
                  <w:vAlign w:val="center"/>
                </w:tcPr>
                <w:p>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5" w:type="dxa"/>
                  <w:gridSpan w:val="4"/>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一、有机肥生产线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9" w:type="dxa"/>
                  <w:vAlign w:val="center"/>
                </w:tcPr>
                <w:p>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2103" w:type="dxa"/>
                </w:tcPr>
                <w:p>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40000</w:t>
                  </w:r>
                </w:p>
              </w:tc>
              <w:tc>
                <w:tcPr>
                  <w:tcW w:w="1869" w:type="dxa"/>
                  <w:vAlign w:val="center"/>
                </w:tcPr>
                <w:p>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产品</w:t>
                  </w:r>
                </w:p>
              </w:tc>
              <w:tc>
                <w:tcPr>
                  <w:tcW w:w="2104" w:type="dxa"/>
                  <w:vAlign w:val="center"/>
                </w:tcPr>
                <w:p>
                  <w:pPr>
                    <w:widowControl/>
                    <w:jc w:val="center"/>
                    <w:textAlignment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69" w:type="dxa"/>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2103" w:type="dxa"/>
                </w:tcPr>
                <w:p>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10000</w:t>
                  </w:r>
                </w:p>
              </w:tc>
              <w:tc>
                <w:tcPr>
                  <w:tcW w:w="1869" w:type="dxa"/>
                  <w:vAlign w:val="center"/>
                </w:tcPr>
                <w:p>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无组织废气</w:t>
                  </w:r>
                </w:p>
              </w:tc>
              <w:tc>
                <w:tcPr>
                  <w:tcW w:w="2104"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9" w:type="dxa"/>
                  <w:shd w:val="clear" w:color="auto" w:fill="auto"/>
                  <w:vAlign w:val="center"/>
                </w:tcPr>
                <w:p>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2103" w:type="dxa"/>
                  <w:shd w:val="clear" w:color="auto" w:fill="auto"/>
                </w:tcPr>
                <w:p>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2500</w:t>
                  </w:r>
                </w:p>
              </w:tc>
              <w:tc>
                <w:tcPr>
                  <w:tcW w:w="1869"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废包装材料</w:t>
                  </w:r>
                </w:p>
              </w:tc>
              <w:tc>
                <w:tcPr>
                  <w:tcW w:w="2104"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9" w:type="dxa"/>
                  <w:shd w:val="clear" w:color="auto" w:fill="auto"/>
                  <w:vAlign w:val="bottom"/>
                </w:tcPr>
                <w:p>
                  <w:pPr>
                    <w:widowControl/>
                    <w:jc w:val="center"/>
                    <w:textAlignment w:val="bottom"/>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发酵剂菌种</w:t>
                  </w:r>
                </w:p>
              </w:tc>
              <w:tc>
                <w:tcPr>
                  <w:tcW w:w="2103" w:type="dxa"/>
                  <w:shd w:val="clear" w:color="auto" w:fill="auto"/>
                </w:tcPr>
                <w:p>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1869" w:type="dxa"/>
                  <w:vAlign w:val="center"/>
                </w:tcPr>
                <w:p>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蒸发水分损失</w:t>
                  </w:r>
                </w:p>
              </w:tc>
              <w:tc>
                <w:tcPr>
                  <w:tcW w:w="2104"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6509.618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9" w:type="dxa"/>
                  <w:shd w:val="clear" w:color="auto" w:fill="auto"/>
                </w:tcPr>
                <w:p>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2103" w:type="dxa"/>
                  <w:shd w:val="clear" w:color="auto" w:fill="auto"/>
                </w:tcPr>
                <w:p>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4000</w:t>
                  </w:r>
                </w:p>
              </w:tc>
              <w:tc>
                <w:tcPr>
                  <w:tcW w:w="1869" w:type="dxa"/>
                  <w:vAlign w:val="center"/>
                </w:tcPr>
                <w:p>
                  <w:pPr>
                    <w:widowControl/>
                    <w:jc w:val="center"/>
                    <w:textAlignment w:val="center"/>
                    <w:rPr>
                      <w:bCs/>
                      <w:color w:val="000000" w:themeColor="text1"/>
                      <w:szCs w:val="21"/>
                      <w14:textFill>
                        <w14:solidFill>
                          <w14:schemeClr w14:val="tx1"/>
                        </w14:solidFill>
                      </w14:textFill>
                    </w:rPr>
                  </w:pPr>
                </w:p>
              </w:tc>
              <w:tc>
                <w:tcPr>
                  <w:tcW w:w="2104" w:type="dxa"/>
                  <w:vAlign w:val="center"/>
                </w:tcPr>
                <w:p>
                  <w:pPr>
                    <w:widowControl/>
                    <w:jc w:val="center"/>
                    <w:textAlignment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9" w:type="dxa"/>
                  <w:vAlign w:val="bottom"/>
                </w:tcPr>
                <w:p>
                  <w:pPr>
                    <w:widowControl/>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103" w:type="dxa"/>
                </w:tcPr>
                <w:p>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56510</w:t>
                  </w:r>
                </w:p>
              </w:tc>
              <w:tc>
                <w:tcPr>
                  <w:tcW w:w="1869" w:type="dxa"/>
                  <w:vAlign w:val="center"/>
                </w:tcPr>
                <w:p>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合计</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7945" w:type="dxa"/>
                  <w:gridSpan w:val="4"/>
                  <w:vAlign w:val="center"/>
                </w:tcPr>
                <w:p>
                  <w:pPr>
                    <w:widowControl/>
                    <w:jc w:val="center"/>
                    <w:textAlignment w:val="center"/>
                    <w:rPr>
                      <w:color w:val="000000" w:themeColor="text1"/>
                      <w:szCs w:val="21"/>
                      <w14:textFill>
                        <w14:solidFill>
                          <w14:schemeClr w14:val="tx1"/>
                        </w14:solidFill>
                      </w14:textFill>
                    </w:rPr>
                  </w:pPr>
                  <w:r>
                    <w:rPr>
                      <w:rFonts w:hint="eastAsia"/>
                      <w:b/>
                      <w:bCs/>
                      <w:color w:val="000000" w:themeColor="text1"/>
                      <w:spacing w:val="-2"/>
                      <w:kern w:val="0"/>
                      <w:szCs w:val="21"/>
                      <w:lang w:bidi="ar"/>
                      <w14:textFill>
                        <w14:solidFill>
                          <w14:schemeClr w14:val="tx1"/>
                        </w14:solidFill>
                      </w14:textFill>
                    </w:rPr>
                    <w:t>二、中量元素有机肥生产线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rFonts w:ascii="宋体" w:hAnsi="宋体" w:cs="宋体"/>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尾矿</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25000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产品</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rFonts w:ascii="宋体" w:hAnsi="宋体" w:cs="宋体"/>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草炭（泥煤）</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20000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无组织废气</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rFonts w:ascii="宋体" w:hAnsi="宋体" w:cs="宋体"/>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5000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废包装材料</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rFonts w:ascii="宋体" w:hAnsi="宋体" w:cs="宋体"/>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2500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蒸发水分损失</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8509.45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bottom"/>
                    <w:rPr>
                      <w:rFonts w:ascii="宋体" w:hAnsi="宋体" w:cs="宋体"/>
                      <w:color w:val="000000" w:themeColor="text1"/>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p>
              </w:tc>
              <w:tc>
                <w:tcPr>
                  <w:tcW w:w="2104" w:type="dxa"/>
                  <w:vAlign w:val="center"/>
                </w:tcPr>
                <w:p>
                  <w:pPr>
                    <w:widowControl/>
                    <w:jc w:val="center"/>
                    <w:textAlignment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rFonts w:ascii="宋体" w:hAnsi="宋体" w:cs="宋体"/>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2103" w:type="dxa"/>
                  <w:vAlign w:val="center"/>
                </w:tcPr>
                <w:p>
                  <w:pPr>
                    <w:widowControl/>
                    <w:adjustRightInd w:val="0"/>
                    <w:snapToGrid w:val="0"/>
                    <w:jc w:val="center"/>
                    <w:textAlignment w:val="top"/>
                    <w:rPr>
                      <w:color w:val="000000" w:themeColor="text1"/>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6000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p>
              </w:tc>
              <w:tc>
                <w:tcPr>
                  <w:tcW w:w="2104" w:type="dxa"/>
                  <w:vAlign w:val="center"/>
                </w:tcPr>
                <w:p>
                  <w:pPr>
                    <w:widowControl/>
                    <w:jc w:val="center"/>
                    <w:textAlignment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 w:hRule="atLeast"/>
              </w:trPr>
              <w:tc>
                <w:tcPr>
                  <w:tcW w:w="1869" w:type="dxa"/>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合计</w:t>
                  </w:r>
                </w:p>
              </w:tc>
              <w:tc>
                <w:tcPr>
                  <w:tcW w:w="2103" w:type="dxa"/>
                  <w:vAlign w:val="center"/>
                </w:tcPr>
                <w:p>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58510</w:t>
                  </w:r>
                </w:p>
              </w:tc>
              <w:tc>
                <w:tcPr>
                  <w:tcW w:w="1869" w:type="dxa"/>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合计</w:t>
                  </w:r>
                </w:p>
              </w:tc>
              <w:tc>
                <w:tcPr>
                  <w:tcW w:w="2104"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58510</w:t>
                  </w:r>
                </w:p>
              </w:tc>
            </w:tr>
          </w:tbl>
          <w:p>
            <w:pPr>
              <w:rPr>
                <w:color w:val="000000" w:themeColor="text1"/>
                <w14:textFill>
                  <w14:solidFill>
                    <w14:schemeClr w14:val="tx1"/>
                  </w14:solidFill>
                </w14:textFill>
              </w:rPr>
            </w:pPr>
          </w:p>
          <w:p>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object>
                <v:shape id="_x0000_i1025" o:spt="75" type="#_x0000_t75" style="height:177.75pt;width:315.7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图2-2  有机肥物料平衡图  单位：t/a</w:t>
            </w:r>
          </w:p>
          <w:p>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object>
                <v:shape id="_x0000_i1026" o:spt="75" type="#_x0000_t75" style="height:186.75pt;width:303.75pt;" o:ole="t" filled="f" o:preferrelative="t" stroked="f" coordsize="21600,21600">
                  <v:path/>
                  <v:fill on="f" focussize="0,0"/>
                  <v:stroke on="f" joinstyle="miter"/>
                  <v:imagedata r:id="rId15" o:title=""/>
                  <o:lock v:ext="edit" aspectratio="f"/>
                  <w10:wrap type="none"/>
                  <w10:anchorlock/>
                </v:shape>
                <o:OLEObject Type="Embed" ProgID="Visio.Drawing.11" ShapeID="_x0000_i1026" DrawAspect="Content" ObjectID="_1468075726" r:id="rId14">
                  <o:LockedField>false</o:LockedField>
                </o:OLEObject>
              </w:object>
            </w:r>
          </w:p>
          <w:p>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图2-3  </w:t>
            </w:r>
            <w:r>
              <w:rPr>
                <w:rFonts w:hint="eastAsia"/>
                <w:b/>
                <w:bCs/>
                <w:color w:val="000000" w:themeColor="text1"/>
                <w:spacing w:val="-2"/>
                <w:kern w:val="0"/>
                <w:szCs w:val="21"/>
                <w:lang w:bidi="ar"/>
                <w14:textFill>
                  <w14:solidFill>
                    <w14:schemeClr w14:val="tx1"/>
                  </w14:solidFill>
                </w14:textFill>
              </w:rPr>
              <w:t>中量元素</w:t>
            </w:r>
            <w:r>
              <w:rPr>
                <w:rFonts w:hint="eastAsia"/>
                <w:b/>
                <w:bCs/>
                <w:color w:val="000000" w:themeColor="text1"/>
                <w:szCs w:val="21"/>
                <w14:textFill>
                  <w14:solidFill>
                    <w14:schemeClr w14:val="tx1"/>
                  </w14:solidFill>
                </w14:textFill>
              </w:rPr>
              <w:t>有机肥物料平衡图  单位：t/a</w:t>
            </w:r>
          </w:p>
          <w:p>
            <w:pPr>
              <w:adjustRightInd w:val="0"/>
              <w:snapToGrid w:val="0"/>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、水平衡</w:t>
            </w:r>
            <w:r>
              <w:rPr>
                <w:rFonts w:hint="eastAsia"/>
                <w:b/>
                <w:color w:val="000000" w:themeColor="text1"/>
                <w:sz w:val="24"/>
                <w14:textFill>
                  <w14:solidFill>
                    <w14:schemeClr w14:val="tx1"/>
                  </w14:solidFill>
                </w14:textFill>
              </w:rPr>
              <w:t>分析</w:t>
            </w:r>
          </w:p>
          <w:p>
            <w:pPr>
              <w:adjustRightInd w:val="0"/>
              <w:snapToGrid w:val="0"/>
              <w:spacing w:line="360" w:lineRule="auto"/>
              <w:ind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项目用水包括</w:t>
            </w:r>
            <w:r>
              <w:rPr>
                <w:rFonts w:hint="eastAsia" w:eastAsiaTheme="minorEastAsia"/>
                <w:color w:val="000000" w:themeColor="text1"/>
                <w:sz w:val="24"/>
                <w14:textFill>
                  <w14:solidFill>
                    <w14:schemeClr w14:val="tx1"/>
                  </w14:solidFill>
                </w14:textFill>
              </w:rPr>
              <w:t>生产用水、</w:t>
            </w:r>
            <w:r>
              <w:rPr>
                <w:rFonts w:eastAsiaTheme="minorEastAsia"/>
                <w:color w:val="000000" w:themeColor="text1"/>
                <w:sz w:val="24"/>
                <w14:textFill>
                  <w14:solidFill>
                    <w14:schemeClr w14:val="tx1"/>
                  </w14:solidFill>
                </w14:textFill>
              </w:rPr>
              <w:t>生活用水及</w:t>
            </w:r>
            <w:r>
              <w:rPr>
                <w:rFonts w:hint="eastAsia" w:eastAsiaTheme="minorEastAsia"/>
                <w:color w:val="000000" w:themeColor="text1"/>
                <w:sz w:val="24"/>
                <w14:textFill>
                  <w14:solidFill>
                    <w14:schemeClr w14:val="tx1"/>
                  </w14:solidFill>
                </w14:textFill>
              </w:rPr>
              <w:t>降尘</w:t>
            </w:r>
            <w:r>
              <w:rPr>
                <w:rFonts w:eastAsiaTheme="minorEastAsia"/>
                <w:color w:val="000000" w:themeColor="text1"/>
                <w:sz w:val="24"/>
                <w14:textFill>
                  <w14:solidFill>
                    <w14:schemeClr w14:val="tx1"/>
                  </w14:solidFill>
                </w14:textFill>
              </w:rPr>
              <w:t>用水，废水包括</w:t>
            </w:r>
            <w:r>
              <w:rPr>
                <w:rFonts w:hint="eastAsia" w:eastAsiaTheme="minorEastAsia"/>
                <w:color w:val="000000" w:themeColor="text1"/>
                <w:sz w:val="24"/>
                <w14:textFill>
                  <w14:solidFill>
                    <w14:schemeClr w14:val="tx1"/>
                  </w14:solidFill>
                </w14:textFill>
              </w:rPr>
              <w:t>生产废水</w:t>
            </w:r>
            <w:r>
              <w:rPr>
                <w:rFonts w:eastAsiaTheme="minorEastAsia"/>
                <w:color w:val="000000" w:themeColor="text1"/>
                <w:sz w:val="24"/>
                <w14:textFill>
                  <w14:solidFill>
                    <w14:schemeClr w14:val="tx1"/>
                  </w14:solidFill>
                </w14:textFill>
              </w:rPr>
              <w:t>、生活污水。</w:t>
            </w:r>
          </w:p>
          <w:p>
            <w:pPr>
              <w:adjustRightInd w:val="0"/>
              <w:snapToGrid w:val="0"/>
              <w:spacing w:line="360" w:lineRule="auto"/>
              <w:ind w:firstLine="48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项目区采用雨污分流，车间外雨水和屋顶雨水截流后从厂区的雨水排放口排放至附近雨水沟。车间内均设置为密闭的车间，无雨水淋滤而产生初期雨水。</w:t>
            </w:r>
          </w:p>
          <w:p>
            <w:pPr>
              <w:adjustRightInd w:val="0"/>
              <w:snapToGrid w:val="0"/>
              <w:spacing w:line="360" w:lineRule="auto"/>
              <w:ind w:firstLine="48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（1）生产</w:t>
            </w:r>
            <w:r>
              <w:rPr>
                <w:rFonts w:hint="eastAsia" w:eastAsiaTheme="minorEastAsia"/>
                <w:bCs/>
                <w:color w:val="000000" w:themeColor="text1"/>
                <w:sz w:val="24"/>
                <w14:textFill>
                  <w14:solidFill>
                    <w14:schemeClr w14:val="tx1"/>
                  </w14:solidFill>
                </w14:textFill>
              </w:rPr>
              <w:t>用</w:t>
            </w:r>
            <w:r>
              <w:rPr>
                <w:rFonts w:eastAsiaTheme="minorEastAsia"/>
                <w:bCs/>
                <w:color w:val="000000" w:themeColor="text1"/>
                <w:sz w:val="24"/>
                <w14:textFill>
                  <w14:solidFill>
                    <w14:schemeClr w14:val="tx1"/>
                  </w14:solidFill>
                </w14:textFill>
              </w:rPr>
              <w:t>水</w:t>
            </w:r>
            <w:r>
              <w:rPr>
                <w:rFonts w:hint="eastAsia" w:eastAsiaTheme="minorEastAsia"/>
                <w:bCs/>
                <w:color w:val="000000" w:themeColor="text1"/>
                <w:sz w:val="24"/>
                <w14:textFill>
                  <w14:solidFill>
                    <w14:schemeClr w14:val="tx1"/>
                  </w14:solidFill>
                </w14:textFill>
              </w:rPr>
              <w:t>及废水</w:t>
            </w:r>
          </w:p>
          <w:p>
            <w:pPr>
              <w:adjustRightInd w:val="0"/>
              <w:snapToGrid w:val="0"/>
              <w:spacing w:line="360" w:lineRule="auto"/>
              <w:ind w:firstLine="480"/>
              <w:rPr>
                <w:rFonts w:eastAsiaTheme="minorEastAsia"/>
                <w:bCs/>
                <w:color w:val="000000" w:themeColor="text1"/>
                <w:sz w:val="24"/>
                <w14:textFill>
                  <w14:solidFill>
                    <w14:schemeClr w14:val="tx1"/>
                  </w14:solidFill>
                </w14:textFill>
              </w:rPr>
            </w:pPr>
            <w:r>
              <w:rPr>
                <w:bCs/>
                <w:color w:val="000000" w:themeColor="text1"/>
                <w:kern w:val="0"/>
                <w:sz w:val="24"/>
                <w:szCs w:val="22"/>
                <w14:textFill>
                  <w14:solidFill>
                    <w14:schemeClr w14:val="tx1"/>
                  </w14:solidFill>
                </w14:textFill>
              </w:rPr>
              <w:t>①</w:t>
            </w:r>
            <w:r>
              <w:rPr>
                <w:rFonts w:hint="eastAsia" w:eastAsiaTheme="minorEastAsia"/>
                <w:bCs/>
                <w:color w:val="000000" w:themeColor="text1"/>
                <w:sz w:val="24"/>
                <w14:textFill>
                  <w14:solidFill>
                    <w14:schemeClr w14:val="tx1"/>
                  </w14:solidFill>
                </w14:textFill>
              </w:rPr>
              <w:t>工艺用水</w:t>
            </w:r>
          </w:p>
          <w:p>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根据建设单位提供资料显示，项目发酵时物料含水率需达到</w:t>
            </w:r>
            <w:r>
              <w:rPr>
                <w:rFonts w:hint="eastAsia" w:eastAsiaTheme="minorEastAsia"/>
                <w:bCs/>
                <w:color w:val="000000" w:themeColor="text1"/>
                <w:sz w:val="24"/>
                <w14:textFill>
                  <w14:solidFill>
                    <w14:schemeClr w14:val="tx1"/>
                  </w14:solidFill>
                </w14:textFill>
              </w:rPr>
              <w:t>40-</w:t>
            </w:r>
            <w:r>
              <w:rPr>
                <w:rFonts w:eastAsiaTheme="minorEastAsia"/>
                <w:bCs/>
                <w:color w:val="000000" w:themeColor="text1"/>
                <w:sz w:val="24"/>
                <w14:textFill>
                  <w14:solidFill>
                    <w14:schemeClr w14:val="tx1"/>
                  </w14:solidFill>
                </w14:textFill>
              </w:rPr>
              <w:t>50%左右，</w:t>
            </w:r>
            <w:r>
              <w:rPr>
                <w:rFonts w:hint="eastAsia" w:eastAsiaTheme="minorEastAsia"/>
                <w:bCs/>
                <w:color w:val="000000" w:themeColor="text1"/>
                <w:sz w:val="24"/>
                <w14:textFill>
                  <w14:solidFill>
                    <w14:schemeClr w14:val="tx1"/>
                  </w14:solidFill>
                </w14:textFill>
              </w:rPr>
              <w:t>草炭含水率为30-40%，锯木屑含水率为15-20%，</w:t>
            </w:r>
            <w:r>
              <w:rPr>
                <w:rFonts w:eastAsiaTheme="minorEastAsia"/>
                <w:bCs/>
                <w:color w:val="000000" w:themeColor="text1"/>
                <w:sz w:val="24"/>
                <w14:textFill>
                  <w14:solidFill>
                    <w14:schemeClr w14:val="tx1"/>
                  </w14:solidFill>
                </w14:textFill>
              </w:rPr>
              <w:t>因此</w:t>
            </w:r>
            <w:r>
              <w:rPr>
                <w:rFonts w:hint="eastAsia" w:eastAsiaTheme="minorEastAsia"/>
                <w:bCs/>
                <w:color w:val="000000" w:themeColor="text1"/>
                <w:sz w:val="24"/>
                <w14:textFill>
                  <w14:solidFill>
                    <w14:schemeClr w14:val="tx1"/>
                  </w14:solidFill>
                </w14:textFill>
              </w:rPr>
              <w:t>草炭和锯木屑</w:t>
            </w:r>
            <w:r>
              <w:rPr>
                <w:rFonts w:eastAsiaTheme="minorEastAsia"/>
                <w:bCs/>
                <w:color w:val="000000" w:themeColor="text1"/>
                <w:sz w:val="24"/>
                <w14:textFill>
                  <w14:solidFill>
                    <w14:schemeClr w14:val="tx1"/>
                  </w14:solidFill>
                </w14:textFill>
              </w:rPr>
              <w:t>混料</w:t>
            </w:r>
            <w:r>
              <w:rPr>
                <w:rFonts w:hint="eastAsia" w:eastAsiaTheme="minorEastAsia"/>
                <w:bCs/>
                <w:color w:val="000000" w:themeColor="text1"/>
                <w:sz w:val="24"/>
                <w14:textFill>
                  <w14:solidFill>
                    <w14:schemeClr w14:val="tx1"/>
                  </w14:solidFill>
                </w14:textFill>
              </w:rPr>
              <w:t>后进行发酵</w:t>
            </w:r>
            <w:r>
              <w:rPr>
                <w:rFonts w:eastAsiaTheme="minorEastAsia"/>
                <w:bCs/>
                <w:color w:val="000000" w:themeColor="text1"/>
                <w:sz w:val="24"/>
                <w14:textFill>
                  <w14:solidFill>
                    <w14:schemeClr w14:val="tx1"/>
                  </w14:solidFill>
                </w14:textFill>
              </w:rPr>
              <w:t>时</w:t>
            </w:r>
            <w:r>
              <w:rPr>
                <w:rFonts w:hint="eastAsia" w:eastAsiaTheme="minorEastAsia"/>
                <w:bCs/>
                <w:color w:val="000000" w:themeColor="text1"/>
                <w:sz w:val="24"/>
                <w14:textFill>
                  <w14:solidFill>
                    <w14:schemeClr w14:val="tx1"/>
                  </w14:solidFill>
                </w14:textFill>
              </w:rPr>
              <w:t>，</w:t>
            </w:r>
            <w:r>
              <w:rPr>
                <w:rFonts w:eastAsiaTheme="minorEastAsia"/>
                <w:bCs/>
                <w:color w:val="000000" w:themeColor="text1"/>
                <w:sz w:val="24"/>
                <w14:textFill>
                  <w14:solidFill>
                    <w14:schemeClr w14:val="tx1"/>
                  </w14:solidFill>
                </w14:textFill>
              </w:rPr>
              <w:t>需对</w:t>
            </w:r>
            <w:r>
              <w:rPr>
                <w:rFonts w:hint="eastAsia" w:eastAsiaTheme="minorEastAsia"/>
                <w:bCs/>
                <w:color w:val="000000" w:themeColor="text1"/>
                <w:sz w:val="24"/>
                <w14:textFill>
                  <w14:solidFill>
                    <w14:schemeClr w14:val="tx1"/>
                  </w14:solidFill>
                </w14:textFill>
              </w:rPr>
              <w:t>发酵堆</w:t>
            </w:r>
            <w:r>
              <w:rPr>
                <w:rFonts w:eastAsiaTheme="minorEastAsia"/>
                <w:bCs/>
                <w:color w:val="000000" w:themeColor="text1"/>
                <w:sz w:val="24"/>
                <w14:textFill>
                  <w14:solidFill>
                    <w14:schemeClr w14:val="tx1"/>
                  </w14:solidFill>
                </w14:textFill>
              </w:rPr>
              <w:t>进行喷水增加物料含水率，使其含水率达到 40%左右</w:t>
            </w:r>
            <w:r>
              <w:rPr>
                <w:rFonts w:hint="eastAsia" w:eastAsiaTheme="minorEastAsia"/>
                <w:bCs/>
                <w:color w:val="000000" w:themeColor="text1"/>
                <w:sz w:val="24"/>
                <w14:textFill>
                  <w14:solidFill>
                    <w14:schemeClr w14:val="tx1"/>
                  </w14:solidFill>
                </w14:textFill>
              </w:rPr>
              <w:t>。根据建设单位的配比方案，1t的发酵原料需要添加0.1t的水分，据此，有机肥原料为草炭和锯木屑共计50000t，中量元素有机肥原料为草炭、锯木屑和尾矿共计50000t，原料总计100000t，生产中用水量为10000</w:t>
            </w:r>
            <w:r>
              <w:rPr>
                <w:rFonts w:eastAsiaTheme="minorEastAsia"/>
                <w:bCs/>
                <w:color w:val="000000" w:themeColor="text1"/>
                <w:sz w:val="24"/>
                <w14:textFill>
                  <w14:solidFill>
                    <w14:schemeClr w14:val="tx1"/>
                  </w14:solidFill>
                </w14:textFill>
              </w:rPr>
              <w:t>m³/</w:t>
            </w:r>
            <w:r>
              <w:rPr>
                <w:rFonts w:hint="eastAsia" w:eastAsiaTheme="minorEastAsia"/>
                <w:bCs/>
                <w:color w:val="000000" w:themeColor="text1"/>
                <w:sz w:val="24"/>
                <w14:textFill>
                  <w14:solidFill>
                    <w14:schemeClr w14:val="tx1"/>
                  </w14:solidFill>
                </w14:textFill>
              </w:rPr>
              <w:t>a</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33.3</w:t>
            </w:r>
            <w:r>
              <w:rPr>
                <w:rFonts w:eastAsiaTheme="minorEastAsia"/>
                <w:bCs/>
                <w:color w:val="000000" w:themeColor="text1"/>
                <w:sz w:val="24"/>
                <w14:textFill>
                  <w14:solidFill>
                    <w14:schemeClr w14:val="tx1"/>
                  </w14:solidFill>
                </w14:textFill>
              </w:rPr>
              <w:t>m³/d，该部分水少部分进入产品，大部分在发酵时蒸发，不外排。</w:t>
            </w:r>
            <w:r>
              <w:rPr>
                <w:rFonts w:hint="eastAsia"/>
                <w:bCs/>
                <w:color w:val="000000" w:themeColor="text1"/>
                <w:sz w:val="24"/>
                <w14:textFill>
                  <w14:solidFill>
                    <w14:schemeClr w14:val="tx1"/>
                  </w14:solidFill>
                </w14:textFill>
              </w:rPr>
              <w:t>喷洒液呈雾状喷淋发酵堆体表面，水分从上</w:t>
            </w:r>
            <w:r>
              <w:rPr>
                <w:rFonts w:hint="eastAsia"/>
                <w:bCs/>
                <w:color w:val="000000" w:themeColor="text1"/>
                <w:sz w:val="24"/>
                <w:lang w:eastAsia="zh-CN"/>
                <w14:textFill>
                  <w14:solidFill>
                    <w14:schemeClr w14:val="tx1"/>
                  </w14:solidFill>
                </w14:textFill>
              </w:rPr>
              <w:t>至</w:t>
            </w:r>
            <w:r>
              <w:rPr>
                <w:rFonts w:hint="eastAsia"/>
                <w:bCs/>
                <w:color w:val="000000" w:themeColor="text1"/>
                <w:sz w:val="24"/>
                <w14:textFill>
                  <w14:solidFill>
                    <w14:schemeClr w14:val="tx1"/>
                  </w14:solidFill>
                </w14:textFill>
              </w:rPr>
              <w:t>下慢慢被物料吸收，不会产生渗滤液。</w:t>
            </w:r>
          </w:p>
          <w:p>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②生物除臭剂喷淋稀释用水</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生物除臭剂喷淋时，</w:t>
            </w:r>
            <w:r>
              <w:rPr>
                <w:rFonts w:hint="eastAsia"/>
                <w:bCs/>
                <w:color w:val="000000" w:themeColor="text1"/>
                <w:sz w:val="24"/>
                <w14:textFill>
                  <w14:solidFill>
                    <w14:schemeClr w14:val="tx1"/>
                  </w14:solidFill>
                </w14:textFill>
              </w:rPr>
              <w:t>将除臭剂用水稀释20倍，项目除臭剂年使用量为2t，则稀释用水量为40m³/a，0.13m³/d。稀释后的除臭剂喷淋物料后，水分蒸发，不外排。除臭剂稀释液呈雾状喷淋，水分快速蒸发，不会在地面汇集。</w:t>
            </w:r>
          </w:p>
          <w:p>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③洒水降尘用水</w:t>
            </w:r>
          </w:p>
          <w:p>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参考《云南省用水定额标准》（DB53/T168-2019）中“环境卫生管理-场地浇洒”用水定额为 2L/（㎡.次），车间内需要洒水降尘区域</w:t>
            </w:r>
            <w:r>
              <w:rPr>
                <w:rFonts w:hint="eastAsia" w:eastAsiaTheme="minorEastAsia"/>
                <w:bCs/>
                <w:color w:val="000000" w:themeColor="text1"/>
                <w:sz w:val="24"/>
                <w14:textFill>
                  <w14:solidFill>
                    <w14:schemeClr w14:val="tx1"/>
                  </w14:solidFill>
                </w14:textFill>
              </w:rPr>
              <w:t>为原料库、拌合区、混合区共计</w:t>
            </w:r>
            <w:r>
              <w:rPr>
                <w:rFonts w:eastAsiaTheme="minorEastAsia"/>
                <w:bCs/>
                <w:color w:val="000000" w:themeColor="text1"/>
                <w:sz w:val="24"/>
                <w14:textFill>
                  <w14:solidFill>
                    <w14:schemeClr w14:val="tx1"/>
                  </w14:solidFill>
                </w14:textFill>
              </w:rPr>
              <w:t xml:space="preserve"> 2</w:t>
            </w:r>
            <w:r>
              <w:rPr>
                <w:rFonts w:hint="eastAsia" w:eastAsiaTheme="minorEastAsia"/>
                <w:bCs/>
                <w:color w:val="000000" w:themeColor="text1"/>
                <w:sz w:val="24"/>
                <w14:textFill>
                  <w14:solidFill>
                    <w14:schemeClr w14:val="tx1"/>
                  </w14:solidFill>
                </w14:textFill>
              </w:rPr>
              <w:t>245</w:t>
            </w:r>
            <w:r>
              <w:rPr>
                <w:rFonts w:eastAsiaTheme="minorEastAsia"/>
                <w:bCs/>
                <w:color w:val="000000" w:themeColor="text1"/>
                <w:sz w:val="24"/>
                <w14:textFill>
                  <w14:solidFill>
                    <w14:schemeClr w14:val="tx1"/>
                  </w14:solidFill>
                </w14:textFill>
              </w:rPr>
              <w:t xml:space="preserve"> ㎡，每天洒水一次，则洒水降尘用水量为 4.</w:t>
            </w:r>
            <w:r>
              <w:rPr>
                <w:rFonts w:hint="eastAsia" w:eastAsiaTheme="minorEastAsia"/>
                <w:bCs/>
                <w:color w:val="000000" w:themeColor="text1"/>
                <w:sz w:val="24"/>
                <w14:textFill>
                  <w14:solidFill>
                    <w14:schemeClr w14:val="tx1"/>
                  </w14:solidFill>
                </w14:textFill>
              </w:rPr>
              <w:t>49</w:t>
            </w:r>
            <w:r>
              <w:rPr>
                <w:rFonts w:eastAsiaTheme="minorEastAsia"/>
                <w:bCs/>
                <w:color w:val="000000" w:themeColor="text1"/>
                <w:sz w:val="24"/>
                <w14:textFill>
                  <w14:solidFill>
                    <w14:schemeClr w14:val="tx1"/>
                  </w14:solidFill>
                </w14:textFill>
              </w:rPr>
              <w:t>m³/d，完全蒸发。</w:t>
            </w:r>
          </w:p>
          <w:p>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（2）生活</w:t>
            </w:r>
            <w:r>
              <w:rPr>
                <w:rFonts w:hint="eastAsia" w:eastAsiaTheme="minorEastAsia"/>
                <w:bCs/>
                <w:color w:val="000000" w:themeColor="text1"/>
                <w:sz w:val="24"/>
                <w14:textFill>
                  <w14:solidFill>
                    <w14:schemeClr w14:val="tx1"/>
                  </w14:solidFill>
                </w14:textFill>
              </w:rPr>
              <w:t>用水及</w:t>
            </w:r>
            <w:r>
              <w:rPr>
                <w:rFonts w:eastAsiaTheme="minorEastAsia"/>
                <w:bCs/>
                <w:color w:val="000000" w:themeColor="text1"/>
                <w:sz w:val="24"/>
                <w14:textFill>
                  <w14:solidFill>
                    <w14:schemeClr w14:val="tx1"/>
                  </w14:solidFill>
                </w14:textFill>
              </w:rPr>
              <w:t>污水</w:t>
            </w:r>
          </w:p>
          <w:p>
            <w:pPr>
              <w:adjustRightInd w:val="0"/>
              <w:snapToGrid w:val="0"/>
              <w:spacing w:line="360" w:lineRule="auto"/>
              <w:ind w:firstLine="480" w:firstLineChars="200"/>
              <w:rPr>
                <w:rFonts w:eastAsiaTheme="minorEastAsia"/>
                <w:bCs/>
                <w:color w:val="000000" w:themeColor="text1"/>
                <w:kern w:val="0"/>
                <w:sz w:val="24"/>
                <w:szCs w:val="22"/>
                <w14:textFill>
                  <w14:solidFill>
                    <w14:schemeClr w14:val="tx1"/>
                  </w14:solidFill>
                </w14:textFill>
              </w:rPr>
            </w:pPr>
            <w:r>
              <w:rPr>
                <w:rFonts w:eastAsiaTheme="minorEastAsia"/>
                <w:bCs/>
                <w:color w:val="000000" w:themeColor="text1"/>
                <w:kern w:val="0"/>
                <w:sz w:val="24"/>
                <w:szCs w:val="22"/>
                <w14:textFill>
                  <w14:solidFill>
                    <w14:schemeClr w14:val="tx1"/>
                  </w14:solidFill>
                </w14:textFill>
              </w:rPr>
              <w:t>本项目劳动定员</w:t>
            </w:r>
            <w:r>
              <w:rPr>
                <w:rFonts w:hint="eastAsia" w:eastAsiaTheme="minorEastAsia"/>
                <w:bCs/>
                <w:color w:val="000000" w:themeColor="text1"/>
                <w:kern w:val="0"/>
                <w:sz w:val="24"/>
                <w:szCs w:val="22"/>
                <w14:textFill>
                  <w14:solidFill>
                    <w14:schemeClr w14:val="tx1"/>
                  </w14:solidFill>
                </w14:textFill>
              </w:rPr>
              <w:t>10</w:t>
            </w:r>
            <w:r>
              <w:rPr>
                <w:rFonts w:eastAsiaTheme="minorEastAsia"/>
                <w:bCs/>
                <w:color w:val="000000" w:themeColor="text1"/>
                <w:kern w:val="0"/>
                <w:sz w:val="24"/>
                <w:szCs w:val="22"/>
                <w14:textFill>
                  <w14:solidFill>
                    <w14:schemeClr w14:val="tx1"/>
                  </w14:solidFill>
                </w14:textFill>
              </w:rPr>
              <w:t>人，</w:t>
            </w:r>
            <w:r>
              <w:rPr>
                <w:rFonts w:hint="eastAsia" w:eastAsiaTheme="minorEastAsia"/>
                <w:bCs/>
                <w:color w:val="000000" w:themeColor="text1"/>
                <w:kern w:val="0"/>
                <w:sz w:val="24"/>
                <w:szCs w:val="22"/>
                <w14:textFill>
                  <w14:solidFill>
                    <w14:schemeClr w14:val="tx1"/>
                  </w14:solidFill>
                </w14:textFill>
              </w:rPr>
              <w:t>管理人员2人，员工8人，员工均为当地的村民，不在项目区食宿；管理人员依托云南建工云岭水泥有限公司已建的配套宿舍和食堂。</w:t>
            </w:r>
            <w:r>
              <w:rPr>
                <w:rFonts w:eastAsiaTheme="minorEastAsia"/>
                <w:bCs/>
                <w:color w:val="000000" w:themeColor="text1"/>
                <w:kern w:val="0"/>
                <w:sz w:val="24"/>
                <w:szCs w:val="22"/>
                <w14:textFill>
                  <w14:solidFill>
                    <w14:schemeClr w14:val="tx1"/>
                  </w14:solidFill>
                </w14:textFill>
              </w:rPr>
              <w:t>根据《云南省地方标准用水定额》（DB53/T168-2019），中小城市用水定额为110L/(人·d)，本项目</w:t>
            </w:r>
            <w:r>
              <w:rPr>
                <w:rFonts w:hint="eastAsia" w:eastAsiaTheme="minorEastAsia"/>
                <w:bCs/>
                <w:color w:val="000000" w:themeColor="text1"/>
                <w:kern w:val="0"/>
                <w:sz w:val="24"/>
                <w:szCs w:val="22"/>
                <w14:textFill>
                  <w14:solidFill>
                    <w14:schemeClr w14:val="tx1"/>
                  </w14:solidFill>
                </w14:textFill>
              </w:rPr>
              <w:t>管理人员按</w:t>
            </w:r>
            <w:r>
              <w:rPr>
                <w:rFonts w:eastAsiaTheme="minorEastAsia"/>
                <w:bCs/>
                <w:color w:val="000000" w:themeColor="text1"/>
                <w:kern w:val="0"/>
                <w:sz w:val="24"/>
                <w:szCs w:val="22"/>
                <w14:textFill>
                  <w14:solidFill>
                    <w14:schemeClr w14:val="tx1"/>
                  </w14:solidFill>
                </w14:textFill>
              </w:rPr>
              <w:t>110L/(人·d)</w:t>
            </w:r>
            <w:r>
              <w:rPr>
                <w:rFonts w:hint="eastAsia" w:eastAsiaTheme="minorEastAsia"/>
                <w:bCs/>
                <w:color w:val="000000" w:themeColor="text1"/>
                <w:kern w:val="0"/>
                <w:sz w:val="24"/>
                <w:szCs w:val="22"/>
                <w14:textFill>
                  <w14:solidFill>
                    <w14:schemeClr w14:val="tx1"/>
                  </w14:solidFill>
                </w14:textFill>
              </w:rPr>
              <w:t>计</w:t>
            </w:r>
            <w:r>
              <w:rPr>
                <w:rFonts w:eastAsiaTheme="minorEastAsia"/>
                <w:bCs/>
                <w:color w:val="000000" w:themeColor="text1"/>
                <w:kern w:val="0"/>
                <w:sz w:val="24"/>
                <w:szCs w:val="22"/>
                <w14:textFill>
                  <w14:solidFill>
                    <w14:schemeClr w14:val="tx1"/>
                  </w14:solidFill>
                </w14:textFill>
              </w:rPr>
              <w:t>，员工不在项目区</w:t>
            </w:r>
            <w:r>
              <w:rPr>
                <w:rFonts w:hint="eastAsia" w:eastAsiaTheme="minorEastAsia"/>
                <w:bCs/>
                <w:color w:val="000000" w:themeColor="text1"/>
                <w:kern w:val="0"/>
                <w:sz w:val="24"/>
                <w:szCs w:val="22"/>
                <w14:textFill>
                  <w14:solidFill>
                    <w14:schemeClr w14:val="tx1"/>
                  </w14:solidFill>
                </w14:textFill>
              </w:rPr>
              <w:t>食宿</w:t>
            </w:r>
            <w:r>
              <w:rPr>
                <w:rFonts w:eastAsiaTheme="minorEastAsia"/>
                <w:bCs/>
                <w:color w:val="000000" w:themeColor="text1"/>
                <w:kern w:val="0"/>
                <w:sz w:val="24"/>
                <w:szCs w:val="22"/>
                <w14:textFill>
                  <w14:solidFill>
                    <w14:schemeClr w14:val="tx1"/>
                  </w14:solidFill>
                </w14:textFill>
              </w:rPr>
              <w:t>，按</w:t>
            </w:r>
            <w:r>
              <w:rPr>
                <w:rFonts w:hint="eastAsia" w:eastAsiaTheme="minorEastAsia"/>
                <w:bCs/>
                <w:color w:val="000000" w:themeColor="text1"/>
                <w:kern w:val="0"/>
                <w:sz w:val="24"/>
                <w:szCs w:val="22"/>
                <w14:textFill>
                  <w14:solidFill>
                    <w14:schemeClr w14:val="tx1"/>
                  </w14:solidFill>
                </w14:textFill>
              </w:rPr>
              <w:t>2</w:t>
            </w:r>
            <w:r>
              <w:rPr>
                <w:rFonts w:eastAsiaTheme="minorEastAsia"/>
                <w:bCs/>
                <w:color w:val="000000" w:themeColor="text1"/>
                <w:kern w:val="0"/>
                <w:sz w:val="24"/>
                <w:szCs w:val="22"/>
                <w14:textFill>
                  <w14:solidFill>
                    <w14:schemeClr w14:val="tx1"/>
                  </w14:solidFill>
                </w14:textFill>
              </w:rPr>
              <w:t>0L/(人·d)计，则用水量为</w:t>
            </w:r>
            <w:r>
              <w:rPr>
                <w:rFonts w:hint="eastAsia" w:eastAsiaTheme="minorEastAsia"/>
                <w:bCs/>
                <w:color w:val="000000" w:themeColor="text1"/>
                <w:kern w:val="0"/>
                <w:sz w:val="24"/>
                <w:szCs w:val="22"/>
                <w14:textFill>
                  <w14:solidFill>
                    <w14:schemeClr w14:val="tx1"/>
                  </w14:solidFill>
                </w14:textFill>
              </w:rPr>
              <w:t>0.38</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114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/a），排污系数按0.8计，则生活污水产生总量为</w:t>
            </w:r>
            <w:r>
              <w:rPr>
                <w:rFonts w:hint="eastAsia" w:eastAsiaTheme="minorEastAsia"/>
                <w:bCs/>
                <w:color w:val="000000" w:themeColor="text1"/>
                <w:kern w:val="0"/>
                <w:sz w:val="24"/>
                <w:szCs w:val="22"/>
                <w14:textFill>
                  <w14:solidFill>
                    <w14:schemeClr w14:val="tx1"/>
                  </w14:solidFill>
                </w14:textFill>
              </w:rPr>
              <w:t>0.304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91.2</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w:t>
            </w:r>
            <w:r>
              <w:rPr>
                <w:rFonts w:hint="eastAsia" w:eastAsiaTheme="minorEastAsia"/>
                <w:bCs/>
                <w:color w:val="000000" w:themeColor="text1"/>
                <w:kern w:val="0"/>
                <w:sz w:val="24"/>
                <w:szCs w:val="22"/>
                <w14:textFill>
                  <w14:solidFill>
                    <w14:schemeClr w14:val="tx1"/>
                  </w14:solidFill>
                </w14:textFill>
              </w:rPr>
              <w:t>生活污水</w:t>
            </w:r>
            <w:r>
              <w:rPr>
                <w:rFonts w:eastAsiaTheme="minorEastAsia"/>
                <w:bCs/>
                <w:color w:val="000000" w:themeColor="text1"/>
                <w:kern w:val="0"/>
                <w:sz w:val="24"/>
                <w:szCs w:val="22"/>
                <w14:textFill>
                  <w14:solidFill>
                    <w14:schemeClr w14:val="tx1"/>
                  </w14:solidFill>
                </w14:textFill>
              </w:rPr>
              <w:t>进入</w:t>
            </w:r>
            <w:r>
              <w:rPr>
                <w:rFonts w:hint="eastAsia" w:eastAsiaTheme="minorEastAsia"/>
                <w:bCs/>
                <w:color w:val="000000" w:themeColor="text1"/>
                <w:kern w:val="0"/>
                <w:sz w:val="24"/>
                <w:szCs w:val="22"/>
                <w14:textFill>
                  <w14:solidFill>
                    <w14:schemeClr w14:val="tx1"/>
                  </w14:solidFill>
                </w14:textFill>
              </w:rPr>
              <w:t>云南建工云岭水泥有限公司已建60</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化粪池处理，最终</w:t>
            </w:r>
            <w:r>
              <w:rPr>
                <w:rFonts w:hint="eastAsia" w:eastAsiaTheme="minorEastAsia"/>
                <w:bCs/>
                <w:color w:val="000000" w:themeColor="text1"/>
                <w:kern w:val="0"/>
                <w:sz w:val="24"/>
                <w:szCs w:val="22"/>
                <w14:textFill>
                  <w14:solidFill>
                    <w14:schemeClr w14:val="tx1"/>
                  </w14:solidFill>
                </w14:textFill>
              </w:rPr>
              <w:t>进入已建的一体化污水处理设备进行处理达标后，回用绿化和洒水降尘</w:t>
            </w:r>
            <w:r>
              <w:rPr>
                <w:rFonts w:eastAsiaTheme="minorEastAsia"/>
                <w:bCs/>
                <w:color w:val="000000" w:themeColor="text1"/>
                <w:kern w:val="0"/>
                <w:sz w:val="24"/>
                <w:szCs w:val="22"/>
                <w14:textFill>
                  <w14:solidFill>
                    <w14:schemeClr w14:val="tx1"/>
                  </w14:solidFill>
                </w14:textFill>
              </w:rPr>
              <w:t>。</w:t>
            </w:r>
          </w:p>
          <w:p>
            <w:pPr>
              <w:tabs>
                <w:tab w:val="center" w:pos="4026"/>
              </w:tabs>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项目用水量及污水产排情况见表</w:t>
            </w:r>
            <w:r>
              <w:rPr>
                <w:rFonts w:hint="eastAsia" w:eastAsiaTheme="minorEastAsia"/>
                <w:bCs/>
                <w:color w:val="000000" w:themeColor="text1"/>
                <w:sz w:val="24"/>
                <w14:textFill>
                  <w14:solidFill>
                    <w14:schemeClr w14:val="tx1"/>
                  </w14:solidFill>
                </w14:textFill>
              </w:rPr>
              <w:t>2</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16</w:t>
            </w:r>
            <w:r>
              <w:rPr>
                <w:rFonts w:eastAsiaTheme="minorEastAsia"/>
                <w:bCs/>
                <w:color w:val="000000" w:themeColor="text1"/>
                <w:sz w:val="24"/>
                <w14:textFill>
                  <w14:solidFill>
                    <w14:schemeClr w14:val="tx1"/>
                  </w14:solidFill>
                </w14:textFill>
              </w:rPr>
              <w:t>，项目最大日水量平衡图见图</w:t>
            </w:r>
            <w:r>
              <w:rPr>
                <w:rFonts w:hint="eastAsia" w:eastAsiaTheme="minorEastAsia"/>
                <w:bCs/>
                <w:color w:val="000000" w:themeColor="text1"/>
                <w:sz w:val="24"/>
                <w14:textFill>
                  <w14:solidFill>
                    <w14:schemeClr w14:val="tx1"/>
                  </w14:solidFill>
                </w14:textFill>
              </w:rPr>
              <w:t>2</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4</w:t>
            </w:r>
            <w:r>
              <w:rPr>
                <w:rFonts w:eastAsiaTheme="minorEastAsia"/>
                <w:bCs/>
                <w:color w:val="000000" w:themeColor="text1"/>
                <w:sz w:val="24"/>
                <w14:textFill>
                  <w14:solidFill>
                    <w14:schemeClr w14:val="tx1"/>
                  </w14:solidFill>
                </w14:textFill>
              </w:rPr>
              <w:t>。</w:t>
            </w:r>
          </w:p>
          <w:p>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表</w:t>
            </w:r>
            <w:r>
              <w:rPr>
                <w:rFonts w:hint="eastAsia" w:eastAsiaTheme="minorEastAsia"/>
                <w:b/>
                <w:color w:val="000000" w:themeColor="text1"/>
                <w:szCs w:val="21"/>
                <w14:textFill>
                  <w14:solidFill>
                    <w14:schemeClr w14:val="tx1"/>
                  </w14:solidFill>
                </w14:textFill>
              </w:rPr>
              <w:t>2</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16</w:t>
            </w:r>
            <w:r>
              <w:rPr>
                <w:rFonts w:eastAsiaTheme="minorEastAsia"/>
                <w:b/>
                <w:color w:val="000000" w:themeColor="text1"/>
                <w:szCs w:val="21"/>
                <w14:textFill>
                  <w14:solidFill>
                    <w14:schemeClr w14:val="tx1"/>
                  </w14:solidFill>
                </w14:textFill>
              </w:rPr>
              <w:t xml:space="preserve">  项目用水及污水产排情况</w:t>
            </w:r>
          </w:p>
          <w:tbl>
            <w:tblPr>
              <w:tblStyle w:val="23"/>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36"/>
              <w:gridCol w:w="1431"/>
              <w:gridCol w:w="1356"/>
              <w:gridCol w:w="145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484"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用水项目</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日用水量（m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/d）</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年用水量（m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w:t>
                  </w:r>
                  <w:r>
                    <w:rPr>
                      <w:rFonts w:hint="eastAsia" w:eastAsiaTheme="minorEastAsia"/>
                      <w:b/>
                      <w:color w:val="000000" w:themeColor="text1"/>
                      <w:kern w:val="0"/>
                      <w:szCs w:val="21"/>
                      <w14:textFill>
                        <w14:solidFill>
                          <w14:schemeClr w14:val="tx1"/>
                        </w14:solidFill>
                      </w14:textFill>
                    </w:rPr>
                    <w:t>a</w:t>
                  </w:r>
                  <w:r>
                    <w:rPr>
                      <w:rFonts w:eastAsiaTheme="minorEastAsia"/>
                      <w:b/>
                      <w:color w:val="000000" w:themeColor="text1"/>
                      <w:kern w:val="0"/>
                      <w:szCs w:val="21"/>
                      <w14:textFill>
                        <w14:solidFill>
                          <w14:schemeClr w14:val="tx1"/>
                        </w14:solidFill>
                      </w14:textFill>
                    </w:rPr>
                    <w:t>）</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00" w:themeColor="text1"/>
                      <w:kern w:val="21"/>
                      <w:szCs w:val="21"/>
                      <w14:textFill>
                        <w14:solidFill>
                          <w14:schemeClr w14:val="tx1"/>
                        </w14:solidFill>
                      </w14:textFill>
                    </w:rPr>
                  </w:pPr>
                  <w:r>
                    <w:rPr>
                      <w:rFonts w:eastAsiaTheme="minorEastAsia"/>
                      <w:b/>
                      <w:color w:val="000000" w:themeColor="text1"/>
                      <w:kern w:val="21"/>
                      <w:szCs w:val="21"/>
                      <w14:textFill>
                        <w14:solidFill>
                          <w14:schemeClr w14:val="tx1"/>
                        </w14:solidFill>
                      </w14:textFill>
                    </w:rPr>
                    <w:t>日废水量（m</w:t>
                  </w:r>
                  <w:r>
                    <w:rPr>
                      <w:rFonts w:eastAsiaTheme="minorEastAsia"/>
                      <w:b/>
                      <w:color w:val="000000" w:themeColor="text1"/>
                      <w:kern w:val="21"/>
                      <w:szCs w:val="21"/>
                      <w:vertAlign w:val="superscript"/>
                      <w14:textFill>
                        <w14:solidFill>
                          <w14:schemeClr w14:val="tx1"/>
                        </w14:solidFill>
                      </w14:textFill>
                    </w:rPr>
                    <w:t>3</w:t>
                  </w:r>
                  <w:r>
                    <w:rPr>
                      <w:rFonts w:eastAsiaTheme="minorEastAsia"/>
                      <w:b/>
                      <w:color w:val="000000" w:themeColor="text1"/>
                      <w:kern w:val="21"/>
                      <w:szCs w:val="21"/>
                      <w14:textFill>
                        <w14:solidFill>
                          <w14:schemeClr w14:val="tx1"/>
                        </w14:solidFill>
                      </w14:textFill>
                    </w:rPr>
                    <w:t>/d）</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00" w:themeColor="text1"/>
                      <w:kern w:val="21"/>
                      <w:szCs w:val="21"/>
                      <w14:textFill>
                        <w14:solidFill>
                          <w14:schemeClr w14:val="tx1"/>
                        </w14:solidFill>
                      </w14:textFill>
                    </w:rPr>
                  </w:pPr>
                  <w:r>
                    <w:rPr>
                      <w:rFonts w:eastAsiaTheme="minorEastAsia"/>
                      <w:b/>
                      <w:color w:val="000000" w:themeColor="text1"/>
                      <w:kern w:val="21"/>
                      <w:szCs w:val="21"/>
                      <w14:textFill>
                        <w14:solidFill>
                          <w14:schemeClr w14:val="tx1"/>
                        </w14:solidFill>
                      </w14:textFill>
                    </w:rPr>
                    <w:t>年废水量（</w:t>
                  </w:r>
                  <w:r>
                    <w:rPr>
                      <w:rFonts w:eastAsiaTheme="minorEastAsia"/>
                      <w:b/>
                      <w:color w:val="000000" w:themeColor="text1"/>
                      <w:kern w:val="0"/>
                      <w:szCs w:val="21"/>
                      <w14:textFill>
                        <w14:solidFill>
                          <w14:schemeClr w14:val="tx1"/>
                        </w14:solidFill>
                      </w14:textFill>
                    </w:rPr>
                    <w:t>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w:t>
                  </w:r>
                  <w:r>
                    <w:rPr>
                      <w:rFonts w:hint="eastAsia" w:eastAsiaTheme="minorEastAsia"/>
                      <w:b/>
                      <w:color w:val="000000" w:themeColor="text1"/>
                      <w:kern w:val="0"/>
                      <w:szCs w:val="21"/>
                      <w14:textFill>
                        <w14:solidFill>
                          <w14:schemeClr w14:val="tx1"/>
                        </w14:solidFill>
                      </w14:textFill>
                    </w:rPr>
                    <w:t>a</w:t>
                  </w:r>
                  <w:r>
                    <w:rPr>
                      <w:rFonts w:eastAsiaTheme="minorEastAsia"/>
                      <w:b/>
                      <w:color w:val="000000" w:themeColor="text1"/>
                      <w:kern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8" w:type="dxa"/>
                  <w:vMerge w:val="restart"/>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生产用水</w:t>
                  </w:r>
                </w:p>
              </w:tc>
              <w:tc>
                <w:tcPr>
                  <w:tcW w:w="183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工艺用水</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33.3</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10000</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除臭剂稀释用水</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0.13</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40</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洒水降尘用水</w:t>
                  </w:r>
                </w:p>
              </w:tc>
              <w:tc>
                <w:tcPr>
                  <w:tcW w:w="143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4.49</w:t>
                  </w:r>
                </w:p>
              </w:tc>
              <w:tc>
                <w:tcPr>
                  <w:tcW w:w="135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1347</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648"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生活用水</w:t>
                  </w:r>
                </w:p>
              </w:tc>
              <w:tc>
                <w:tcPr>
                  <w:tcW w:w="1836" w:type="dxa"/>
                  <w:tcBorders>
                    <w:top w:val="single" w:color="auto" w:sz="4" w:space="0"/>
                    <w:left w:val="single" w:color="auto" w:sz="4" w:space="0"/>
                    <w:right w:val="single" w:color="auto" w:sz="4" w:space="0"/>
                  </w:tcBorders>
                  <w:vAlign w:val="center"/>
                </w:tcPr>
                <w:p>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生活用水</w:t>
                  </w:r>
                </w:p>
              </w:tc>
              <w:tc>
                <w:tcPr>
                  <w:tcW w:w="1431"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0.38</w:t>
                  </w:r>
                </w:p>
              </w:tc>
              <w:tc>
                <w:tcPr>
                  <w:tcW w:w="1356"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144</w:t>
                  </w:r>
                </w:p>
              </w:tc>
              <w:tc>
                <w:tcPr>
                  <w:tcW w:w="1450"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0.304</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2484" w:type="dxa"/>
                  <w:gridSpan w:val="2"/>
                  <w:tcBorders>
                    <w:top w:val="single" w:color="auto" w:sz="4" w:space="0"/>
                    <w:left w:val="single" w:color="auto" w:sz="4" w:space="0"/>
                    <w:right w:val="single" w:color="auto" w:sz="4" w:space="0"/>
                  </w:tcBorders>
                  <w:vAlign w:val="center"/>
                </w:tcPr>
                <w:p>
                  <w:pPr>
                    <w:jc w:val="center"/>
                    <w:rPr>
                      <w:rFonts w:eastAsiaTheme="minorEastAsia"/>
                      <w:bCs/>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总计</w:t>
                  </w:r>
                </w:p>
              </w:tc>
              <w:tc>
                <w:tcPr>
                  <w:tcW w:w="1431"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38.3</w:t>
                  </w:r>
                </w:p>
              </w:tc>
              <w:tc>
                <w:tcPr>
                  <w:tcW w:w="1356"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11531</w:t>
                  </w:r>
                </w:p>
              </w:tc>
              <w:tc>
                <w:tcPr>
                  <w:tcW w:w="1450" w:type="dxa"/>
                  <w:tcBorders>
                    <w:top w:val="single" w:color="auto" w:sz="4" w:space="0"/>
                    <w:left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0.304</w:t>
                  </w:r>
                </w:p>
              </w:tc>
              <w:tc>
                <w:tcPr>
                  <w:tcW w:w="1214"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91.2</w:t>
                  </w:r>
                </w:p>
              </w:tc>
            </w:tr>
          </w:tbl>
          <w:p>
            <w:pP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object>
                <v:shape id="_x0000_i1027" o:spt="75" type="#_x0000_t75" style="height:155.25pt;width:351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7" r:id="rId16">
                  <o:LockedField>false</o:LockedField>
                </o:OLEObject>
              </w:object>
            </w:r>
          </w:p>
          <w:p>
            <w:pPr>
              <w:rPr>
                <w:rFonts w:eastAsiaTheme="minorEastAsia"/>
                <w:color w:val="000000" w:themeColor="text1"/>
                <w14:textFill>
                  <w14:solidFill>
                    <w14:schemeClr w14:val="tx1"/>
                  </w14:solidFill>
                </w14:textFill>
              </w:rPr>
            </w:pPr>
          </w:p>
          <w:p>
            <w:pPr>
              <w:jc w:val="center"/>
              <w:rPr>
                <w:rFonts w:eastAsiaTheme="minorEastAsia"/>
                <w:b/>
                <w:iCs/>
                <w:color w:val="000000" w:themeColor="text1"/>
                <w:szCs w:val="21"/>
                <w14:textFill>
                  <w14:solidFill>
                    <w14:schemeClr w14:val="tx1"/>
                  </w14:solidFill>
                </w14:textFill>
              </w:rPr>
            </w:pPr>
            <w:r>
              <w:rPr>
                <w:rFonts w:eastAsiaTheme="minorEastAsia"/>
                <w:b/>
                <w:iCs/>
                <w:color w:val="000000" w:themeColor="text1"/>
                <w:szCs w:val="21"/>
                <w14:textFill>
                  <w14:solidFill>
                    <w14:schemeClr w14:val="tx1"/>
                  </w14:solidFill>
                </w14:textFill>
              </w:rPr>
              <w:t>图</w:t>
            </w:r>
            <w:r>
              <w:rPr>
                <w:rFonts w:hint="eastAsia" w:eastAsiaTheme="minorEastAsia"/>
                <w:b/>
                <w:iCs/>
                <w:color w:val="000000" w:themeColor="text1"/>
                <w:szCs w:val="21"/>
                <w14:textFill>
                  <w14:solidFill>
                    <w14:schemeClr w14:val="tx1"/>
                  </w14:solidFill>
                </w14:textFill>
              </w:rPr>
              <w:t>2</w:t>
            </w:r>
            <w:r>
              <w:rPr>
                <w:rFonts w:eastAsiaTheme="minorEastAsia"/>
                <w:b/>
                <w:iCs/>
                <w:color w:val="000000" w:themeColor="text1"/>
                <w:szCs w:val="21"/>
                <w14:textFill>
                  <w14:solidFill>
                    <w14:schemeClr w14:val="tx1"/>
                  </w14:solidFill>
                </w14:textFill>
              </w:rPr>
              <w:t>-</w:t>
            </w:r>
            <w:r>
              <w:rPr>
                <w:rFonts w:hint="eastAsia" w:eastAsiaTheme="minorEastAsia"/>
                <w:b/>
                <w:iCs/>
                <w:color w:val="000000" w:themeColor="text1"/>
                <w:szCs w:val="21"/>
                <w14:textFill>
                  <w14:solidFill>
                    <w14:schemeClr w14:val="tx1"/>
                  </w14:solidFill>
                </w14:textFill>
              </w:rPr>
              <w:t>4</w:t>
            </w:r>
            <w:r>
              <w:rPr>
                <w:rFonts w:eastAsiaTheme="minorEastAsia"/>
                <w:b/>
                <w:iCs/>
                <w:color w:val="000000" w:themeColor="text1"/>
                <w:szCs w:val="21"/>
                <w14:textFill>
                  <w14:solidFill>
                    <w14:schemeClr w14:val="tx1"/>
                  </w14:solidFill>
                </w14:textFill>
              </w:rPr>
              <w:t xml:space="preserve"> 项目水量平衡图  单位：m</w:t>
            </w:r>
            <w:r>
              <w:rPr>
                <w:rFonts w:eastAsiaTheme="minorEastAsia"/>
                <w:b/>
                <w:iCs/>
                <w:color w:val="000000" w:themeColor="text1"/>
                <w:szCs w:val="21"/>
                <w:vertAlign w:val="superscript"/>
                <w14:textFill>
                  <w14:solidFill>
                    <w14:schemeClr w14:val="tx1"/>
                  </w14:solidFill>
                </w14:textFill>
              </w:rPr>
              <w:t>3</w:t>
            </w:r>
            <w:r>
              <w:rPr>
                <w:rFonts w:eastAsiaTheme="minorEastAsia"/>
                <w:b/>
                <w:iCs/>
                <w:color w:val="000000" w:themeColor="text1"/>
                <w:szCs w:val="21"/>
                <w14:textFill>
                  <w14:solidFill>
                    <w14:schemeClr w14:val="tx1"/>
                  </w14:solidFill>
                </w14:textFill>
              </w:rPr>
              <w:t>/</w:t>
            </w:r>
            <w:r>
              <w:rPr>
                <w:rFonts w:hint="eastAsia" w:eastAsiaTheme="minorEastAsia"/>
                <w:b/>
                <w:iCs/>
                <w:color w:val="000000" w:themeColor="text1"/>
                <w:szCs w:val="21"/>
                <w14:textFill>
                  <w14:solidFill>
                    <w14:schemeClr w14:val="tx1"/>
                  </w14:solidFill>
                </w14:textFill>
              </w:rPr>
              <w:t>d</w:t>
            </w:r>
          </w:p>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六</w:t>
            </w:r>
            <w:r>
              <w:rPr>
                <w:b/>
                <w:color w:val="000000" w:themeColor="text1"/>
                <w:sz w:val="24"/>
                <w14:textFill>
                  <w14:solidFill>
                    <w14:schemeClr w14:val="tx1"/>
                  </w14:solidFill>
                </w14:textFill>
              </w:rPr>
              <w:t>、劳动定员与工作制度</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本项目劳动定员</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人</w:t>
            </w:r>
            <w:r>
              <w:rPr>
                <w:rFonts w:hint="eastAsia"/>
                <w:bCs/>
                <w:color w:val="000000" w:themeColor="text1"/>
                <w:sz w:val="24"/>
                <w14:textFill>
                  <w14:solidFill>
                    <w14:schemeClr w14:val="tx1"/>
                  </w14:solidFill>
                </w14:textFill>
              </w:rPr>
              <w:t>，其中管理人员2人，员工8人，所有人员均不在厂区内食宿，依托</w:t>
            </w:r>
            <w:r>
              <w:rPr>
                <w:rFonts w:hint="eastAsia"/>
                <w:color w:val="000000" w:themeColor="text1"/>
                <w:sz w:val="24"/>
                <w14:textFill>
                  <w14:solidFill>
                    <w14:schemeClr w14:val="tx1"/>
                  </w14:solidFill>
                </w14:textFill>
              </w:rPr>
              <w:t>云南建工云岭水泥有限公司已建办公生活设施</w:t>
            </w:r>
            <w:r>
              <w:rPr>
                <w:bCs/>
                <w:color w:val="000000" w:themeColor="text1"/>
                <w:sz w:val="24"/>
                <w14:textFill>
                  <w14:solidFill>
                    <w14:schemeClr w14:val="tx1"/>
                  </w14:solidFill>
                </w14:textFill>
              </w:rPr>
              <w:t>。工作制度为</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h/d，年工作时间300d。</w:t>
            </w:r>
          </w:p>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七</w:t>
            </w:r>
            <w:r>
              <w:rPr>
                <w:b/>
                <w:color w:val="000000" w:themeColor="text1"/>
                <w:sz w:val="24"/>
                <w14:textFill>
                  <w14:solidFill>
                    <w14:schemeClr w14:val="tx1"/>
                  </w14:solidFill>
                </w14:textFill>
              </w:rPr>
              <w:t>、平面布置</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项目在</w:t>
            </w:r>
            <w:r>
              <w:rPr>
                <w:rFonts w:hint="eastAsia"/>
                <w:color w:val="000000" w:themeColor="text1"/>
                <w:sz w:val="24"/>
                <w14:textFill>
                  <w14:solidFill>
                    <w14:schemeClr w14:val="tx1"/>
                  </w14:solidFill>
                </w14:textFill>
              </w:rPr>
              <w:t>云南建工云岭水泥有限公司</w:t>
            </w:r>
            <w:r>
              <w:rPr>
                <w:rFonts w:hint="eastAsia"/>
                <w:bCs/>
                <w:color w:val="000000" w:themeColor="text1"/>
                <w:sz w:val="24"/>
                <w14:textFill>
                  <w14:solidFill>
                    <w14:schemeClr w14:val="tx1"/>
                  </w14:solidFill>
                </w14:textFill>
              </w:rPr>
              <w:t>现有的</w:t>
            </w:r>
            <w:r>
              <w:rPr>
                <w:bCs/>
                <w:color w:val="000000" w:themeColor="text1"/>
                <w:sz w:val="24"/>
                <w14:textFill>
                  <w14:solidFill>
                    <w14:schemeClr w14:val="tx1"/>
                  </w14:solidFill>
                </w14:textFill>
              </w:rPr>
              <w:t>厂区内建设，</w:t>
            </w:r>
            <w:r>
              <w:rPr>
                <w:rFonts w:hint="eastAsia"/>
                <w:bCs/>
                <w:color w:val="000000" w:themeColor="text1"/>
                <w:sz w:val="24"/>
                <w14:textFill>
                  <w14:solidFill>
                    <w14:schemeClr w14:val="tx1"/>
                  </w14:solidFill>
                </w14:textFill>
              </w:rPr>
              <w:t>租用</w:t>
            </w:r>
            <w:r>
              <w:rPr>
                <w:rFonts w:hint="eastAsia"/>
                <w:color w:val="000000" w:themeColor="text1"/>
                <w:sz w:val="24"/>
                <w14:textFill>
                  <w14:solidFill>
                    <w14:schemeClr w14:val="tx1"/>
                  </w14:solidFill>
                </w14:textFill>
              </w:rPr>
              <w:t>2幢已建的生产厂房利旧改造后进行生产，西侧厂房建筑面积3024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，东侧厂房建筑面积990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。西侧厂房由西至东分别为原料库、拌合区、发酵区，东侧厂房由北至南分别为混合区、包装区、车辆周转区和成品库，每幢厂房内均设置有出入口与现有厂区道路相连，</w:t>
            </w:r>
            <w:r>
              <w:rPr>
                <w:rFonts w:hint="eastAsia"/>
                <w:bCs/>
                <w:color w:val="000000" w:themeColor="text1"/>
                <w:sz w:val="24"/>
                <w14:textFill>
                  <w14:solidFill>
                    <w14:schemeClr w14:val="tx1"/>
                  </w14:solidFill>
                </w14:textFill>
              </w:rPr>
              <w:t>方便运输。原料库及成品库均设置于运输道路两侧，分区设置，加工工序按照生产流程顺序进行布置，方便生产。</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不设置办公生活区，依托云南建工云岭水泥有限公司已建的配套设施，位于项目东区生产厂房的东面150m处，位于项目区的侧风向；项目区最近的散户距离项目边界大于200m，减少对保护目标的影响，因此，项目平面布局较为合理。项目</w:t>
            </w:r>
            <w:r>
              <w:rPr>
                <w:bCs/>
                <w:color w:val="000000" w:themeColor="text1"/>
                <w:sz w:val="24"/>
                <w14:textFill>
                  <w14:solidFill>
                    <w14:schemeClr w14:val="tx1"/>
                  </w14:solidFill>
                </w14:textFill>
              </w:rPr>
              <w:t>平面布置图详见附图</w:t>
            </w:r>
            <w:r>
              <w:rPr>
                <w:rFonts w:hint="eastAsia"/>
                <w:bCs/>
                <w:color w:val="000000" w:themeColor="text1"/>
                <w:sz w:val="24"/>
                <w14:textFill>
                  <w14:solidFill>
                    <w14:schemeClr w14:val="tx1"/>
                  </w14:solidFill>
                </w14:textFill>
              </w:rPr>
              <w:t>3-1</w:t>
            </w:r>
            <w:r>
              <w:rPr>
                <w:bCs/>
                <w:color w:val="000000" w:themeColor="text1"/>
                <w:sz w:val="24"/>
                <w14:textFill>
                  <w14:solidFill>
                    <w14:schemeClr w14:val="tx1"/>
                  </w14:solidFill>
                </w14:textFill>
              </w:rPr>
              <w:t>。</w:t>
            </w:r>
          </w:p>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八</w:t>
            </w:r>
            <w:r>
              <w:rPr>
                <w:b/>
                <w:color w:val="000000" w:themeColor="text1"/>
                <w:sz w:val="24"/>
                <w14:textFill>
                  <w14:solidFill>
                    <w14:schemeClr w14:val="tx1"/>
                  </w14:solidFill>
                </w14:textFill>
              </w:rPr>
              <w:t>、环保投资</w:t>
            </w:r>
          </w:p>
          <w:p>
            <w:pPr>
              <w:adjustRightInd w:val="0"/>
              <w:snapToGrid w:val="0"/>
              <w:spacing w:line="360" w:lineRule="auto"/>
              <w:ind w:right="57"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本项目总投资为</w:t>
            </w:r>
            <w:r>
              <w:rPr>
                <w:rFonts w:hint="eastAsia"/>
                <w:color w:val="000000" w:themeColor="text1"/>
                <w:sz w:val="24"/>
                <w14:textFill>
                  <w14:solidFill>
                    <w14:schemeClr w14:val="tx1"/>
                  </w14:solidFill>
                </w14:textFill>
              </w:rPr>
              <w:t>663</w:t>
            </w:r>
            <w:r>
              <w:rPr>
                <w:color w:val="000000" w:themeColor="text1"/>
                <w:sz w:val="24"/>
                <w14:textFill>
                  <w14:solidFill>
                    <w14:schemeClr w14:val="tx1"/>
                  </w14:solidFill>
                </w14:textFill>
              </w:rPr>
              <w:t>万元</w:t>
            </w:r>
            <w:r>
              <w:rPr>
                <w:snapToGrid w:val="0"/>
                <w:color w:val="000000" w:themeColor="text1"/>
                <w:kern w:val="0"/>
                <w:sz w:val="24"/>
                <w14:textFill>
                  <w14:solidFill>
                    <w14:schemeClr w14:val="tx1"/>
                  </w14:solidFill>
                </w14:textFill>
              </w:rPr>
              <w:t>，资金由建设单位自筹，其中环保投资约为</w:t>
            </w:r>
            <w:r>
              <w:rPr>
                <w:rFonts w:hint="eastAsia"/>
                <w:snapToGrid w:val="0"/>
                <w:color w:val="000000" w:themeColor="text1"/>
                <w:kern w:val="0"/>
                <w:sz w:val="24"/>
                <w14:textFill>
                  <w14:solidFill>
                    <w14:schemeClr w14:val="tx1"/>
                  </w14:solidFill>
                </w14:textFill>
              </w:rPr>
              <w:t>47.05</w:t>
            </w:r>
            <w:r>
              <w:rPr>
                <w:snapToGrid w:val="0"/>
                <w:color w:val="000000" w:themeColor="text1"/>
                <w:kern w:val="0"/>
                <w:sz w:val="24"/>
                <w14:textFill>
                  <w14:solidFill>
                    <w14:schemeClr w14:val="tx1"/>
                  </w14:solidFill>
                </w14:textFill>
              </w:rPr>
              <w:t>万元，占总投资的</w:t>
            </w:r>
            <w:r>
              <w:rPr>
                <w:rFonts w:hint="eastAsia"/>
                <w:snapToGrid w:val="0"/>
                <w:color w:val="000000" w:themeColor="text1"/>
                <w:kern w:val="0"/>
                <w:sz w:val="24"/>
                <w14:textFill>
                  <w14:solidFill>
                    <w14:schemeClr w14:val="tx1"/>
                  </w14:solidFill>
                </w14:textFill>
              </w:rPr>
              <w:t>7.1</w:t>
            </w:r>
            <w:r>
              <w:rPr>
                <w:snapToGrid w:val="0"/>
                <w:color w:val="000000" w:themeColor="text1"/>
                <w:kern w:val="0"/>
                <w:sz w:val="24"/>
                <w14:textFill>
                  <w14:solidFill>
                    <w14:schemeClr w14:val="tx1"/>
                  </w14:solidFill>
                </w14:textFill>
              </w:rPr>
              <w:t>%。环保投资见表2-</w:t>
            </w:r>
            <w:r>
              <w:rPr>
                <w:rFonts w:hint="eastAsia"/>
                <w:snapToGrid w:val="0"/>
                <w:color w:val="000000" w:themeColor="text1"/>
                <w:kern w:val="0"/>
                <w:sz w:val="24"/>
                <w14:textFill>
                  <w14:solidFill>
                    <w14:schemeClr w14:val="tx1"/>
                  </w14:solidFill>
                </w14:textFill>
              </w:rPr>
              <w:t>17</w:t>
            </w:r>
            <w:r>
              <w:rPr>
                <w:snapToGrid w:val="0"/>
                <w:color w:val="000000" w:themeColor="text1"/>
                <w:kern w:val="0"/>
                <w:sz w:val="24"/>
                <w14:textFill>
                  <w14:solidFill>
                    <w14:schemeClr w14:val="tx1"/>
                  </w14:solidFill>
                </w14:textFill>
              </w:rPr>
              <w:t>所示。</w:t>
            </w:r>
          </w:p>
          <w:p>
            <w:pPr>
              <w:jc w:val="center"/>
              <w:rPr>
                <w:bCs/>
                <w:color w:val="000000" w:themeColor="text1"/>
                <w:szCs w:val="21"/>
                <w14:textFill>
                  <w14:solidFill>
                    <w14:schemeClr w14:val="tx1"/>
                  </w14:solidFill>
                </w14:textFill>
              </w:rPr>
            </w:pPr>
            <w:r>
              <w:rPr>
                <w:b/>
                <w:bCs/>
                <w:snapToGrid w:val="0"/>
                <w:color w:val="000000" w:themeColor="text1"/>
                <w:kern w:val="0"/>
                <w:szCs w:val="21"/>
                <w14:textFill>
                  <w14:solidFill>
                    <w14:schemeClr w14:val="tx1"/>
                  </w14:solidFill>
                </w14:textFill>
              </w:rPr>
              <w:t>表2-</w:t>
            </w:r>
            <w:r>
              <w:rPr>
                <w:rFonts w:hint="eastAsia"/>
                <w:b/>
                <w:bCs/>
                <w:snapToGrid w:val="0"/>
                <w:color w:val="000000" w:themeColor="text1"/>
                <w:kern w:val="0"/>
                <w:szCs w:val="21"/>
                <w14:textFill>
                  <w14:solidFill>
                    <w14:schemeClr w14:val="tx1"/>
                  </w14:solidFill>
                </w14:textFill>
              </w:rPr>
              <w:t>17</w:t>
            </w:r>
            <w:r>
              <w:rPr>
                <w:b/>
                <w:bCs/>
                <w:snapToGrid w:val="0"/>
                <w:color w:val="000000" w:themeColor="text1"/>
                <w:kern w:val="0"/>
                <w:szCs w:val="21"/>
                <w14:textFill>
                  <w14:solidFill>
                    <w14:schemeClr w14:val="tx1"/>
                  </w14:solidFill>
                </w14:textFill>
              </w:rPr>
              <w:t xml:space="preserve">  项目环保投资一览</w:t>
            </w:r>
          </w:p>
          <w:tbl>
            <w:tblPr>
              <w:tblStyle w:val="23"/>
              <w:tblW w:w="79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807"/>
              <w:gridCol w:w="1065"/>
              <w:gridCol w:w="3350"/>
              <w:gridCol w:w="1417"/>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1229" w:type="dxa"/>
                  <w:gridSpan w:val="2"/>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项目</w:t>
                  </w:r>
                </w:p>
              </w:tc>
              <w:tc>
                <w:tcPr>
                  <w:tcW w:w="4415" w:type="dxa"/>
                  <w:gridSpan w:val="2"/>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环保</w:t>
                  </w:r>
                  <w:r>
                    <w:rPr>
                      <w:rFonts w:eastAsiaTheme="minorEastAsia"/>
                      <w:color w:val="000000" w:themeColor="text1"/>
                      <w:spacing w:val="-3"/>
                      <w:szCs w:val="21"/>
                      <w:lang w:eastAsia="zh-CN"/>
                      <w14:textFill>
                        <w14:solidFill>
                          <w14:schemeClr w14:val="tx1"/>
                        </w14:solidFill>
                      </w14:textFill>
                    </w:rPr>
                    <w:t>措</w:t>
                  </w:r>
                  <w:r>
                    <w:rPr>
                      <w:rFonts w:eastAsiaTheme="minorEastAsia"/>
                      <w:color w:val="000000" w:themeColor="text1"/>
                      <w:szCs w:val="21"/>
                      <w:lang w:eastAsia="zh-CN"/>
                      <w14:textFill>
                        <w14:solidFill>
                          <w14:schemeClr w14:val="tx1"/>
                        </w14:solidFill>
                      </w14:textFill>
                    </w:rPr>
                    <w:t>施</w:t>
                  </w:r>
                </w:p>
              </w:tc>
              <w:tc>
                <w:tcPr>
                  <w:tcW w:w="1417" w:type="dxa"/>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规模</w:t>
                  </w:r>
                </w:p>
              </w:tc>
              <w:tc>
                <w:tcPr>
                  <w:tcW w:w="874" w:type="dxa"/>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restart"/>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施工期</w:t>
                  </w:r>
                </w:p>
              </w:tc>
              <w:tc>
                <w:tcPr>
                  <w:tcW w:w="807" w:type="dxa"/>
                  <w:vMerge w:val="restart"/>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废水</w:t>
                  </w:r>
                </w:p>
              </w:tc>
              <w:tc>
                <w:tcPr>
                  <w:tcW w:w="4415" w:type="dxa"/>
                  <w:gridSpan w:val="2"/>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施工废水收集池</w:t>
                  </w:r>
                </w:p>
              </w:tc>
              <w:tc>
                <w:tcPr>
                  <w:tcW w:w="1417" w:type="dxa"/>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1个，1m</w:t>
                  </w:r>
                  <w:r>
                    <w:rPr>
                      <w:rFonts w:ascii="Times New Roman" w:hAnsi="Times New Roman" w:eastAsiaTheme="minorEastAsia"/>
                      <w:color w:val="000000" w:themeColor="text1"/>
                      <w:sz w:val="21"/>
                      <w:szCs w:val="21"/>
                      <w:vertAlign w:val="superscript"/>
                      <w14:textFill>
                        <w14:solidFill>
                          <w14:schemeClr w14:val="tx1"/>
                        </w14:solidFill>
                      </w14:textFill>
                    </w:rPr>
                    <w:t>3</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54"/>
                    <w:jc w:val="center"/>
                    <w:rPr>
                      <w:rFonts w:eastAsiaTheme="minorEastAsia"/>
                      <w:color w:val="000000" w:themeColor="text1"/>
                      <w:szCs w:val="21"/>
                      <w:lang w:eastAsia="zh-CN"/>
                      <w14:textFill>
                        <w14:solidFill>
                          <w14:schemeClr w14:val="tx1"/>
                        </w14:solidFill>
                      </w14:textFill>
                    </w:rPr>
                  </w:pPr>
                </w:p>
              </w:tc>
              <w:tc>
                <w:tcPr>
                  <w:tcW w:w="4415" w:type="dxa"/>
                  <w:gridSpan w:val="2"/>
                  <w:vAlign w:val="center"/>
                </w:tcPr>
                <w:p>
                  <w:pPr>
                    <w:pStyle w:val="54"/>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车辆清洗池</w:t>
                  </w:r>
                </w:p>
              </w:tc>
              <w:tc>
                <w:tcPr>
                  <w:tcW w:w="1417" w:type="dxa"/>
                  <w:vAlign w:val="center"/>
                </w:tcPr>
                <w:p>
                  <w:pPr>
                    <w:pStyle w:val="54"/>
                    <w:ind w:firstLine="105" w:firstLineChars="50"/>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1个，1m</w:t>
                  </w:r>
                  <w:r>
                    <w:rPr>
                      <w:rFonts w:eastAsiaTheme="minorEastAsia"/>
                      <w:color w:val="000000" w:themeColor="text1"/>
                      <w:szCs w:val="21"/>
                      <w:vertAlign w:val="superscript"/>
                      <w14:textFill>
                        <w14:solidFill>
                          <w14:schemeClr w14:val="tx1"/>
                        </w14:solidFill>
                      </w14:textFill>
                    </w:rPr>
                    <w:t>3</w:t>
                  </w:r>
                </w:p>
              </w:tc>
              <w:tc>
                <w:tcPr>
                  <w:tcW w:w="874" w:type="dxa"/>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restart"/>
                  <w:vAlign w:val="center"/>
                </w:tcPr>
                <w:p>
                  <w:pPr>
                    <w:jc w:val="center"/>
                    <w:rPr>
                      <w:rFonts w:eastAsiaTheme="minorEastAsia"/>
                      <w:color w:val="000000" w:themeColor="text1"/>
                      <w:kern w:val="0"/>
                      <w:lang w:eastAsia="en-US"/>
                      <w14:textFill>
                        <w14:solidFill>
                          <w14:schemeClr w14:val="tx1"/>
                        </w14:solidFill>
                      </w14:textFill>
                    </w:rPr>
                  </w:pPr>
                  <w:r>
                    <w:rPr>
                      <w:rFonts w:eastAsiaTheme="minorEastAsia"/>
                      <w:color w:val="000000" w:themeColor="text1"/>
                      <w:kern w:val="0"/>
                      <w:lang w:eastAsia="en-US"/>
                      <w14:textFill>
                        <w14:solidFill>
                          <w14:schemeClr w14:val="tx1"/>
                        </w14:solidFill>
                      </w14:textFill>
                    </w:rPr>
                    <w:t>废气</w:t>
                  </w:r>
                </w:p>
              </w:tc>
              <w:tc>
                <w:tcPr>
                  <w:tcW w:w="4415" w:type="dxa"/>
                  <w:gridSpan w:val="2"/>
                  <w:vAlign w:val="center"/>
                </w:tcPr>
                <w:p>
                  <w:pPr>
                    <w:jc w:val="center"/>
                    <w:rPr>
                      <w:rFonts w:eastAsiaTheme="minorEastAsia"/>
                      <w:color w:val="000000" w:themeColor="text1"/>
                      <w:kern w:val="0"/>
                      <w:lang w:eastAsia="en-US"/>
                      <w14:textFill>
                        <w14:solidFill>
                          <w14:schemeClr w14:val="tx1"/>
                        </w14:solidFill>
                      </w14:textFill>
                    </w:rPr>
                  </w:pPr>
                  <w:r>
                    <w:rPr>
                      <w:rFonts w:eastAsiaTheme="minorEastAsia"/>
                      <w:color w:val="000000" w:themeColor="text1"/>
                      <w:kern w:val="0"/>
                      <w:lang w:eastAsia="en-US"/>
                      <w14:textFill>
                        <w14:solidFill>
                          <w14:schemeClr w14:val="tx1"/>
                        </w14:solidFill>
                      </w14:textFill>
                    </w:rPr>
                    <w:t>施工场地洒水设施</w:t>
                  </w:r>
                </w:p>
              </w:tc>
              <w:tc>
                <w:tcPr>
                  <w:tcW w:w="1417" w:type="dxa"/>
                  <w:vAlign w:val="center"/>
                </w:tcPr>
                <w:p>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54"/>
                    <w:jc w:val="center"/>
                    <w:rPr>
                      <w:rFonts w:eastAsiaTheme="minorEastAsia"/>
                      <w:color w:val="000000" w:themeColor="text1"/>
                      <w:szCs w:val="21"/>
                      <w14:textFill>
                        <w14:solidFill>
                          <w14:schemeClr w14:val="tx1"/>
                        </w14:solidFill>
                      </w14:textFill>
                    </w:rPr>
                  </w:pPr>
                </w:p>
              </w:tc>
              <w:tc>
                <w:tcPr>
                  <w:tcW w:w="4415" w:type="dxa"/>
                  <w:gridSpan w:val="2"/>
                  <w:vAlign w:val="center"/>
                </w:tcPr>
                <w:p>
                  <w:pPr>
                    <w:pStyle w:val="54"/>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帷幕遮挡</w:t>
                  </w:r>
                </w:p>
              </w:tc>
              <w:tc>
                <w:tcPr>
                  <w:tcW w:w="1417" w:type="dxa"/>
                  <w:vAlign w:val="center"/>
                </w:tcPr>
                <w:p>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restart"/>
                  <w:vAlign w:val="center"/>
                </w:tcPr>
                <w:p>
                  <w:pPr>
                    <w:pStyle w:val="54"/>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固</w:t>
                  </w:r>
                  <w:r>
                    <w:rPr>
                      <w:rFonts w:eastAsiaTheme="minorEastAsia"/>
                      <w:color w:val="000000" w:themeColor="text1"/>
                      <w:spacing w:val="-3"/>
                      <w:szCs w:val="21"/>
                      <w14:textFill>
                        <w14:solidFill>
                          <w14:schemeClr w14:val="tx1"/>
                        </w14:solidFill>
                      </w14:textFill>
                    </w:rPr>
                    <w:t>废</w:t>
                  </w:r>
                </w:p>
              </w:tc>
              <w:tc>
                <w:tcPr>
                  <w:tcW w:w="4415" w:type="dxa"/>
                  <w:gridSpan w:val="2"/>
                  <w:vAlign w:val="center"/>
                </w:tcPr>
                <w:p>
                  <w:pPr>
                    <w:pStyle w:val="54"/>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垃圾桶</w:t>
                  </w:r>
                </w:p>
              </w:tc>
              <w:tc>
                <w:tcPr>
                  <w:tcW w:w="1417" w:type="dxa"/>
                </w:tcPr>
                <w:p>
                  <w:pPr>
                    <w:pStyle w:val="54"/>
                    <w:spacing w:before="67"/>
                    <w:ind w:left="2"/>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54"/>
                    <w:jc w:val="center"/>
                    <w:rPr>
                      <w:rFonts w:eastAsiaTheme="minorEastAsia"/>
                      <w:color w:val="000000" w:themeColor="text1"/>
                      <w:szCs w:val="21"/>
                      <w14:textFill>
                        <w14:solidFill>
                          <w14:schemeClr w14:val="tx1"/>
                        </w14:solidFill>
                      </w14:textFill>
                    </w:rPr>
                  </w:pPr>
                </w:p>
              </w:tc>
              <w:tc>
                <w:tcPr>
                  <w:tcW w:w="4415" w:type="dxa"/>
                  <w:gridSpan w:val="2"/>
                  <w:vAlign w:val="center"/>
                </w:tcPr>
                <w:p>
                  <w:pPr>
                    <w:pStyle w:val="54"/>
                    <w:jc w:val="center"/>
                    <w:rPr>
                      <w:rFonts w:eastAsiaTheme="minorEastAsia"/>
                      <w:color w:val="000000" w:themeColor="text1"/>
                      <w:szCs w:val="21"/>
                      <w:lang w:eastAsia="zh-CN"/>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建筑垃圾清运费</w:t>
                  </w:r>
                </w:p>
              </w:tc>
              <w:tc>
                <w:tcPr>
                  <w:tcW w:w="1417" w:type="dxa"/>
                </w:tcPr>
                <w:p>
                  <w:pPr>
                    <w:pStyle w:val="54"/>
                    <w:spacing w:before="67"/>
                    <w:ind w:left="2"/>
                    <w:jc w:val="center"/>
                    <w:rPr>
                      <w:rFonts w:eastAsiaTheme="minorEastAsia"/>
                      <w:color w:val="000000" w:themeColor="text1"/>
                      <w:szCs w:val="21"/>
                      <w:lang w:eastAsia="zh-CN"/>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restart"/>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运营期</w:t>
                  </w:r>
                </w:p>
              </w:tc>
              <w:tc>
                <w:tcPr>
                  <w:tcW w:w="807" w:type="dxa"/>
                  <w:vMerge w:val="restart"/>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废水</w:t>
                  </w:r>
                </w:p>
              </w:tc>
              <w:tc>
                <w:tcPr>
                  <w:tcW w:w="4415" w:type="dxa"/>
                  <w:gridSpan w:val="2"/>
                  <w:vAlign w:val="center"/>
                </w:tcPr>
                <w:p>
                  <w:pPr>
                    <w:jc w:val="center"/>
                    <w:rPr>
                      <w:rFonts w:eastAsiaTheme="minorEastAsia"/>
                      <w:color w:val="000000" w:themeColor="text1"/>
                      <w:kern w:val="0"/>
                      <w14:textFill>
                        <w14:solidFill>
                          <w14:schemeClr w14:val="tx1"/>
                        </w14:solidFill>
                      </w14:textFill>
                    </w:rPr>
                  </w:pPr>
                  <w:r>
                    <w:rPr>
                      <w:rFonts w:eastAsiaTheme="minorEastAsia"/>
                      <w:color w:val="000000" w:themeColor="text1"/>
                      <w14:textFill>
                        <w14:solidFill>
                          <w14:schemeClr w14:val="tx1"/>
                        </w14:solidFill>
                      </w14:textFill>
                    </w:rPr>
                    <w:t>化粪池</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w:t>
                  </w:r>
                  <w:r>
                    <w:rPr>
                      <w:rFonts w:ascii="Times New Roman" w:hAnsi="Times New Roman" w:eastAsiaTheme="minorEastAsia"/>
                      <w:color w:val="000000" w:themeColor="text1"/>
                      <w:sz w:val="21"/>
                      <w:szCs w:val="21"/>
                      <w14:textFill>
                        <w14:solidFill>
                          <w14:schemeClr w14:val="tx1"/>
                        </w14:solidFill>
                      </w14:textFill>
                    </w:rPr>
                    <w:t>6</w:t>
                  </w:r>
                  <w:r>
                    <w:rPr>
                      <w:rFonts w:hint="eastAsia" w:ascii="Times New Roman" w:hAnsi="Times New Roman" w:eastAsiaTheme="minorEastAsia"/>
                      <w:color w:val="000000" w:themeColor="text1"/>
                      <w:sz w:val="21"/>
                      <w:szCs w:val="21"/>
                      <w14:textFill>
                        <w14:solidFill>
                          <w14:schemeClr w14:val="tx1"/>
                        </w14:solidFill>
                      </w14:textFill>
                    </w:rPr>
                    <w:t>0</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3</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4415" w:type="dxa"/>
                  <w:gridSpan w:val="2"/>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一体化污水处理站</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1座，120m</w:t>
                  </w:r>
                  <w:r>
                    <w:rPr>
                      <w:rFonts w:hint="eastAsia" w:ascii="Times New Roman" w:hAnsi="Times New Roman" w:eastAsiaTheme="minorEastAsia"/>
                      <w:color w:val="000000" w:themeColor="text1"/>
                      <w:sz w:val="21"/>
                      <w:szCs w:val="21"/>
                      <w:vertAlign w:val="superscript"/>
                      <w14:textFill>
                        <w14:solidFill>
                          <w14:schemeClr w14:val="tx1"/>
                        </w14:solidFill>
                      </w14:textFill>
                    </w:rPr>
                    <w:t>3</w:t>
                  </w:r>
                  <w:r>
                    <w:rPr>
                      <w:rFonts w:hint="eastAsia" w:ascii="Times New Roman" w:hAnsi="Times New Roman" w:eastAsiaTheme="minorEastAsia"/>
                      <w:color w:val="000000" w:themeColor="text1"/>
                      <w:sz w:val="21"/>
                      <w:szCs w:val="21"/>
                      <w14:textFill>
                        <w14:solidFill>
                          <w14:schemeClr w14:val="tx1"/>
                        </w14:solidFill>
                      </w14:textFill>
                    </w:rPr>
                    <w:t>/d</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8"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4415" w:type="dxa"/>
                  <w:gridSpan w:val="2"/>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蓄水池</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1座，200m</w:t>
                  </w:r>
                  <w:r>
                    <w:rPr>
                      <w:rFonts w:hint="eastAsia" w:ascii="Times New Roman" w:hAnsi="Times New Roman" w:eastAsiaTheme="minorEastAsia"/>
                      <w:color w:val="000000" w:themeColor="text1"/>
                      <w:sz w:val="21"/>
                      <w:szCs w:val="21"/>
                      <w:vertAlign w:val="superscript"/>
                      <w14:textFill>
                        <w14:solidFill>
                          <w14:schemeClr w14:val="tx1"/>
                        </w14:solidFill>
                      </w14:textFill>
                    </w:rPr>
                    <w:t>3</w:t>
                  </w:r>
                  <w:r>
                    <w:rPr>
                      <w:rFonts w:hint="eastAsia" w:ascii="Times New Roman" w:hAnsi="Times New Roman" w:eastAsiaTheme="minorEastAsia"/>
                      <w:color w:val="000000" w:themeColor="text1"/>
                      <w:sz w:val="21"/>
                      <w:szCs w:val="21"/>
                      <w14:textFill>
                        <w14:solidFill>
                          <w14:schemeClr w14:val="tx1"/>
                        </w14:solidFill>
                      </w14:textFill>
                    </w:rPr>
                    <w:t>/d</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1065" w:type="dxa"/>
                  <w:vMerge w:val="restart"/>
                  <w:tcBorders>
                    <w:right w:val="single" w:color="auto" w:sz="4" w:space="0"/>
                  </w:tcBorders>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防渗处理</w:t>
                  </w:r>
                </w:p>
              </w:tc>
              <w:tc>
                <w:tcPr>
                  <w:tcW w:w="4767" w:type="dxa"/>
                  <w:gridSpan w:val="2"/>
                  <w:tcBorders>
                    <w:left w:val="single" w:color="auto" w:sz="4" w:space="0"/>
                  </w:tcBorders>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简易防渗：</w:t>
                  </w:r>
                  <w:r>
                    <w:rPr>
                      <w:rFonts w:hint="eastAsia" w:eastAsiaTheme="minorEastAsia"/>
                      <w:color w:val="000000" w:themeColor="text1"/>
                      <w:sz w:val="21"/>
                      <w:szCs w:val="21"/>
                      <w14:textFill>
                        <w14:solidFill>
                          <w14:schemeClr w14:val="tx1"/>
                        </w14:solidFill>
                      </w14:textFill>
                    </w:rPr>
                    <w:t>除重点防渗区和一般防渗区外的其他车间区域</w:t>
                  </w:r>
                  <w:r>
                    <w:rPr>
                      <w:rFonts w:eastAsiaTheme="minorEastAsia"/>
                      <w:color w:val="000000" w:themeColor="text1"/>
                      <w:sz w:val="21"/>
                      <w:szCs w:val="21"/>
                      <w14:textFill>
                        <w14:solidFill>
                          <w14:schemeClr w14:val="tx1"/>
                        </w14:solidFill>
                      </w14:textFill>
                    </w:rPr>
                    <w:t>进行地面硬化</w:t>
                  </w:r>
                  <w:r>
                    <w:rPr>
                      <w:rFonts w:ascii="Times New Roman" w:hAnsi="Times New Roman" w:eastAsiaTheme="minorEastAsia"/>
                      <w:color w:val="000000" w:themeColor="text1"/>
                      <w:sz w:val="21"/>
                      <w:szCs w:val="21"/>
                      <w14:textFill>
                        <w14:solidFill>
                          <w14:schemeClr w14:val="tx1"/>
                        </w14:solidFill>
                      </w14:textFill>
                    </w:rPr>
                    <w:t>。</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主体设计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1065" w:type="dxa"/>
                  <w:vMerge w:val="continue"/>
                  <w:tcBorders>
                    <w:right w:val="single" w:color="auto" w:sz="4" w:space="0"/>
                  </w:tcBorders>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p>
              </w:tc>
              <w:tc>
                <w:tcPr>
                  <w:tcW w:w="4767" w:type="dxa"/>
                  <w:gridSpan w:val="2"/>
                  <w:tcBorders>
                    <w:left w:val="single" w:color="auto" w:sz="4" w:space="0"/>
                  </w:tcBorders>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一般防渗区：</w:t>
                  </w:r>
                  <w:r>
                    <w:rPr>
                      <w:rFonts w:hint="eastAsia" w:eastAsiaTheme="minorEastAsia"/>
                      <w:color w:val="000000" w:themeColor="text1"/>
                      <w14:textFill>
                        <w14:solidFill>
                          <w14:schemeClr w14:val="tx1"/>
                        </w14:solidFill>
                      </w14:textFill>
                    </w:rPr>
                    <w:t>原料库、一般固废暂存库</w:t>
                  </w:r>
                  <w:r>
                    <w:rPr>
                      <w:rFonts w:ascii="Times New Roman" w:hAnsi="Times New Roman" w:eastAsiaTheme="minorEastAsia"/>
                      <w:color w:val="000000" w:themeColor="text1"/>
                      <w:sz w:val="21"/>
                      <w:szCs w:val="21"/>
                      <w14:textFill>
                        <w14:solidFill>
                          <w14:schemeClr w14:val="tx1"/>
                        </w14:solidFill>
                      </w14:textFill>
                    </w:rPr>
                    <w:t>，防渗要求：渗透系数≤10</w:t>
                  </w:r>
                  <w:r>
                    <w:rPr>
                      <w:rFonts w:ascii="Times New Roman" w:hAnsi="Times New Roman" w:eastAsiaTheme="minorEastAsia"/>
                      <w:color w:val="000000" w:themeColor="text1"/>
                      <w:sz w:val="21"/>
                      <w:szCs w:val="21"/>
                      <w:vertAlign w:val="superscript"/>
                      <w14:textFill>
                        <w14:solidFill>
                          <w14:schemeClr w14:val="tx1"/>
                        </w14:solidFill>
                      </w14:textFill>
                    </w:rPr>
                    <w:t>-7</w:t>
                  </w:r>
                  <w:r>
                    <w:rPr>
                      <w:rFonts w:ascii="Times New Roman" w:hAnsi="Times New Roman" w:eastAsiaTheme="minorEastAsia"/>
                      <w:color w:val="000000" w:themeColor="text1"/>
                      <w:sz w:val="21"/>
                      <w:szCs w:val="21"/>
                      <w14:textFill>
                        <w14:solidFill>
                          <w14:schemeClr w14:val="tx1"/>
                        </w14:solidFill>
                      </w14:textFill>
                    </w:rPr>
                    <w:t>cm/s，等效黏土防渗层Mb≥1.5m。施工时采用防渗混凝土浇筑。</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1065" w:type="dxa"/>
                  <w:vMerge w:val="continue"/>
                  <w:tcBorders>
                    <w:right w:val="single" w:color="auto" w:sz="4" w:space="0"/>
                  </w:tcBorders>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p>
              </w:tc>
              <w:tc>
                <w:tcPr>
                  <w:tcW w:w="4767" w:type="dxa"/>
                  <w:gridSpan w:val="2"/>
                  <w:vAlign w:val="center"/>
                </w:tcPr>
                <w:p>
                  <w:pPr>
                    <w:pStyle w:val="62"/>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重点防渗区：</w:t>
                  </w:r>
                  <w:r>
                    <w:rPr>
                      <w:rFonts w:hint="eastAsia" w:ascii="Times New Roman" w:hAnsi="Times New Roman" w:eastAsiaTheme="minorEastAsia"/>
                      <w:color w:val="000000" w:themeColor="text1"/>
                      <w:sz w:val="21"/>
                      <w:szCs w:val="21"/>
                      <w14:textFill>
                        <w14:solidFill>
                          <w14:schemeClr w14:val="tx1"/>
                        </w14:solidFill>
                      </w14:textFill>
                    </w:rPr>
                    <w:t>危废暂存库</w:t>
                  </w:r>
                  <w:r>
                    <w:rPr>
                      <w:rFonts w:ascii="Times New Roman" w:hAnsi="Times New Roman" w:eastAsiaTheme="minorEastAsia"/>
                      <w:color w:val="000000" w:themeColor="text1"/>
                      <w:sz w:val="21"/>
                      <w:szCs w:val="21"/>
                      <w14:textFill>
                        <w14:solidFill>
                          <w14:schemeClr w14:val="tx1"/>
                        </w14:solidFill>
                      </w14:textFill>
                    </w:rPr>
                    <w:t>，防渗要求：渗透系数10</w:t>
                  </w:r>
                  <w:r>
                    <w:rPr>
                      <w:rFonts w:ascii="Times New Roman" w:hAnsi="Times New Roman" w:eastAsiaTheme="minorEastAsia"/>
                      <w:color w:val="000000" w:themeColor="text1"/>
                      <w:sz w:val="21"/>
                      <w:szCs w:val="21"/>
                      <w:vertAlign w:val="superscript"/>
                      <w14:textFill>
                        <w14:solidFill>
                          <w14:schemeClr w14:val="tx1"/>
                        </w14:solidFill>
                      </w14:textFill>
                    </w:rPr>
                    <w:t>-10</w:t>
                  </w:r>
                  <w:r>
                    <w:rPr>
                      <w:rFonts w:ascii="Times New Roman" w:hAnsi="Times New Roman" w:eastAsiaTheme="minorEastAsia"/>
                      <w:color w:val="000000" w:themeColor="text1"/>
                      <w:sz w:val="21"/>
                      <w:szCs w:val="21"/>
                      <w14:textFill>
                        <w14:solidFill>
                          <w14:schemeClr w14:val="tx1"/>
                        </w14:solidFill>
                      </w14:textFill>
                    </w:rPr>
                    <w:t>cm/s，等效黏土防渗层Mb≥6.0m。施工时采用防渗混凝土浇筑，人工防渗材料衬层。</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restart"/>
                  <w:vAlign w:val="center"/>
                </w:tcPr>
                <w:p>
                  <w:pPr>
                    <w:adjustRightInd w:val="0"/>
                    <w:snapToGrid w:val="0"/>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废气</w:t>
                  </w:r>
                </w:p>
              </w:tc>
              <w:tc>
                <w:tcPr>
                  <w:tcW w:w="4415" w:type="dxa"/>
                  <w:gridSpan w:val="2"/>
                  <w:vAlign w:val="center"/>
                </w:tcPr>
                <w:p>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分别于东西厂房内设置1台雾炮机</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2台</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adjustRightInd w:val="0"/>
                    <w:snapToGrid w:val="0"/>
                    <w:jc w:val="center"/>
                    <w:rPr>
                      <w:rFonts w:eastAsiaTheme="minorEastAsia"/>
                      <w:color w:val="000000" w:themeColor="text1"/>
                      <w14:textFill>
                        <w14:solidFill>
                          <w14:schemeClr w14:val="tx1"/>
                        </w14:solidFill>
                      </w14:textFill>
                    </w:rPr>
                  </w:pPr>
                </w:p>
              </w:tc>
              <w:tc>
                <w:tcPr>
                  <w:tcW w:w="4415" w:type="dxa"/>
                  <w:gridSpan w:val="2"/>
                  <w:vAlign w:val="center"/>
                </w:tcPr>
                <w:p>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车间密闭，在车间顶部安装抽排风系统</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1套</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8"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adjustRightInd w:val="0"/>
                    <w:snapToGrid w:val="0"/>
                    <w:jc w:val="center"/>
                    <w:rPr>
                      <w:rFonts w:eastAsiaTheme="minorEastAsia"/>
                      <w:color w:val="000000" w:themeColor="text1"/>
                      <w14:textFill>
                        <w14:solidFill>
                          <w14:schemeClr w14:val="tx1"/>
                        </w14:solidFill>
                      </w14:textFill>
                    </w:rPr>
                  </w:pPr>
                </w:p>
              </w:tc>
              <w:tc>
                <w:tcPr>
                  <w:tcW w:w="4415" w:type="dxa"/>
                  <w:gridSpan w:val="2"/>
                  <w:vAlign w:val="center"/>
                </w:tcPr>
                <w:p>
                  <w:pPr>
                    <w:jc w:val="center"/>
                    <w:rPr>
                      <w:rFonts w:eastAsiaTheme="minorEastAsia"/>
                      <w:bCs/>
                      <w:color w:val="000000" w:themeColor="text1"/>
                      <w:kern w:val="0"/>
                      <w14:textFill>
                        <w14:solidFill>
                          <w14:schemeClr w14:val="tx1"/>
                        </w14:solidFill>
                      </w14:textFill>
                    </w:rPr>
                  </w:pPr>
                  <w:r>
                    <w:rPr>
                      <w:rFonts w:hint="eastAsia" w:eastAsiaTheme="minorEastAsia"/>
                      <w:bCs/>
                      <w:color w:val="000000" w:themeColor="text1"/>
                      <w:kern w:val="0"/>
                      <w14:textFill>
                        <w14:solidFill>
                          <w14:schemeClr w14:val="tx1"/>
                        </w14:solidFill>
                      </w14:textFill>
                    </w:rPr>
                    <w:t>发酵过程中喷洒生物除臭剂除臭，配制喷洒设备</w:t>
                  </w:r>
                </w:p>
              </w:tc>
              <w:tc>
                <w:tcPr>
                  <w:tcW w:w="1417" w:type="dxa"/>
                  <w:vAlign w:val="cente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1套</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Align w:val="center"/>
                </w:tcPr>
                <w:p>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噪声</w:t>
                  </w:r>
                </w:p>
              </w:tc>
              <w:tc>
                <w:tcPr>
                  <w:tcW w:w="5832" w:type="dxa"/>
                  <w:gridSpan w:val="3"/>
                  <w:vAlign w:val="center"/>
                </w:tcPr>
                <w:p>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设备减震、降噪</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restart"/>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固废</w:t>
                  </w:r>
                </w:p>
              </w:tc>
              <w:tc>
                <w:tcPr>
                  <w:tcW w:w="4415" w:type="dxa"/>
                  <w:gridSpan w:val="2"/>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垃圾桶</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w:t>
                  </w:r>
                  <w:r>
                    <w:rPr>
                      <w:rFonts w:hint="eastAsia" w:ascii="Times New Roman" w:hAnsi="Times New Roman" w:eastAsiaTheme="minorEastAsia"/>
                      <w:color w:val="000000" w:themeColor="text1"/>
                      <w:sz w:val="21"/>
                      <w:szCs w:val="2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color w:val="000000" w:themeColor="text1"/>
                      <w:sz w:val="21"/>
                      <w:szCs w:val="21"/>
                      <w14:textFill>
                        <w14:solidFill>
                          <w14:schemeClr w14:val="tx1"/>
                        </w14:solidFill>
                      </w14:textFill>
                    </w:rPr>
                  </w:pPr>
                </w:p>
              </w:tc>
              <w:tc>
                <w:tcPr>
                  <w:tcW w:w="4415" w:type="dxa"/>
                  <w:gridSpan w:val="2"/>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一般固废暂存库</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1间，</w:t>
                  </w:r>
                  <w:r>
                    <w:rPr>
                      <w:rFonts w:hint="eastAsia" w:ascii="Times New Roman" w:hAnsi="Times New Roman" w:eastAsiaTheme="minorEastAsia"/>
                      <w:color w:val="000000" w:themeColor="text1"/>
                      <w:sz w:val="21"/>
                      <w:szCs w:val="21"/>
                      <w14:textFill>
                        <w14:solidFill>
                          <w14:schemeClr w14:val="tx1"/>
                        </w14:solidFill>
                      </w14:textFill>
                    </w:rPr>
                    <w:t>5</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2</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p>
              </w:tc>
              <w:tc>
                <w:tcPr>
                  <w:tcW w:w="807" w:type="dxa"/>
                  <w:vMerge w:val="continue"/>
                  <w:vAlign w:val="center"/>
                </w:tcPr>
                <w:p>
                  <w:pPr>
                    <w:pStyle w:val="62"/>
                    <w:rPr>
                      <w:rFonts w:ascii="Times New Roman" w:hAnsi="Times New Roman" w:eastAsiaTheme="minorEastAsia"/>
                      <w:color w:val="000000" w:themeColor="text1"/>
                      <w:sz w:val="21"/>
                      <w:szCs w:val="21"/>
                      <w14:textFill>
                        <w14:solidFill>
                          <w14:schemeClr w14:val="tx1"/>
                        </w14:solidFill>
                      </w14:textFill>
                    </w:rPr>
                  </w:pPr>
                </w:p>
              </w:tc>
              <w:tc>
                <w:tcPr>
                  <w:tcW w:w="4415" w:type="dxa"/>
                  <w:gridSpan w:val="2"/>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危废暂存库</w:t>
                  </w:r>
                </w:p>
              </w:tc>
              <w:tc>
                <w:tcPr>
                  <w:tcW w:w="1417"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1间，</w:t>
                  </w:r>
                  <w:r>
                    <w:rPr>
                      <w:rFonts w:hint="eastAsia" w:ascii="Times New Roman" w:hAnsi="Times New Roman" w:eastAsiaTheme="minorEastAsia"/>
                      <w:color w:val="000000" w:themeColor="text1"/>
                      <w:sz w:val="21"/>
                      <w:szCs w:val="21"/>
                      <w14:textFill>
                        <w14:solidFill>
                          <w14:schemeClr w14:val="tx1"/>
                        </w14:solidFill>
                      </w14:textFill>
                    </w:rPr>
                    <w:t>5</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2</w:t>
                  </w:r>
                </w:p>
              </w:tc>
              <w:tc>
                <w:tcPr>
                  <w:tcW w:w="874" w:type="dxa"/>
                  <w:vAlign w:val="center"/>
                </w:tcPr>
                <w:p>
                  <w:pPr>
                    <w:pStyle w:val="62"/>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422" w:type="dxa"/>
                  <w:vMerge w:val="continue"/>
                  <w:vAlign w:val="center"/>
                </w:tcPr>
                <w:p>
                  <w:pPr>
                    <w:pStyle w:val="8"/>
                    <w:tabs>
                      <w:tab w:val="left" w:pos="5220"/>
                    </w:tabs>
                    <w:jc w:val="center"/>
                    <w:outlineLvl w:val="1"/>
                    <w:rPr>
                      <w:rFonts w:eastAsiaTheme="minorEastAsia"/>
                      <w:color w:val="000000" w:themeColor="text1"/>
                      <w:szCs w:val="21"/>
                      <w14:textFill>
                        <w14:solidFill>
                          <w14:schemeClr w14:val="tx1"/>
                        </w14:solidFill>
                      </w14:textFill>
                    </w:rPr>
                  </w:pPr>
                </w:p>
              </w:tc>
              <w:tc>
                <w:tcPr>
                  <w:tcW w:w="807" w:type="dxa"/>
                  <w:vAlign w:val="center"/>
                </w:tcPr>
                <w:p>
                  <w:pPr>
                    <w:pStyle w:val="8"/>
                    <w:tabs>
                      <w:tab w:val="left" w:pos="5220"/>
                    </w:tabs>
                    <w:jc w:val="center"/>
                    <w:outlineLvl w:val="1"/>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环境保护管理</w:t>
                  </w:r>
                </w:p>
              </w:tc>
              <w:tc>
                <w:tcPr>
                  <w:tcW w:w="5832" w:type="dxa"/>
                  <w:gridSpan w:val="3"/>
                  <w:vAlign w:val="center"/>
                </w:tcPr>
                <w:p>
                  <w:pPr>
                    <w:pStyle w:val="8"/>
                    <w:tabs>
                      <w:tab w:val="left" w:pos="5220"/>
                    </w:tabs>
                    <w:jc w:val="center"/>
                    <w:outlineLvl w:val="1"/>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运行维护和</w:t>
                  </w:r>
                  <w:r>
                    <w:rPr>
                      <w:rFonts w:hint="eastAsia" w:eastAsiaTheme="minorEastAsia"/>
                      <w:color w:val="000000" w:themeColor="text1"/>
                      <w:sz w:val="21"/>
                      <w:szCs w:val="21"/>
                      <w14:textFill>
                        <w14:solidFill>
                          <w14:schemeClr w14:val="tx1"/>
                        </w14:solidFill>
                      </w14:textFill>
                    </w:rPr>
                    <w:t>监测</w:t>
                  </w:r>
                  <w:r>
                    <w:rPr>
                      <w:rFonts w:eastAsiaTheme="minorEastAsia"/>
                      <w:color w:val="000000" w:themeColor="text1"/>
                      <w:sz w:val="21"/>
                      <w:szCs w:val="21"/>
                      <w14:textFill>
                        <w14:solidFill>
                          <w14:schemeClr w14:val="tx1"/>
                        </w14:solidFill>
                      </w14:textFill>
                    </w:rPr>
                    <w:t>等费用</w:t>
                  </w:r>
                </w:p>
              </w:tc>
              <w:tc>
                <w:tcPr>
                  <w:tcW w:w="874" w:type="dxa"/>
                  <w:vAlign w:val="center"/>
                </w:tcPr>
                <w:p>
                  <w:pPr>
                    <w:widowControl/>
                    <w:jc w:val="center"/>
                    <w:textAlignment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7061" w:type="dxa"/>
                  <w:gridSpan w:val="5"/>
                  <w:vAlign w:val="center"/>
                </w:tcPr>
                <w:p>
                  <w:pPr>
                    <w:pStyle w:val="62"/>
                    <w:rPr>
                      <w:rFonts w:ascii="Times New Roman" w:hAnsi="Times New Roman" w:eastAsiaTheme="minorEastAsia"/>
                      <w:b/>
                      <w:color w:val="000000" w:themeColor="text1"/>
                      <w:sz w:val="2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合计</w:t>
                  </w:r>
                </w:p>
              </w:tc>
              <w:tc>
                <w:tcPr>
                  <w:tcW w:w="874" w:type="dxa"/>
                  <w:vAlign w:val="center"/>
                </w:tcPr>
                <w:p>
                  <w:pPr>
                    <w:pStyle w:val="63"/>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47.05</w:t>
                  </w:r>
                </w:p>
              </w:tc>
            </w:tr>
          </w:tbl>
          <w:p>
            <w:pPr>
              <w:jc w:val="center"/>
              <w:rPr>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Pr>
          <w:p>
            <w:pPr>
              <w:numPr>
                <w:ilvl w:val="0"/>
                <w:numId w:val="3"/>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施工期</w:t>
            </w:r>
          </w:p>
          <w:p>
            <w:pPr>
              <w:spacing w:line="360" w:lineRule="auto"/>
              <w:ind w:firstLine="480" w:firstLineChars="200"/>
              <w:jc w:val="left"/>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根据现场踏勘，项目租用云南建工云岭水泥有限公司已建厂房进行建设，施工期主要对现有厂房进行改造，并配套安装生产设备和环保设施等，</w:t>
            </w:r>
            <w:r>
              <w:rPr>
                <w:rFonts w:eastAsiaTheme="minorEastAsia"/>
                <w:color w:val="000000" w:themeColor="text1"/>
                <w:sz w:val="24"/>
                <w14:textFill>
                  <w14:solidFill>
                    <w14:schemeClr w14:val="tx1"/>
                  </w14:solidFill>
                </w14:textFill>
              </w:rPr>
              <w:t>施工期工艺流程及产污节点见图</w:t>
            </w:r>
            <w:r>
              <w:rPr>
                <w:rFonts w:hint="eastAsia" w:eastAsiaTheme="minorEastAsia"/>
                <w:color w:val="000000" w:themeColor="text1"/>
                <w:sz w:val="24"/>
                <w14:textFill>
                  <w14:solidFill>
                    <w14:schemeClr w14:val="tx1"/>
                  </w14:solidFill>
                </w14:textFill>
              </w:rPr>
              <w:t>2-3</w:t>
            </w:r>
            <w:r>
              <w:rPr>
                <w:rFonts w:eastAsiaTheme="minorEastAsia"/>
                <w:color w:val="000000" w:themeColor="text1"/>
                <w:sz w:val="24"/>
                <w14:textFill>
                  <w14:solidFill>
                    <w14:schemeClr w14:val="tx1"/>
                  </w14:solidFill>
                </w14:textFill>
              </w:rPr>
              <w:t>。</w:t>
            </w:r>
          </w:p>
          <w:p>
            <w:pPr>
              <w:pStyle w:val="2"/>
              <w:spacing w:before="0" w:after="0" w:line="360" w:lineRule="auto"/>
              <w:ind w:left="1928" w:hanging="1928" w:hangingChars="600"/>
              <w:rPr>
                <w:rFonts w:eastAsiaTheme="minorEastAsia"/>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28" o:spt="75" type="#_x0000_t75" style="height:78pt;width:396.75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8" r:id="rId18">
                  <o:LockedField>false</o:LockedField>
                </o:OLEObject>
              </w:object>
            </w:r>
            <w:r>
              <w:rPr>
                <w:rFonts w:hint="eastAsia"/>
                <w:color w:val="000000" w:themeColor="text1"/>
                <w14:textFill>
                  <w14:solidFill>
                    <w14:schemeClr w14:val="tx1"/>
                  </w14:solidFill>
                </w14:textFill>
              </w:rPr>
              <w:t xml:space="preserve"> </w:t>
            </w:r>
            <w:r>
              <w:rPr>
                <w:rFonts w:eastAsiaTheme="minorEastAsia"/>
                <w:color w:val="000000" w:themeColor="text1"/>
                <w:sz w:val="18"/>
                <w:szCs w:val="21"/>
                <w14:textFill>
                  <w14:solidFill>
                    <w14:schemeClr w14:val="tx1"/>
                  </w14:solidFill>
                </w14:textFill>
              </w:rPr>
              <w:t>图</w:t>
            </w:r>
            <w:r>
              <w:rPr>
                <w:rFonts w:hint="eastAsia" w:eastAsiaTheme="minorEastAsia"/>
                <w:color w:val="000000" w:themeColor="text1"/>
                <w:sz w:val="21"/>
                <w:szCs w:val="21"/>
                <w14:textFill>
                  <w14:solidFill>
                    <w14:schemeClr w14:val="tx1"/>
                  </w14:solidFill>
                </w14:textFill>
              </w:rPr>
              <w:t xml:space="preserve">2-3 </w:t>
            </w:r>
            <w:r>
              <w:rPr>
                <w:rFonts w:eastAsiaTheme="minorEastAsia"/>
                <w:color w:val="000000" w:themeColor="text1"/>
                <w:sz w:val="21"/>
                <w:szCs w:val="21"/>
                <w14:textFill>
                  <w14:solidFill>
                    <w14:schemeClr w14:val="tx1"/>
                  </w14:solidFill>
                </w14:textFill>
              </w:rPr>
              <w:t xml:space="preserve"> 施工期工艺流程及产污环节图  </w:t>
            </w:r>
          </w:p>
          <w:p>
            <w:pPr>
              <w:adjustRightInd w:val="0"/>
              <w:snapToGrid w:val="0"/>
              <w:spacing w:line="360" w:lineRule="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施工期污染因素分析：</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（1）废气</w:t>
            </w:r>
          </w:p>
          <w:p>
            <w:pPr>
              <w:spacing w:line="360" w:lineRule="auto"/>
              <w:ind w:firstLine="480" w:firstLineChars="200"/>
              <w:jc w:val="left"/>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项目施工期废气包括施工扬尘、运输扬尘和汽车尾气及机械废气。</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（2）废水</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项目施工期废水主要为施工废水、施工人员生活废水。</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（3）噪声</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szCs w:val="22"/>
                <w14:textFill>
                  <w14:solidFill>
                    <w14:schemeClr w14:val="tx1"/>
                  </w14:solidFill>
                </w14:textFill>
              </w:rPr>
              <w:t>项目施工期的噪声主要为机械噪声、施工作业噪声和施工车辆噪声。</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 xml:space="preserve">（4）固废  </w:t>
            </w:r>
          </w:p>
          <w:p>
            <w:pPr>
              <w:pStyle w:val="19"/>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themeColor="text1"/>
                <w:szCs w:val="24"/>
                <w:lang w:bidi="ar"/>
                <w14:textFill>
                  <w14:solidFill>
                    <w14:schemeClr w14:val="tx1"/>
                  </w14:solidFill>
                </w14:textFill>
              </w:rPr>
            </w:pPr>
            <w:r>
              <w:rPr>
                <w:rFonts w:eastAsiaTheme="minorEastAsia"/>
                <w:color w:val="000000" w:themeColor="text1"/>
                <w:szCs w:val="22"/>
                <w14:textFill>
                  <w14:solidFill>
                    <w14:schemeClr w14:val="tx1"/>
                  </w14:solidFill>
                </w14:textFill>
              </w:rPr>
              <w:t>施工期固废主要为建筑垃圾、施工人员生活垃圾。</w:t>
            </w:r>
          </w:p>
          <w:p>
            <w:pPr>
              <w:numPr>
                <w:ilvl w:val="0"/>
                <w:numId w:val="3"/>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运营期</w:t>
            </w:r>
          </w:p>
          <w:p>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w:t>
            </w:r>
            <w:r>
              <w:rPr>
                <w:b/>
                <w:bCs/>
                <w:color w:val="000000" w:themeColor="text1"/>
                <w:sz w:val="24"/>
                <w14:textFill>
                  <w14:solidFill>
                    <w14:schemeClr w14:val="tx1"/>
                  </w14:solidFill>
                </w14:textFill>
              </w:rPr>
              <w:t>工艺流程</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本项目主要建设 2 条生产线，有机肥、中量元素有机肥生产线</w:t>
            </w:r>
            <w:r>
              <w:rPr>
                <w:rFonts w:hint="eastAsia"/>
                <w:color w:val="000000" w:themeColor="text1"/>
                <w:sz w:val="24"/>
                <w14:textFill>
                  <w14:solidFill>
                    <w14:schemeClr w14:val="tx1"/>
                  </w14:solidFill>
                </w14:textFill>
              </w:rPr>
              <w:t>各</w:t>
            </w:r>
            <w:r>
              <w:rPr>
                <w:color w:val="000000" w:themeColor="text1"/>
                <w:sz w:val="24"/>
                <w14:textFill>
                  <w14:solidFill>
                    <w14:schemeClr w14:val="tx1"/>
                  </w14:solidFill>
                </w14:textFill>
              </w:rPr>
              <w:t>1 条。有机肥、中量元素有机肥产品根据市场需求</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生产，</w:t>
            </w:r>
            <w:r>
              <w:rPr>
                <w:rFonts w:hint="eastAsia"/>
                <w:color w:val="000000" w:themeColor="text1"/>
                <w:sz w:val="24"/>
                <w14:textFill>
                  <w14:solidFill>
                    <w14:schemeClr w14:val="tx1"/>
                  </w14:solidFill>
                </w14:textFill>
              </w:rPr>
              <w:t>两种产品</w:t>
            </w:r>
            <w:r>
              <w:rPr>
                <w:color w:val="000000" w:themeColor="text1"/>
                <w:sz w:val="24"/>
                <w14:textFill>
                  <w14:solidFill>
                    <w14:schemeClr w14:val="tx1"/>
                  </w14:solidFill>
                </w14:textFill>
              </w:rPr>
              <w:t>仅投加的原辅料种类有些许不同</w:t>
            </w:r>
            <w:r>
              <w:rPr>
                <w:rFonts w:hint="eastAsia"/>
                <w:color w:val="000000" w:themeColor="text1"/>
                <w:sz w:val="24"/>
                <w14:textFill>
                  <w14:solidFill>
                    <w14:schemeClr w14:val="tx1"/>
                  </w14:solidFill>
                </w14:textFill>
              </w:rPr>
              <w:t>，有机肥发酵后直接包装入库待售，</w:t>
            </w:r>
            <w:r>
              <w:rPr>
                <w:color w:val="000000" w:themeColor="text1"/>
                <w:sz w:val="24"/>
                <w14:textFill>
                  <w14:solidFill>
                    <w14:schemeClr w14:val="tx1"/>
                  </w14:solidFill>
                </w14:textFill>
              </w:rPr>
              <w:t>中量元素有机肥</w:t>
            </w:r>
            <w:r>
              <w:rPr>
                <w:rFonts w:hint="eastAsia"/>
                <w:color w:val="000000" w:themeColor="text1"/>
                <w:sz w:val="24"/>
                <w14:textFill>
                  <w14:solidFill>
                    <w14:schemeClr w14:val="tx1"/>
                  </w14:solidFill>
                </w14:textFill>
              </w:rPr>
              <w:t>发酵后与尾矿按比例进行混合后再包装。两种有机肥产品共用混合、发酵、包装工序所需的设备。</w:t>
            </w:r>
            <w:r>
              <w:rPr>
                <w:rFonts w:hint="eastAsia"/>
                <w:b/>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本项目采购的原料可满足生产需求，不需要进行破碎、烘干等环节，产品的质量检测每批次定期委托相应的检测机构进行，项目区不设置实验室和检测仪器。</w:t>
            </w:r>
            <w:r>
              <w:rPr>
                <w:color w:val="000000" w:themeColor="text1"/>
                <w:sz w:val="24"/>
                <w14:textFill>
                  <w14:solidFill>
                    <w14:schemeClr w14:val="tx1"/>
                  </w14:solidFill>
                </w14:textFill>
              </w:rPr>
              <w:t>生产工艺及产污节点图详见下图。</w:t>
            </w:r>
          </w:p>
          <w:p>
            <w:pPr>
              <w:pStyle w:val="17"/>
              <w:adjustRightInd w:val="0"/>
              <w:jc w:val="center"/>
              <w:rPr>
                <w:b/>
                <w:bCs/>
                <w:color w:val="000000" w:themeColor="text1"/>
                <w:sz w:val="21"/>
                <w:szCs w:val="21"/>
                <w14:textFill>
                  <w14:solidFill>
                    <w14:schemeClr w14:val="tx1"/>
                  </w14:solidFill>
                </w14:textFill>
              </w:rPr>
            </w:pPr>
          </w:p>
          <w:p>
            <w:pPr>
              <w:pStyle w:val="17"/>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object>
                <v:shape id="_x0000_i1029" o:spt="75" type="#_x0000_t75" style="height:339pt;width:390pt;" o:ole="t" filled="f" o:preferrelative="t" stroked="f" coordsize="21600,21600">
                  <v:path/>
                  <v:fill on="f" focussize="0,0"/>
                  <v:stroke on="f" joinstyle="miter"/>
                  <v:imagedata r:id="rId21" o:title=""/>
                  <o:lock v:ext="edit" aspectratio="f"/>
                  <w10:wrap type="none"/>
                  <w10:anchorlock/>
                </v:shape>
                <o:OLEObject Type="Embed" ProgID="Visio.Drawing.11" ShapeID="_x0000_i1029" DrawAspect="Content" ObjectID="_1468075729" r:id="rId20">
                  <o:LockedField>false</o:LockedField>
                </o:OLEObject>
              </w:object>
            </w: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4</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有机肥</w:t>
            </w:r>
            <w:r>
              <w:rPr>
                <w:b/>
                <w:bCs/>
                <w:color w:val="000000" w:themeColor="text1"/>
                <w:sz w:val="21"/>
                <w:szCs w:val="21"/>
                <w14:textFill>
                  <w14:solidFill>
                    <w14:schemeClr w14:val="tx1"/>
                  </w14:solidFill>
                </w14:textFill>
              </w:rPr>
              <w:t>生产工艺流程及产污节点图</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生产工序简述：</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本项目有机肥生产工艺主要分为</w:t>
            </w:r>
            <w:r>
              <w:rPr>
                <w:rFonts w:hint="eastAsia"/>
                <w:color w:val="000000" w:themeColor="text1"/>
                <w:sz w:val="24"/>
                <w:szCs w:val="24"/>
                <w14:textFill>
                  <w14:solidFill>
                    <w14:schemeClr w14:val="tx1"/>
                  </w14:solidFill>
                </w14:textFill>
              </w:rPr>
              <w:t>原料混合</w:t>
            </w:r>
            <w:r>
              <w:rPr>
                <w:color w:val="000000" w:themeColor="text1"/>
                <w:sz w:val="24"/>
                <w:szCs w:val="24"/>
                <w14:textFill>
                  <w14:solidFill>
                    <w14:schemeClr w14:val="tx1"/>
                  </w14:solidFill>
                </w14:textFill>
              </w:rPr>
              <w:t>、堆肥发酵、</w:t>
            </w:r>
            <w:r>
              <w:rPr>
                <w:rFonts w:hint="eastAsia"/>
                <w:color w:val="000000" w:themeColor="text1"/>
                <w:sz w:val="24"/>
                <w:szCs w:val="24"/>
                <w14:textFill>
                  <w14:solidFill>
                    <w14:schemeClr w14:val="tx1"/>
                  </w14:solidFill>
                </w14:textFill>
              </w:rPr>
              <w:t>配料、</w:t>
            </w:r>
            <w:r>
              <w:rPr>
                <w:color w:val="000000" w:themeColor="text1"/>
                <w:sz w:val="24"/>
                <w:szCs w:val="24"/>
                <w14:textFill>
                  <w14:solidFill>
                    <w14:schemeClr w14:val="tx1"/>
                  </w14:solidFill>
                </w14:textFill>
              </w:rPr>
              <w:t>计量包装。</w:t>
            </w:r>
          </w:p>
          <w:p>
            <w:pPr>
              <w:pStyle w:val="17"/>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1、原料混合</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项目采购的原料均为经过分选、破碎、筛分后的原料，不需在厂内进行单独的分选、破碎、筛分。</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根据生产产品对应的配比外购原料，采用车辆把项目所需的袋装原料（草碳、</w:t>
            </w:r>
            <w:r>
              <w:rPr>
                <w:rFonts w:hint="eastAsia"/>
                <w:color w:val="000000" w:themeColor="text1"/>
                <w:sz w:val="24"/>
                <w:szCs w:val="24"/>
                <w14:textFill>
                  <w14:solidFill>
                    <w14:schemeClr w14:val="tx1"/>
                  </w14:solidFill>
                </w14:textFill>
              </w:rPr>
              <w:t>锯木屑</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从原料库</w:t>
            </w:r>
            <w:r>
              <w:rPr>
                <w:color w:val="000000" w:themeColor="text1"/>
                <w:sz w:val="24"/>
                <w:szCs w:val="24"/>
                <w14:textFill>
                  <w14:solidFill>
                    <w14:schemeClr w14:val="tx1"/>
                  </w14:solidFill>
                </w14:textFill>
              </w:rPr>
              <w:t>运至</w:t>
            </w:r>
            <w:r>
              <w:rPr>
                <w:rFonts w:hint="eastAsia"/>
                <w:color w:val="000000" w:themeColor="text1"/>
                <w:sz w:val="24"/>
                <w:szCs w:val="24"/>
                <w14:textFill>
                  <w14:solidFill>
                    <w14:schemeClr w14:val="tx1"/>
                  </w14:solidFill>
                </w14:textFill>
              </w:rPr>
              <w:t>拌合</w:t>
            </w:r>
            <w:r>
              <w:rPr>
                <w:color w:val="000000" w:themeColor="text1"/>
                <w:sz w:val="24"/>
                <w:szCs w:val="24"/>
                <w14:textFill>
                  <w14:solidFill>
                    <w14:schemeClr w14:val="tx1"/>
                  </w14:solidFill>
                </w14:textFill>
              </w:rPr>
              <w:t>区进行拆袋</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为调节物料中水分，对部分物料进行洒水，使物料总体含水率保持在 </w:t>
            </w:r>
            <w:r>
              <w:rPr>
                <w:rFonts w:hint="eastAsia"/>
                <w:color w:val="000000" w:themeColor="text1"/>
                <w:sz w:val="24"/>
                <w:szCs w:val="24"/>
                <w14:textFill>
                  <w14:solidFill>
                    <w14:schemeClr w14:val="tx1"/>
                  </w14:solidFill>
                </w14:textFill>
              </w:rPr>
              <w:t>45-</w:t>
            </w:r>
            <w:r>
              <w:rPr>
                <w:color w:val="000000" w:themeColor="text1"/>
                <w:sz w:val="24"/>
                <w:szCs w:val="24"/>
                <w14:textFill>
                  <w14:solidFill>
                    <w14:schemeClr w14:val="tx1"/>
                  </w14:solidFill>
                </w14:textFill>
              </w:rPr>
              <w:t>50%左右，使用装载机将物料在</w:t>
            </w:r>
            <w:r>
              <w:rPr>
                <w:rFonts w:hint="eastAsia"/>
                <w:color w:val="000000" w:themeColor="text1"/>
                <w:sz w:val="24"/>
                <w:szCs w:val="24"/>
                <w14:textFill>
                  <w14:solidFill>
                    <w14:schemeClr w14:val="tx1"/>
                  </w14:solidFill>
                </w14:textFill>
              </w:rPr>
              <w:t>拌合</w:t>
            </w:r>
            <w:r>
              <w:rPr>
                <w:color w:val="000000" w:themeColor="text1"/>
                <w:sz w:val="24"/>
                <w:szCs w:val="24"/>
                <w14:textFill>
                  <w14:solidFill>
                    <w14:schemeClr w14:val="tx1"/>
                  </w14:solidFill>
                </w14:textFill>
              </w:rPr>
              <w:t>区防渗处理的地面上充分混合均匀。</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考虑混合的物料含水率在</w:t>
            </w:r>
            <w:r>
              <w:rPr>
                <w:rFonts w:hint="eastAsia"/>
                <w:color w:val="000000" w:themeColor="text1"/>
                <w:sz w:val="24"/>
                <w:szCs w:val="24"/>
                <w14:textFill>
                  <w14:solidFill>
                    <w14:schemeClr w14:val="tx1"/>
                  </w14:solidFill>
                </w14:textFill>
              </w:rPr>
              <w:t>45-</w:t>
            </w:r>
            <w:r>
              <w:rPr>
                <w:color w:val="000000" w:themeColor="text1"/>
                <w:sz w:val="24"/>
                <w:szCs w:val="24"/>
                <w14:textFill>
                  <w14:solidFill>
                    <w14:schemeClr w14:val="tx1"/>
                  </w14:solidFill>
                </w14:textFill>
              </w:rPr>
              <w:t>50%左右，产生</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粉尘</w:t>
            </w:r>
            <w:r>
              <w:rPr>
                <w:rFonts w:hint="eastAsia"/>
                <w:color w:val="000000" w:themeColor="text1"/>
                <w:sz w:val="24"/>
                <w:szCs w:val="24"/>
                <w14:textFill>
                  <w14:solidFill>
                    <w14:schemeClr w14:val="tx1"/>
                  </w14:solidFill>
                </w14:textFill>
              </w:rPr>
              <w:t>量较少</w:t>
            </w:r>
            <w:r>
              <w:rPr>
                <w:color w:val="000000" w:themeColor="text1"/>
                <w:sz w:val="24"/>
                <w:szCs w:val="24"/>
                <w14:textFill>
                  <w14:solidFill>
                    <w14:schemeClr w14:val="tx1"/>
                  </w14:solidFill>
                </w14:textFill>
              </w:rPr>
              <w:t>。此外项目使用的原辅料不含畜禽粪便，发酵前无明显异味产生。物料混合环节产生噪声、</w:t>
            </w:r>
            <w:r>
              <w:rPr>
                <w:rFonts w:hint="eastAsia"/>
                <w:color w:val="000000" w:themeColor="text1"/>
                <w:sz w:val="24"/>
                <w:szCs w:val="24"/>
                <w14:textFill>
                  <w14:solidFill>
                    <w14:schemeClr w14:val="tx1"/>
                  </w14:solidFill>
                </w14:textFill>
              </w:rPr>
              <w:t>粉尘、</w:t>
            </w:r>
            <w:r>
              <w:rPr>
                <w:color w:val="000000" w:themeColor="text1"/>
                <w:sz w:val="24"/>
                <w:szCs w:val="24"/>
                <w14:textFill>
                  <w14:solidFill>
                    <w14:schemeClr w14:val="tx1"/>
                  </w14:solidFill>
                </w14:textFill>
              </w:rPr>
              <w:t>废编织袋 。</w:t>
            </w:r>
          </w:p>
          <w:p>
            <w:pPr>
              <w:pStyle w:val="17"/>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堆肥发酵</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混合搅拌后的物料由装载机送至发酵区</w:t>
            </w:r>
            <w:r>
              <w:rPr>
                <w:color w:val="000000" w:themeColor="text1"/>
                <w:sz w:val="24"/>
                <w:szCs w:val="24"/>
                <w14:textFill>
                  <w14:solidFill>
                    <w14:schemeClr w14:val="tx1"/>
                  </w14:solidFill>
                </w14:textFill>
              </w:rPr>
              <w:t>进行好氧-条垛式发酵。物料混合后以条垛状堆置，可以排列成多条平行的条垛，条垛的断面形状通常为三角形或梯形，高度1.5-2.0m，宽4-6m。混合后堆料的含水率</w:t>
            </w:r>
            <w:r>
              <w:rPr>
                <w:rFonts w:hint="eastAsia"/>
                <w:color w:val="000000" w:themeColor="text1"/>
                <w:sz w:val="24"/>
                <w:szCs w:val="24"/>
                <w14:textFill>
                  <w14:solidFill>
                    <w14:schemeClr w14:val="tx1"/>
                  </w14:solidFill>
                </w14:textFill>
              </w:rPr>
              <w:t>控制在50</w:t>
            </w:r>
            <w:r>
              <w:rPr>
                <w:color w:val="000000" w:themeColor="text1"/>
                <w:sz w:val="24"/>
                <w:szCs w:val="24"/>
                <w14:textFill>
                  <w14:solidFill>
                    <w14:schemeClr w14:val="tx1"/>
                  </w14:solidFill>
                </w14:textFill>
              </w:rPr>
              <w:t>%。</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堆肥发酵</w:t>
            </w:r>
            <w:r>
              <w:rPr>
                <w:color w:val="000000" w:themeColor="text1"/>
                <w:sz w:val="24"/>
                <w:szCs w:val="24"/>
                <w14:textFill>
                  <w14:solidFill>
                    <w14:schemeClr w14:val="tx1"/>
                  </w14:solidFill>
                </w14:textFill>
              </w:rPr>
              <w:t>要想达到满意的发酵效果，须满足包括含水率、碳氮比、氧气浓度、颗粒直径和酸碱度等在内的发酵条件，其中原料含水率和碳氮比尤为关键。</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含水率：</w:t>
            </w:r>
            <w:r>
              <w:rPr>
                <w:color w:val="000000" w:themeColor="text1"/>
                <w:sz w:val="24"/>
                <w:szCs w:val="24"/>
                <w14:textFill>
                  <w14:solidFill>
                    <w14:schemeClr w14:val="tx1"/>
                  </w14:solidFill>
                </w14:textFill>
              </w:rPr>
              <w:t>堆肥过程中保持适宜的水分含量，是堆肥制作成功的首要条件。堆肥发酵合理的含水率为40~60%，以50~60%为好，若含水率过高，有碍于通风，温度难</w:t>
            </w:r>
            <w:r>
              <w:rPr>
                <w:rFonts w:hint="eastAsia"/>
                <w:color w:val="000000" w:themeColor="text1"/>
                <w:sz w:val="24"/>
                <w:szCs w:val="24"/>
                <w:lang w:eastAsia="zh-CN"/>
                <w14:textFill>
                  <w14:solidFill>
                    <w14:schemeClr w14:val="tx1"/>
                  </w14:solidFill>
                </w14:textFill>
              </w:rPr>
              <w:t>以</w:t>
            </w:r>
            <w:r>
              <w:rPr>
                <w:color w:val="000000" w:themeColor="text1"/>
                <w:sz w:val="24"/>
                <w:szCs w:val="24"/>
                <w14:textFill>
                  <w14:solidFill>
                    <w14:schemeClr w14:val="tx1"/>
                  </w14:solidFill>
                </w14:textFill>
              </w:rPr>
              <w:t>上升。分解速度明显降低，造成厌氧状态后不利于好氧微生物生长并易产生恶臭气体。含水率过低不能满足微生物生长需要，有机物难于分解。</w:t>
            </w:r>
            <w:r>
              <w:rPr>
                <w:rFonts w:hint="eastAsia"/>
                <w:b/>
                <w:bCs/>
                <w:color w:val="000000" w:themeColor="text1"/>
                <w:sz w:val="24"/>
                <w:szCs w:val="24"/>
                <w14:textFill>
                  <w14:solidFill>
                    <w14:schemeClr w14:val="tx1"/>
                  </w14:solidFill>
                </w14:textFill>
              </w:rPr>
              <w:t>项目在发酵过程中，为保持含水率的要求，将发酵菌剂、尿素按照比例溶解在水中，溶解后的溶液定期喷洒在发酵物料上，保持发酵堆体的含水率和碳氮比控制在理想的范围之内。</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碳氮比：</w:t>
            </w:r>
            <w:r>
              <w:rPr>
                <w:color w:val="000000" w:themeColor="text1"/>
                <w:sz w:val="24"/>
                <w:szCs w:val="24"/>
                <w14:textFill>
                  <w14:solidFill>
                    <w14:schemeClr w14:val="tx1"/>
                  </w14:solidFill>
                </w14:textFill>
              </w:rPr>
              <w:t>合理调节堆肥原料中的碳氮比，是加快堆肥腐熟、提高腐殖化系数的有效途径。一般情况下碳氮比(C/N)的范围为25：1~30:1，合理的范围为20:1~40:1，若C/N过高，微生物生长繁殖所需要的氮元素来源受到限制，微生物繁殖速度低，有机物分解速度慢，发酵时间长</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若C/N过低，微生物生长繁殖所需的能量来源受到限制，发酵温度上升缓慢，氮过量并以氨气的形</w:t>
            </w:r>
            <w:r>
              <w:rPr>
                <w:rFonts w:hint="eastAsia"/>
                <w:color w:val="000000" w:themeColor="text1"/>
                <w:sz w:val="24"/>
                <w:szCs w:val="24"/>
                <w:lang w:eastAsia="zh-CN"/>
                <w14:textFill>
                  <w14:solidFill>
                    <w14:schemeClr w14:val="tx1"/>
                  </w14:solidFill>
                </w14:textFill>
              </w:rPr>
              <w:t>形</w:t>
            </w:r>
            <w:r>
              <w:rPr>
                <w:color w:val="000000" w:themeColor="text1"/>
                <w:sz w:val="24"/>
                <w:szCs w:val="24"/>
                <w14:textFill>
                  <w14:solidFill>
                    <w14:schemeClr w14:val="tx1"/>
                  </w14:solidFill>
                </w14:textFill>
              </w:rPr>
              <w:t>释放，有机氮损失大，还会散发难闻的气味。</w:t>
            </w:r>
          </w:p>
          <w:p>
            <w:pPr>
              <w:pStyle w:val="17"/>
              <w:adjustRightInd w:val="0"/>
              <w:spacing w:line="360" w:lineRule="auto"/>
              <w:ind w:firstLine="482"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发酵原理：</w:t>
            </w:r>
            <w:r>
              <w:rPr>
                <w:color w:val="000000" w:themeColor="text1"/>
                <w:sz w:val="24"/>
                <w:szCs w:val="24"/>
                <w14:textFill>
                  <w14:solidFill>
                    <w14:schemeClr w14:val="tx1"/>
                  </w14:solidFill>
                </w14:textFill>
              </w:rPr>
              <w:t>在好氧条件下，好氧细菌对有机物进行吸收、氧化、分解。微生物通过自身的生命活动，把一部分被吸收的有机物氧化成简单的无机物，同时释放出可供微生物生长活动所需的能量，而另一部分有机物则被合成新的细胞质，使微生物不断生长繁</w:t>
            </w:r>
            <w:r>
              <w:rPr>
                <w:rFonts w:hint="eastAsia"/>
                <w:color w:val="000000" w:themeColor="text1"/>
                <w:sz w:val="24"/>
                <w:szCs w:val="24"/>
                <w:lang w:eastAsia="zh-CN"/>
                <w14:textFill>
                  <w14:solidFill>
                    <w14:schemeClr w14:val="tx1"/>
                  </w14:solidFill>
                </w14:textFill>
              </w:rPr>
              <w:t>殖</w:t>
            </w:r>
            <w:r>
              <w:rPr>
                <w:color w:val="000000" w:themeColor="text1"/>
                <w:sz w:val="24"/>
                <w:szCs w:val="24"/>
                <w14:textFill>
                  <w14:solidFill>
                    <w14:schemeClr w14:val="tx1"/>
                  </w14:solidFill>
                </w14:textFill>
              </w:rPr>
              <w:t>，产生更多的生物体的过程。在有机物生化降解的同时，伴有热量产生，因堆肥工艺中该热能不会全部散发到环境中，就必然造成堆肥物料的温度升高，这样，就会使一些不耐高温的微生物死亡，耐高温的细菌快速繁殖。整个好氧堆肥过程伴随着两次发酵：</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第一次发酵（11 天）：</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①第 1-3 天（升温阶段）</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发酵持续几小时后微生物活动能力开始增强， 产热量逐渐增加，此阶段微生物以中温、需氧型为主，种类较多，其中最主要的有细菌、真菌和放线菌，它们利用好氧发酵中可溶性有机物进行微生物繁殖，在转换和利用化学能的过程中，有一部分变成热能，使温度不断上升。当温度处于 25-45℃时，中温菌微生物比较活跃，堆温上升非常迅速，温度可达 45℃。</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②第 4-11 天（高温阶段）</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随着堆体热量的积累，温度逐渐上升到 50℃以上，即进入了高温阶段。耐高温细菌迅速繁</w:t>
            </w:r>
            <w:r>
              <w:rPr>
                <w:rFonts w:hint="eastAsia"/>
                <w:color w:val="000000" w:themeColor="text1"/>
                <w:sz w:val="24"/>
                <w:szCs w:val="24"/>
                <w:lang w:eastAsia="zh-CN"/>
                <w14:textFill>
                  <w14:solidFill>
                    <w14:schemeClr w14:val="tx1"/>
                  </w14:solidFill>
                </w14:textFill>
              </w:rPr>
              <w:t>殖</w:t>
            </w:r>
            <w:r>
              <w:rPr>
                <w:color w:val="000000" w:themeColor="text1"/>
                <w:sz w:val="24"/>
                <w:szCs w:val="24"/>
                <w14:textFill>
                  <w14:solidFill>
                    <w14:schemeClr w14:val="tx1"/>
                  </w14:solidFill>
                </w14:textFill>
              </w:rPr>
              <w:t>，在有氧条件下，大部分难降解的蛋白质、纤维等继续被氧化分解，同时放出大量热能，使温度上升至 60-70℃，此时，好热性的微生物如纤维素分解氧化菌逐渐代替了中温微生物的活动，堆体中残留的有机物继续被分解氧化，一些复杂的有机物如纤维素等也开始得到分解，病原菌、寄生虫卵与病毒被杀灭。堆肥温度上升到 60℃以上，保持 48 小时后开始翻抛（但当温度超过 70℃时，须立即翻堆，堆爬温度不宜超过 70℃，否则就会造成有益微生物菌的休眠或死亡)，翻堆时务必均匀彻底，将</w:t>
            </w:r>
            <w:r>
              <w:rPr>
                <w:rFonts w:hint="eastAsia"/>
                <w:color w:val="000000" w:themeColor="text1"/>
                <w:sz w:val="24"/>
                <w:szCs w:val="24"/>
                <w:lang w:eastAsia="zh-CN"/>
                <w14:textFill>
                  <w14:solidFill>
                    <w14:schemeClr w14:val="tx1"/>
                  </w14:solidFill>
                </w14:textFill>
              </w:rPr>
              <w:t>底</w:t>
            </w:r>
            <w:r>
              <w:rPr>
                <w:color w:val="000000" w:themeColor="text1"/>
                <w:sz w:val="24"/>
                <w:szCs w:val="24"/>
                <w14:textFill>
                  <w14:solidFill>
                    <w14:schemeClr w14:val="tx1"/>
                  </w14:solidFill>
                </w14:textFill>
              </w:rPr>
              <w:t>层物料尽量翻入堆中上部，以便充分腐熟，视物料腐熟过程确定翻堆次数。一般每 4-6 天可翻堆一次，以提供氧气、散热和使物料发酵均匀。翻抛的目的主要为：①排出水分：在温度作用下，水会变成水蒸气，温度越高汽化量越大，通过翻抛，将水分带出，减少堆肥物料中的含水率。否则，水蒸气会变成液态水存在物料中，含水率高，密度增加，透气性就差，氧气含量减少，使处理过程变为厌氧状态；② 通风供氧：物料越疏松空隙越大，含气体的量越大，相应的氧含量也越大，通过翻抛，加大置换面积，减少置换阻力，可有效的排除</w:t>
            </w:r>
            <w:r>
              <w:rPr>
                <w:rFonts w:hint="eastAsia"/>
                <w:color w:val="000000" w:themeColor="text1"/>
                <w:sz w:val="24"/>
                <w:szCs w:val="24"/>
                <w14:textFill>
                  <w14:solidFill>
                    <w14:schemeClr w14:val="tx1"/>
                  </w14:solidFill>
                </w14:textFill>
              </w:rPr>
              <w:t>恶臭</w:t>
            </w:r>
            <w:r>
              <w:rPr>
                <w:color w:val="000000" w:themeColor="text1"/>
                <w:sz w:val="24"/>
                <w:szCs w:val="24"/>
                <w14:textFill>
                  <w14:solidFill>
                    <w14:schemeClr w14:val="tx1"/>
                  </w14:solidFill>
                </w14:textFill>
              </w:rPr>
              <w:t>气体，并补入新鲜空气。</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第二次发酵（陈化阶段，12-15 天）：</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当有机物基本降解完，噬热菌因缺乏养料而停止生长，产热随之停止。堆体的温度逐渐下降，当温度稳定在 40℃，堆肥基本达到稳定，形成腐</w:t>
            </w:r>
            <w:r>
              <w:rPr>
                <w:rFonts w:hint="eastAsia"/>
                <w:color w:val="000000" w:themeColor="text1"/>
                <w:sz w:val="24"/>
                <w:szCs w:val="24"/>
                <w:lang w:eastAsia="zh-CN"/>
                <w14:textFill>
                  <w14:solidFill>
                    <w14:schemeClr w14:val="tx1"/>
                  </w14:solidFill>
                </w14:textFill>
              </w:rPr>
              <w:t>殖</w:t>
            </w:r>
            <w:r>
              <w:rPr>
                <w:color w:val="000000" w:themeColor="text1"/>
                <w:sz w:val="24"/>
                <w:szCs w:val="24"/>
                <w14:textFill>
                  <w14:solidFill>
                    <w14:schemeClr w14:val="tx1"/>
                  </w14:solidFill>
                </w14:textFill>
              </w:rPr>
              <w:t>质。持续12-13 天。也叫二次堆肥，在内源呼吸后期，只剩下部分较难分解及难分解的有机物和新形成的腐</w:t>
            </w:r>
            <w:r>
              <w:rPr>
                <w:rFonts w:hint="eastAsia"/>
                <w:color w:val="000000" w:themeColor="text1"/>
                <w:sz w:val="24"/>
                <w:szCs w:val="24"/>
                <w:lang w:eastAsia="zh-CN"/>
                <w14:textFill>
                  <w14:solidFill>
                    <w14:schemeClr w14:val="tx1"/>
                  </w14:solidFill>
                </w14:textFill>
              </w:rPr>
              <w:t>殖</w:t>
            </w:r>
            <w:r>
              <w:rPr>
                <w:color w:val="000000" w:themeColor="text1"/>
                <w:sz w:val="24"/>
                <w:szCs w:val="24"/>
                <w14:textFill>
                  <w14:solidFill>
                    <w14:schemeClr w14:val="tx1"/>
                  </w14:solidFill>
                </w14:textFill>
              </w:rPr>
              <w:t>质，此时，微生物活性下降，产热量减少，温度下降，在此阶段嗜温微生物又占优势，残余较难分解的有机物可进一步分解，腐植质不断增多且趋于稳定，发酵物孔隙增大，二次堆肥 12-15 天后，完成有机物完全降解工作，转变为稳定的腐</w:t>
            </w:r>
            <w:r>
              <w:rPr>
                <w:rFonts w:hint="eastAsia"/>
                <w:color w:val="000000" w:themeColor="text1"/>
                <w:sz w:val="24"/>
                <w:szCs w:val="24"/>
                <w:lang w:eastAsia="zh-CN"/>
                <w14:textFill>
                  <w14:solidFill>
                    <w14:schemeClr w14:val="tx1"/>
                  </w14:solidFill>
                </w14:textFill>
              </w:rPr>
              <w:t>殖</w:t>
            </w:r>
            <w:r>
              <w:rPr>
                <w:color w:val="000000" w:themeColor="text1"/>
                <w:sz w:val="24"/>
                <w:szCs w:val="24"/>
                <w14:textFill>
                  <w14:solidFill>
                    <w14:schemeClr w14:val="tx1"/>
                  </w14:solidFill>
                </w14:textFill>
              </w:rPr>
              <w:t>质，异味消失，含水率降为 30%，好氧发酵已完全腐熟，形成腐殖质。发酵后的半成品转移至半成品堆放区待用。</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腐熟的有机堆肥的表现特征为：堆肥后期温度天然下降，不再招引苍蝇，无臭味，质地松软，体积缩小，呈深褐色或黑褐色，虫卵死亡；以粪大肠菌群为评价指标，粪大肠菌值为 0.1-0.01 时病原菌存在的可能性也很小，含水率 40%以下。</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项目发酵在车间内进行，非露天发酵，使用的物料含水率约 50%，不使用含水率高的禽畜粪便，正常情况下不会产生渗滤液。</w:t>
            </w:r>
            <w:r>
              <w:rPr>
                <w:rFonts w:hint="eastAsia"/>
                <w:color w:val="000000" w:themeColor="text1"/>
                <w:sz w:val="24"/>
                <w:szCs w:val="24"/>
                <w14:textFill>
                  <w14:solidFill>
                    <w14:schemeClr w14:val="tx1"/>
                  </w14:solidFill>
                </w14:textFill>
              </w:rPr>
              <w:t>草炭中主要成分为有机质和腐殖酸，根据查阅相关资料，腐殖酸大分子的基本结构是芳环和脂环组成，环上连有羟基、羧基、羰基、甲氧基等官能团，并含有一定量的自由基，具有生理活性，和锯木屑在堆肥发酵过程中会产生少量的异味，发酵期间喷洒生物除臭剂，此外</w:t>
            </w:r>
            <w:r>
              <w:rPr>
                <w:color w:val="000000" w:themeColor="text1"/>
                <w:sz w:val="24"/>
                <w:szCs w:val="24"/>
                <w14:textFill>
                  <w14:solidFill>
                    <w14:schemeClr w14:val="tx1"/>
                  </w14:solidFill>
                </w14:textFill>
              </w:rPr>
              <w:t>发酵过程中产生除臭剂废包装容器</w:t>
            </w:r>
            <w:r>
              <w:rPr>
                <w:rFonts w:hint="eastAsia"/>
                <w:color w:val="000000" w:themeColor="text1"/>
                <w:sz w:val="24"/>
                <w:szCs w:val="24"/>
                <w14:textFill>
                  <w14:solidFill>
                    <w14:schemeClr w14:val="tx1"/>
                  </w14:solidFill>
                </w14:textFill>
              </w:rPr>
              <w:t>和噪声</w:t>
            </w:r>
            <w:r>
              <w:rPr>
                <w:color w:val="000000" w:themeColor="text1"/>
                <w:sz w:val="24"/>
                <w:szCs w:val="24"/>
                <w14:textFill>
                  <w14:solidFill>
                    <w14:schemeClr w14:val="tx1"/>
                  </w14:solidFill>
                </w14:textFill>
              </w:rPr>
              <w:t>。</w:t>
            </w:r>
          </w:p>
          <w:p>
            <w:pPr>
              <w:pStyle w:val="17"/>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3、配料</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经发酵腐熟后的物料即为有机肥，部分有机肥直接进行包装；而中量元素有机肥需要进行配料生产。</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将</w:t>
            </w:r>
            <w:r>
              <w:rPr>
                <w:rFonts w:hint="eastAsia"/>
                <w:color w:val="000000" w:themeColor="text1"/>
                <w:sz w:val="24"/>
                <w:szCs w:val="24"/>
                <w14:textFill>
                  <w14:solidFill>
                    <w14:schemeClr w14:val="tx1"/>
                  </w14:solidFill>
                </w14:textFill>
              </w:rPr>
              <w:t>发酵</w:t>
            </w:r>
            <w:r>
              <w:rPr>
                <w:color w:val="000000" w:themeColor="text1"/>
                <w:sz w:val="24"/>
                <w:szCs w:val="24"/>
                <w14:textFill>
                  <w14:solidFill>
                    <w14:schemeClr w14:val="tx1"/>
                  </w14:solidFill>
                </w14:textFill>
              </w:rPr>
              <w:t>后的物料经</w:t>
            </w:r>
            <w:r>
              <w:rPr>
                <w:rFonts w:hint="eastAsia"/>
                <w:color w:val="000000" w:themeColor="text1"/>
                <w:sz w:val="24"/>
                <w:szCs w:val="24"/>
                <w14:textFill>
                  <w14:solidFill>
                    <w14:schemeClr w14:val="tx1"/>
                  </w14:solidFill>
                </w14:textFill>
              </w:rPr>
              <w:t>装载机运输至混合区</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按照比例添加尾矿进行混合，混合过程中进行洒水降尘，同时保持产品中的含水率＜30%的要求</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配料工序产生噪声和粉尘。</w:t>
            </w:r>
          </w:p>
          <w:p>
            <w:pPr>
              <w:pStyle w:val="17"/>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计量包装</w:t>
            </w: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造    配料后的物料由密闭</w:t>
            </w:r>
            <w:r>
              <w:rPr>
                <w:color w:val="000000" w:themeColor="text1"/>
                <w:sz w:val="24"/>
                <w:szCs w:val="24"/>
                <w14:textFill>
                  <w14:solidFill>
                    <w14:schemeClr w14:val="tx1"/>
                  </w14:solidFill>
                </w14:textFill>
              </w:rPr>
              <w:t>皮带输送至全自动计量包装机，封装后送入成品库。</w:t>
            </w:r>
            <w:r>
              <w:rPr>
                <w:rFonts w:hint="eastAsia"/>
                <w:color w:val="000000" w:themeColor="text1"/>
                <w:sz w:val="24"/>
                <w:szCs w:val="24"/>
                <w14:textFill>
                  <w14:solidFill>
                    <w14:schemeClr w14:val="tx1"/>
                  </w14:solidFill>
                </w14:textFill>
              </w:rPr>
              <w:t>该过程产生噪声、粉尘和废编织袋。</w:t>
            </w: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p>
          <w:p>
            <w:pPr>
              <w:pStyle w:val="17"/>
              <w:adjustRightInd w:val="0"/>
              <w:spacing w:line="360" w:lineRule="auto"/>
              <w:ind w:left="-840" w:leftChars="-400" w:firstLine="480" w:firstLineChars="200"/>
              <w:rPr>
                <w:color w:val="000000" w:themeColor="text1"/>
                <w:sz w:val="24"/>
                <w:szCs w:val="24"/>
                <w14:textFill>
                  <w14:solidFill>
                    <w14:schemeClr w14:val="tx1"/>
                  </w14:solidFill>
                </w14:textFill>
              </w:rPr>
            </w:pPr>
          </w:p>
          <w:p>
            <w:pPr>
              <w:pStyle w:val="17"/>
              <w:adjustRightInd w:val="0"/>
              <w:spacing w:line="360" w:lineRule="auto"/>
              <w:ind w:left="-840" w:leftChars="-400" w:firstLine="360" w:firstLineChars="20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vAlign w:val="center"/>
          </w:tcPr>
          <w:p>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61" w:type="dxa"/>
          </w:tcPr>
          <w:p>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一、云南建工云岭水泥有限公司环保手续</w:t>
            </w:r>
            <w:r>
              <w:rPr>
                <w:rFonts w:hint="eastAsia"/>
                <w:b/>
                <w:bCs/>
                <w:color w:val="000000" w:themeColor="text1"/>
                <w:sz w:val="24"/>
                <w14:textFill>
                  <w14:solidFill>
                    <w14:schemeClr w14:val="tx1"/>
                  </w14:solidFill>
                </w14:textFill>
              </w:rPr>
              <w:t>办理</w:t>
            </w:r>
            <w:r>
              <w:rPr>
                <w:b/>
                <w:bCs/>
                <w:color w:val="000000" w:themeColor="text1"/>
                <w:sz w:val="24"/>
                <w14:textFill>
                  <w14:solidFill>
                    <w14:schemeClr w14:val="tx1"/>
                  </w14:solidFill>
                </w14:textFill>
              </w:rPr>
              <w:t>情况</w:t>
            </w:r>
          </w:p>
          <w:p>
            <w:pPr>
              <w:adjustRightInd w:val="0"/>
              <w:snapToGrid w:val="0"/>
              <w:spacing w:line="360" w:lineRule="auto"/>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本项目租用云南建工云岭水泥有限公司已建厂房进行建设。</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始建于2006年，前身是云南南磷集团云岭建材有限公司。2008年1月，省环科院编制了《2000吨/天综合利用电石渣新型干法水泥熟料生产线环境影响报告书》；2008年5月7日，云南省环境保护局以云环许准〔2008〕135号文同意建设；2010年10月30日，省环保厅以云环验〔2010〕60号文同意项目环保竣工验收。 2016年12月22日取得寻甸县环境保护局出具的烟气脱硝设施（SNCR）技术改造项目环境影响评价报告表批复，脱硝设施验收于2017年6月23日由寻甸县环保局组织开展竣工验收，于2017年10月20日取得寻甸县环保局出具的烟气脱硝技术改造工程项目竣工环保验收批复；2020年12月1日取得昆明市环境保护局核发的云南省污染物排放许可证（91530129676551443E001P），有效期至2020年12月27日至2025年12月26日止。2021年11月28日因水泥市场环境不景气等原因一直停产至今未进行生产，根据2023年10月30日云南建工云岭水泥有限公司出具的情况说明，公司以后将不组织生产，计划将产能、设备、场地等依法进行处置。</w:t>
            </w:r>
          </w:p>
          <w:p>
            <w:pPr>
              <w:adjustRightInd w:val="0"/>
              <w:snapToGrid w:val="0"/>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w:t>
            </w:r>
            <w:r>
              <w:rPr>
                <w:b/>
                <w:bCs/>
                <w:color w:val="000000" w:themeColor="text1"/>
                <w:sz w:val="24"/>
                <w14:textFill>
                  <w14:solidFill>
                    <w14:schemeClr w14:val="tx1"/>
                  </w14:solidFill>
                </w14:textFill>
              </w:rPr>
              <w:t>云南建工云岭水泥有限公司</w:t>
            </w:r>
            <w:r>
              <w:rPr>
                <w:rFonts w:hint="eastAsia"/>
                <w:b/>
                <w:bCs/>
                <w:color w:val="000000" w:themeColor="text1"/>
                <w:sz w:val="24"/>
                <w14:textFill>
                  <w14:solidFill>
                    <w14:schemeClr w14:val="tx1"/>
                  </w14:solidFill>
                </w14:textFill>
              </w:rPr>
              <w:t>现状</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踏勘，云南建工云岭水泥有限公司2000吨/天综合利用电石渣新型干法水泥熟料生产线自2021年11月28日开始至今未进行生产，部分厂房进行外租，本项目租贷的西面厂房原为粘土-铜渣棚，东面厂房原为煤堆棚，现状已为空置的厂房，地面硬化无裂缝，无原有项目的污染痕迹。</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云南建工云岭水泥有限公司宿舍、食堂和办公楼正常使用，生活污水总产生量约为11m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/d，经化粪池预处理后排入污水处理站（处理规模为120m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/d）处理，达标后排至200m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的蓄水池储存，用于厂区的绿化和洒水降尘。</w:t>
            </w:r>
          </w:p>
          <w:p>
            <w:pPr>
              <w:pStyle w:val="17"/>
              <w:adjustRightInd w:val="0"/>
              <w:spacing w:line="360" w:lineRule="auto"/>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三</w:t>
            </w: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与项目有关的原有问题</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本项目为新建项目，租</w:t>
            </w:r>
            <w:r>
              <w:rPr>
                <w:rFonts w:hint="eastAsia"/>
                <w:color w:val="000000" w:themeColor="text1"/>
                <w:sz w:val="24"/>
                <w:szCs w:val="24"/>
                <w:lang w:eastAsia="zh-CN"/>
                <w14:textFill>
                  <w14:solidFill>
                    <w14:schemeClr w14:val="tx1"/>
                  </w14:solidFill>
                </w14:textFill>
              </w:rPr>
              <w:t>赁</w:t>
            </w:r>
            <w:r>
              <w:rPr>
                <w:rFonts w:hint="eastAsia"/>
                <w:color w:val="000000" w:themeColor="text1"/>
                <w:sz w:val="24"/>
                <w:szCs w:val="24"/>
                <w14:textFill>
                  <w14:solidFill>
                    <w14:schemeClr w14:val="tx1"/>
                  </w14:solidFill>
                </w14:textFill>
              </w:rPr>
              <w:t>的已建厂房目前为空置状态，地面均进行了硬化处理，未发现现场遗漏的环境问题，无与项目有关的原有问题存在。</w:t>
            </w:r>
          </w:p>
          <w:p>
            <w:pPr>
              <w:pStyle w:val="17"/>
              <w:adjustRightInd w:val="0"/>
              <w:spacing w:line="360" w:lineRule="auto"/>
              <w:ind w:firstLine="480" w:firstLineChars="200"/>
              <w:rPr>
                <w:color w:val="000000" w:themeColor="text1"/>
                <w:sz w:val="24"/>
                <w:szCs w:val="24"/>
                <w14:textFill>
                  <w14:solidFill>
                    <w14:schemeClr w14:val="tx1"/>
                  </w14:solidFill>
                </w14:textFill>
              </w:rPr>
            </w:pPr>
          </w:p>
          <w:p>
            <w:pPr>
              <w:pStyle w:val="17"/>
              <w:rPr>
                <w:color w:val="000000" w:themeColor="text1"/>
                <w14:textFill>
                  <w14:solidFill>
                    <w14:schemeClr w14:val="tx1"/>
                  </w14:solidFill>
                </w14:textFill>
              </w:rPr>
            </w:pPr>
          </w:p>
        </w:tc>
      </w:tr>
    </w:tbl>
    <w:p>
      <w:pPr>
        <w:pStyle w:val="19"/>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14" w:lineRule="auto"/>
        <w:jc w:val="center"/>
        <w:rPr>
          <w:rFonts w:ascii="Times New Roman" w:hAnsi="Times New Roman" w:eastAsia="黑体"/>
          <w:snapToGrid w:val="0"/>
          <w:color w:val="000000" w:themeColor="text1"/>
          <w:sz w:val="30"/>
          <w:szCs w:val="30"/>
          <w14:textFill>
            <w14:solidFill>
              <w14:schemeClr w14:val="tx1"/>
            </w14:solidFill>
          </w14:textFill>
        </w:rPr>
      </w:pPr>
    </w:p>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5" w:name="_Toc24964"/>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25"/>
    </w:p>
    <w:tbl>
      <w:tblPr>
        <w:tblStyle w:val="23"/>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800"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190" w:type="dxa"/>
            <w:vAlign w:val="center"/>
          </w:tcPr>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1、环境空气质量现状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本项目位于云南寻甸产业园区金所片区金所组团内，该区域环境空气质量功能区划为二类区，执行《环境空气质量标准》（GB3095-2012）二级标准。</w:t>
            </w:r>
          </w:p>
          <w:p>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（1）区域基本污染物环境质量现状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2024年度昆明市生态环境状况公报》可知，2024年昆明市主城区外所辖的8个县（市）、区环境空气质量总体保持良好，各项污染物平均浓度均达到《环境空气质量标准》（GB3095-2012）二级标准；空气优良天数比例范围为97.50%~100%，与2023年相比寻甸县空气优良天数比例均有提高。2024年寻甸县环境空气质量均能达到《环境空气质量标准》（GB3095-2012）表1中二级标准要求，项目所在区域为环境空气质量达标区。</w:t>
            </w:r>
          </w:p>
          <w:p>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（2）特征因子环境质量现状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涉及的特征因子为TSP、臭气浓度。根据《建设项目环境影响报告表内容、格式及编制技术指南常见问题解答》：“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故项目区TSP引用现有的监测数据，臭气浓度在国家、地方环境空气质量标准中无限值要求，不进行现状环境质量评价。</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SP环境空气质量现状评价引用云南鼎祺检测有限公司于2023年11月30日至12月06日对《云南南磷集团电化有限公司30万吨/年聚氯乙烯及配套原料烧碱项目（二期）及2×25MW综合利用自备电厂环境影响后评价》中公司办公区监测点位（G2）的空气质量现状监测数据，引用监测点位（公司办公区）位于项目区西南侧700m。本项目引用的现状监测点具备类比条件，数据在技术指南要求的“近三年”时限内，属于有效数据，故本项目空气质量现状评价引用的数据具有时效性和代表性引用项目监测点位布设见表3-1，本项目与引用监测点位位置关系如下图3-1。</w:t>
            </w:r>
          </w:p>
          <w:p>
            <w:pPr>
              <w:pStyle w:val="55"/>
              <w:rPr>
                <w:color w:val="000000" w:themeColor="text1"/>
                <w14:textFill>
                  <w14:solidFill>
                    <w14:schemeClr w14:val="tx1"/>
                  </w14:solidFill>
                </w14:textFill>
              </w:rPr>
            </w:pPr>
            <w:r>
              <w:rPr>
                <w:rFonts w:hint="eastAsia"/>
                <w:color w:val="000000" w:themeColor="text1"/>
                <w14:textFill>
                  <w14:solidFill>
                    <w14:schemeClr w14:val="tx1"/>
                  </w14:solidFill>
                </w14:textFill>
              </w:rPr>
              <w:t>表3-1 监测点位基本信息</w:t>
            </w:r>
          </w:p>
          <w:tbl>
            <w:tblPr>
              <w:tblStyle w:val="23"/>
              <w:tblW w:w="783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007"/>
              <w:gridCol w:w="1059"/>
              <w:gridCol w:w="1126"/>
              <w:gridCol w:w="1266"/>
              <w:gridCol w:w="1119"/>
              <w:gridCol w:w="1155"/>
              <w:gridCol w:w="11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trHeight w:val="23" w:hRule="atLeast"/>
              </w:trPr>
              <w:tc>
                <w:tcPr>
                  <w:tcW w:w="1007"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监测点名称</w:t>
                  </w:r>
                </w:p>
              </w:tc>
              <w:tc>
                <w:tcPr>
                  <w:tcW w:w="2185" w:type="dxa"/>
                  <w:gridSpan w:val="2"/>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监测点位坐标</w:t>
                  </w:r>
                </w:p>
              </w:tc>
              <w:tc>
                <w:tcPr>
                  <w:tcW w:w="1266"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监测因子</w:t>
                  </w:r>
                </w:p>
              </w:tc>
              <w:tc>
                <w:tcPr>
                  <w:tcW w:w="1119"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监测时段</w:t>
                  </w:r>
                </w:p>
              </w:tc>
              <w:tc>
                <w:tcPr>
                  <w:tcW w:w="1155"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相对</w:t>
                  </w:r>
                  <w:r>
                    <w:rPr>
                      <w:rFonts w:hint="eastAsia"/>
                      <w:b w:val="0"/>
                      <w:color w:val="000000" w:themeColor="text1"/>
                      <w14:textFill>
                        <w14:solidFill>
                          <w14:schemeClr w14:val="tx1"/>
                        </w14:solidFill>
                      </w14:textFill>
                    </w:rPr>
                    <w:t>本项目</w:t>
                  </w:r>
                  <w:r>
                    <w:rPr>
                      <w:b w:val="0"/>
                      <w:color w:val="000000" w:themeColor="text1"/>
                      <w14:textFill>
                        <w14:solidFill>
                          <w14:schemeClr w14:val="tx1"/>
                        </w14:solidFill>
                      </w14:textFill>
                    </w:rPr>
                    <w:t>厂址方位</w:t>
                  </w:r>
                </w:p>
              </w:tc>
              <w:tc>
                <w:tcPr>
                  <w:tcW w:w="1103" w:type="dxa"/>
                  <w:vMerge w:val="restart"/>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相对</w:t>
                  </w:r>
                  <w:r>
                    <w:rPr>
                      <w:rFonts w:hint="eastAsia"/>
                      <w:b w:val="0"/>
                      <w:color w:val="000000" w:themeColor="text1"/>
                      <w14:textFill>
                        <w14:solidFill>
                          <w14:schemeClr w14:val="tx1"/>
                        </w14:solidFill>
                      </w14:textFill>
                    </w:rPr>
                    <w:t>本项目</w:t>
                  </w:r>
                  <w:r>
                    <w:rPr>
                      <w:b w:val="0"/>
                      <w:color w:val="000000" w:themeColor="text1"/>
                      <w14:textFill>
                        <w14:solidFill>
                          <w14:schemeClr w14:val="tx1"/>
                        </w14:solidFill>
                      </w14:textFill>
                    </w:rPr>
                    <w:t>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trHeight w:val="23" w:hRule="atLeast"/>
              </w:trPr>
              <w:tc>
                <w:tcPr>
                  <w:tcW w:w="1007" w:type="dxa"/>
                  <w:vMerge w:val="continue"/>
                  <w:tcBorders>
                    <w:tl2br w:val="nil"/>
                    <w:tr2bl w:val="nil"/>
                  </w:tcBorders>
                  <w:shd w:val="clear" w:color="auto" w:fill="auto"/>
                  <w:vAlign w:val="center"/>
                </w:tcPr>
                <w:p>
                  <w:pPr>
                    <w:pStyle w:val="71"/>
                    <w:rPr>
                      <w:b w:val="0"/>
                      <w:color w:val="000000" w:themeColor="text1"/>
                      <w14:textFill>
                        <w14:solidFill>
                          <w14:schemeClr w14:val="tx1"/>
                        </w14:solidFill>
                      </w14:textFill>
                    </w:rPr>
                  </w:pPr>
                </w:p>
              </w:tc>
              <w:tc>
                <w:tcPr>
                  <w:tcW w:w="1059" w:type="dxa"/>
                  <w:tcBorders>
                    <w:tl2br w:val="nil"/>
                    <w:tr2bl w:val="nil"/>
                  </w:tcBorders>
                  <w:shd w:val="clear" w:color="auto" w:fill="auto"/>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E</w:t>
                  </w:r>
                </w:p>
              </w:tc>
              <w:tc>
                <w:tcPr>
                  <w:tcW w:w="1126" w:type="dxa"/>
                  <w:tcBorders>
                    <w:tl2br w:val="nil"/>
                    <w:tr2bl w:val="nil"/>
                  </w:tcBorders>
                  <w:shd w:val="clear" w:color="auto" w:fill="auto"/>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N</w:t>
                  </w:r>
                </w:p>
              </w:tc>
              <w:tc>
                <w:tcPr>
                  <w:tcW w:w="1266" w:type="dxa"/>
                  <w:vMerge w:val="continue"/>
                  <w:tcBorders>
                    <w:tl2br w:val="nil"/>
                    <w:tr2bl w:val="nil"/>
                  </w:tcBorders>
                  <w:shd w:val="clear" w:color="auto" w:fill="auto"/>
                  <w:vAlign w:val="center"/>
                </w:tcPr>
                <w:p>
                  <w:pPr>
                    <w:pStyle w:val="71"/>
                    <w:rPr>
                      <w:b w:val="0"/>
                      <w:color w:val="000000" w:themeColor="text1"/>
                      <w14:textFill>
                        <w14:solidFill>
                          <w14:schemeClr w14:val="tx1"/>
                        </w14:solidFill>
                      </w14:textFill>
                    </w:rPr>
                  </w:pPr>
                </w:p>
              </w:tc>
              <w:tc>
                <w:tcPr>
                  <w:tcW w:w="1119" w:type="dxa"/>
                  <w:vMerge w:val="continue"/>
                  <w:tcBorders>
                    <w:tl2br w:val="nil"/>
                    <w:tr2bl w:val="nil"/>
                  </w:tcBorders>
                  <w:shd w:val="clear" w:color="auto" w:fill="auto"/>
                  <w:vAlign w:val="center"/>
                </w:tcPr>
                <w:p>
                  <w:pPr>
                    <w:pStyle w:val="71"/>
                    <w:rPr>
                      <w:b w:val="0"/>
                      <w:color w:val="000000" w:themeColor="text1"/>
                      <w14:textFill>
                        <w14:solidFill>
                          <w14:schemeClr w14:val="tx1"/>
                        </w14:solidFill>
                      </w14:textFill>
                    </w:rPr>
                  </w:pPr>
                </w:p>
              </w:tc>
              <w:tc>
                <w:tcPr>
                  <w:tcW w:w="1155" w:type="dxa"/>
                  <w:vMerge w:val="continue"/>
                  <w:tcBorders>
                    <w:tl2br w:val="nil"/>
                    <w:tr2bl w:val="nil"/>
                  </w:tcBorders>
                  <w:shd w:val="clear" w:color="000000" w:fill="FFFFFF"/>
                  <w:vAlign w:val="center"/>
                </w:tcPr>
                <w:p>
                  <w:pPr>
                    <w:pStyle w:val="71"/>
                    <w:rPr>
                      <w:b w:val="0"/>
                      <w:color w:val="000000" w:themeColor="text1"/>
                      <w14:textFill>
                        <w14:solidFill>
                          <w14:schemeClr w14:val="tx1"/>
                        </w14:solidFill>
                      </w14:textFill>
                    </w:rPr>
                  </w:pPr>
                </w:p>
              </w:tc>
              <w:tc>
                <w:tcPr>
                  <w:tcW w:w="1103" w:type="dxa"/>
                  <w:vMerge w:val="continue"/>
                  <w:tcBorders>
                    <w:tl2br w:val="nil"/>
                    <w:tr2bl w:val="nil"/>
                  </w:tcBorders>
                  <w:vAlign w:val="center"/>
                </w:tcPr>
                <w:p>
                  <w:pPr>
                    <w:pStyle w:val="71"/>
                    <w:rPr>
                      <w:b w:val="0"/>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Ex>
              <w:trPr>
                <w:trHeight w:val="23" w:hRule="atLeast"/>
              </w:trPr>
              <w:tc>
                <w:tcPr>
                  <w:tcW w:w="1007"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引用项目公司办公区</w:t>
                  </w:r>
                  <w:r>
                    <w:rPr>
                      <w:b w:val="0"/>
                      <w:color w:val="000000" w:themeColor="text1"/>
                      <w14:textFill>
                        <w14:solidFill>
                          <w14:schemeClr w14:val="tx1"/>
                        </w14:solidFill>
                      </w14:textFill>
                    </w:rPr>
                    <w:t>（G</w:t>
                  </w:r>
                  <w:r>
                    <w:rPr>
                      <w:rFonts w:hint="eastAsia"/>
                      <w:b w:val="0"/>
                      <w:color w:val="000000" w:themeColor="text1"/>
                      <w14:textFill>
                        <w14:solidFill>
                          <w14:schemeClr w14:val="tx1"/>
                        </w14:solidFill>
                      </w14:textFill>
                    </w:rPr>
                    <w:t>2</w:t>
                  </w:r>
                  <w:r>
                    <w:rPr>
                      <w:b w:val="0"/>
                      <w:color w:val="000000" w:themeColor="text1"/>
                      <w14:textFill>
                        <w14:solidFill>
                          <w14:schemeClr w14:val="tx1"/>
                        </w14:solidFill>
                      </w14:textFill>
                    </w:rPr>
                    <w:t>）</w:t>
                  </w:r>
                </w:p>
              </w:tc>
              <w:tc>
                <w:tcPr>
                  <w:tcW w:w="1059"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103°11′10.574″</w:t>
                  </w:r>
                </w:p>
              </w:tc>
              <w:tc>
                <w:tcPr>
                  <w:tcW w:w="1126"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25°33′33.457″</w:t>
                  </w:r>
                </w:p>
              </w:tc>
              <w:tc>
                <w:tcPr>
                  <w:tcW w:w="1266" w:type="dxa"/>
                  <w:tcBorders>
                    <w:tl2br w:val="nil"/>
                    <w:tr2bl w:val="nil"/>
                  </w:tcBorders>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TSP</w:t>
                  </w:r>
                </w:p>
              </w:tc>
              <w:tc>
                <w:tcPr>
                  <w:tcW w:w="1119"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2023.11.30</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2023.12.6</w:t>
                  </w:r>
                </w:p>
              </w:tc>
              <w:tc>
                <w:tcPr>
                  <w:tcW w:w="1155"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西南侧</w:t>
                  </w:r>
                </w:p>
              </w:tc>
              <w:tc>
                <w:tcPr>
                  <w:tcW w:w="1103" w:type="dxa"/>
                  <w:tcBorders>
                    <w:tl2br w:val="nil"/>
                    <w:tr2bl w:val="nil"/>
                  </w:tcBorders>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700</w:t>
                  </w:r>
                </w:p>
              </w:tc>
            </w:tr>
          </w:tbl>
          <w:p>
            <w:pPr>
              <w:rPr>
                <w:color w:val="000000" w:themeColor="text1"/>
                <w14:textFill>
                  <w14:solidFill>
                    <w14:schemeClr w14:val="tx1"/>
                  </w14:solidFill>
                </w14:textFill>
              </w:rPr>
            </w:pPr>
          </w:p>
          <w:tbl>
            <w:tblPr>
              <w:tblStyle w:val="24"/>
              <w:tblW w:w="7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0" w:hRule="atLeast"/>
              </w:trPr>
              <w:tc>
                <w:tcPr>
                  <w:tcW w:w="7835" w:type="dxa"/>
                  <w:vAlign w:val="center"/>
                </w:tcPr>
                <w:p>
                  <w:pPr>
                    <w:pStyle w:val="71"/>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1779270</wp:posOffset>
                            </wp:positionH>
                            <wp:positionV relativeFrom="paragraph">
                              <wp:posOffset>1579245</wp:posOffset>
                            </wp:positionV>
                            <wp:extent cx="910590" cy="338455"/>
                            <wp:effectExtent l="0" t="0" r="0" b="0"/>
                            <wp:wrapNone/>
                            <wp:docPr id="8" name="文本框 8"/>
                            <wp:cNvGraphicFramePr/>
                            <a:graphic xmlns:a="http://schemas.openxmlformats.org/drawingml/2006/main">
                              <a:graphicData uri="http://schemas.microsoft.com/office/word/2010/wordprocessingShape">
                                <wps:wsp>
                                  <wps:cNvSpPr txBox="1"/>
                                  <wps:spPr>
                                    <a:xfrm>
                                      <a:off x="2982595" y="5492115"/>
                                      <a:ext cx="91059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sz w:val="28"/>
                                            <w:szCs w:val="28"/>
                                          </w:rPr>
                                        </w:pPr>
                                        <w:r>
                                          <w:rPr>
                                            <w:rFonts w:hint="eastAsia"/>
                                            <w:color w:val="FF0000"/>
                                            <w:sz w:val="28"/>
                                            <w:szCs w:val="28"/>
                                          </w:rPr>
                                          <w:t>700m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124.35pt;height:26.65pt;width:71.7pt;z-index:251660288;mso-width-relative:page;mso-height-relative:page;" filled="f" stroked="f" coordsize="21600,21600" o:gfxdata="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05SFLcAAAACwEAAA8AAAAAAAAAAQAgAAAAIgAAAGRycy9kb3ducmV2LnhtbFBL&#10;AQIUABQAAAAIAIdO4kC+ZRGRKwIAACMEAAAOAAAAAAAAAAEAIAAAACsBAABkcnMvZTJvRG9jLnht&#10;bFBLBQYAAAAABgAGAFkBAADIBQAAAAA=&#10;">
                            <v:fill on="f" focussize="0,0"/>
                            <v:stroke on="f" weight="0.5pt"/>
                            <v:imagedata o:title=""/>
                            <o:lock v:ext="edit" aspectratio="f"/>
                            <v:textbox>
                              <w:txbxContent>
                                <w:p>
                                  <w:pPr>
                                    <w:rPr>
                                      <w:color w:val="FF0000"/>
                                      <w:sz w:val="28"/>
                                      <w:szCs w:val="28"/>
                                    </w:rPr>
                                  </w:pPr>
                                  <w:r>
                                    <w:rPr>
                                      <w:rFonts w:hint="eastAsia"/>
                                      <w:color w:val="FF0000"/>
                                      <w:sz w:val="28"/>
                                      <w:szCs w:val="28"/>
                                    </w:rPr>
                                    <w:t>700m</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340360</wp:posOffset>
                            </wp:positionV>
                            <wp:extent cx="2740660" cy="3143250"/>
                            <wp:effectExtent l="9525" t="0" r="12065" b="19050"/>
                            <wp:wrapNone/>
                            <wp:docPr id="7" name="直接箭头连接符 7"/>
                            <wp:cNvGraphicFramePr/>
                            <a:graphic xmlns:a="http://schemas.openxmlformats.org/drawingml/2006/main">
                              <a:graphicData uri="http://schemas.microsoft.com/office/word/2010/wordprocessingShape">
                                <wps:wsp>
                                  <wps:cNvCnPr/>
                                  <wps:spPr>
                                    <a:xfrm flipV="1">
                                      <a:off x="1765935" y="4274820"/>
                                      <a:ext cx="2740660" cy="31432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1pt;margin-top:26.8pt;height:247.5pt;width:215.8pt;z-index:251659264;mso-width-relative:page;mso-height-relative:page;" filled="f" stroked="t" coordsize="21600,21600" o:gfxdata="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rGJDHYAAAACQEAAA8AAAAAAAAAAQAgAAAAIgAAAGRycy9kb3ducmV2LnhtbFBL&#10;AQIUABQAAAAIAIdO4kBvez4e9gEAAJYDAAAOAAAAAAAAAAEAIAAAACcBAABkcnMvZTJvRG9jLnht&#10;bFBLBQYAAAAABgAGAFkBAACPBQAAAAA=&#10;">
                            <v:fill on="f" focussize="0,0"/>
                            <v:stroke weight="2pt" color="#FF0000 [3204]" joinstyle="round" endarrow="open"/>
                            <v:imagedata o:title=""/>
                            <o:lock v:ext="edit" aspectratio="f"/>
                          </v:shape>
                        </w:pict>
                      </mc:Fallback>
                    </mc:AlternateContent>
                  </w:r>
                  <w:r>
                    <w:rPr>
                      <w:rFonts w:hint="eastAsia"/>
                      <w:color w:val="000000" w:themeColor="text1"/>
                      <w14:textFill>
                        <w14:solidFill>
                          <w14:schemeClr w14:val="tx1"/>
                        </w14:solidFill>
                      </w14:textFill>
                    </w:rPr>
                    <w:drawing>
                      <wp:inline distT="0" distB="0" distL="114300" distR="114300">
                        <wp:extent cx="4834890" cy="3898265"/>
                        <wp:effectExtent l="0" t="0" r="3810" b="6985"/>
                        <wp:docPr id="6" name="图片 6" descr="0099971d-eaa5-4b1f-8b06-8b0528f01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99971d-eaa5-4b1f-8b06-8b0528f01ee8"/>
                                <pic:cNvPicPr>
                                  <a:picLocks noChangeAspect="1"/>
                                </pic:cNvPicPr>
                              </pic:nvPicPr>
                              <pic:blipFill>
                                <a:blip r:embed="rId22"/>
                                <a:stretch>
                                  <a:fillRect/>
                                </a:stretch>
                              </pic:blipFill>
                              <pic:spPr>
                                <a:xfrm>
                                  <a:off x="0" y="0"/>
                                  <a:ext cx="4834890" cy="3898265"/>
                                </a:xfrm>
                                <a:prstGeom prst="rect">
                                  <a:avLst/>
                                </a:prstGeom>
                              </pic:spPr>
                            </pic:pic>
                          </a:graphicData>
                        </a:graphic>
                      </wp:inline>
                    </w:drawing>
                  </w:r>
                </w:p>
              </w:tc>
            </w:tr>
          </w:tbl>
          <w:p>
            <w:pPr>
              <w:pStyle w:val="55"/>
              <w:rPr>
                <w:color w:val="000000" w:themeColor="text1"/>
                <w14:textFill>
                  <w14:solidFill>
                    <w14:schemeClr w14:val="tx1"/>
                  </w14:solidFill>
                </w14:textFill>
              </w:rPr>
            </w:pPr>
            <w:r>
              <w:rPr>
                <w:rFonts w:hint="eastAsia"/>
                <w:color w:val="000000" w:themeColor="text1"/>
                <w14:textFill>
                  <w14:solidFill>
                    <w14:schemeClr w14:val="tx1"/>
                  </w14:solidFill>
                </w14:textFill>
              </w:rPr>
              <w:t>图3-1  引用环境空气监测点位与本项目位置关系</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大气环境质量现状引用监测结果见下表。</w:t>
            </w:r>
          </w:p>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p>
          <w:p>
            <w:pPr>
              <w:pStyle w:val="55"/>
              <w:rPr>
                <w:color w:val="000000" w:themeColor="text1"/>
                <w14:textFill>
                  <w14:solidFill>
                    <w14:schemeClr w14:val="tx1"/>
                  </w14:solidFill>
                </w14:textFill>
              </w:rPr>
            </w:pPr>
            <w:r>
              <w:rPr>
                <w:rFonts w:hint="eastAsia"/>
                <w:color w:val="000000" w:themeColor="text1"/>
                <w14:textFill>
                  <w14:solidFill>
                    <w14:schemeClr w14:val="tx1"/>
                  </w14:solidFill>
                </w14:textFill>
              </w:rPr>
              <w:t>表3-2 TSP日均值现状监测结果   单位：ug/m</w:t>
            </w:r>
            <w:r>
              <w:rPr>
                <w:rFonts w:hint="eastAsia"/>
                <w:color w:val="000000" w:themeColor="text1"/>
                <w:vertAlign w:val="superscript"/>
                <w14:textFill>
                  <w14:solidFill>
                    <w14:schemeClr w14:val="tx1"/>
                  </w14:solidFill>
                </w14:textFill>
              </w:rPr>
              <w:t>3</w:t>
            </w:r>
          </w:p>
          <w:tbl>
            <w:tblPr>
              <w:tblStyle w:val="23"/>
              <w:tblW w:w="7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21"/>
              <w:gridCol w:w="1650"/>
              <w:gridCol w:w="1681"/>
              <w:gridCol w:w="1436"/>
              <w:gridCol w:w="962"/>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52" w:hRule="atLeast"/>
              </w:trPr>
              <w:tc>
                <w:tcPr>
                  <w:tcW w:w="1121" w:type="dxa"/>
                  <w:tcMar>
                    <w:left w:w="57" w:type="dxa"/>
                    <w:right w:w="57" w:type="dxa"/>
                  </w:tcMar>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检测点位</w:t>
                  </w: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检测日期</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采样</w:t>
                  </w:r>
                  <w:r>
                    <w:rPr>
                      <w:rFonts w:hint="eastAsia"/>
                      <w:b w:val="0"/>
                      <w:color w:val="000000" w:themeColor="text1"/>
                      <w14:textFill>
                        <w14:solidFill>
                          <w14:schemeClr w14:val="tx1"/>
                        </w14:solidFill>
                      </w14:textFill>
                    </w:rPr>
                    <w:t>时间</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检测结果</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标准</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restart"/>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G2：公司办公区</w:t>
                  </w: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2023-11-30</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221</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2023-12-01</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225</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2023-12-02</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237</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2023-12-03</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213</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2023-12-04</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219</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2023-12-05</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204</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69" w:hRule="atLeast"/>
              </w:trPr>
              <w:tc>
                <w:tcPr>
                  <w:tcW w:w="1121" w:type="dxa"/>
                  <w:vMerge w:val="continue"/>
                  <w:tcMar>
                    <w:left w:w="57" w:type="dxa"/>
                    <w:right w:w="57" w:type="dxa"/>
                  </w:tcMar>
                  <w:vAlign w:val="center"/>
                </w:tcPr>
                <w:p>
                  <w:pPr>
                    <w:pStyle w:val="71"/>
                    <w:rPr>
                      <w:b w:val="0"/>
                      <w:color w:val="000000" w:themeColor="text1"/>
                      <w14:textFill>
                        <w14:solidFill>
                          <w14:schemeClr w14:val="tx1"/>
                        </w14:solidFill>
                      </w14:textFill>
                    </w:rPr>
                  </w:pPr>
                </w:p>
              </w:tc>
              <w:tc>
                <w:tcPr>
                  <w:tcW w:w="1650"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2023-12-06</w:t>
                  </w:r>
                </w:p>
              </w:tc>
              <w:tc>
                <w:tcPr>
                  <w:tcW w:w="168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1436"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241</w:t>
                  </w:r>
                </w:p>
              </w:tc>
              <w:tc>
                <w:tcPr>
                  <w:tcW w:w="962"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1111" w:type="dxa"/>
                  <w:tcMar>
                    <w:left w:w="57" w:type="dxa"/>
                    <w:right w:w="57" w:type="dxa"/>
                  </w:tcMar>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根据引用监测结果可知，引用监测点TSP日均值浓度能够达到《环境空气质量标准》（GB3095-2012）二级评价标准要求。项目区环境空气质量满足功能区要求。</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2、地表水环境质量现状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项目距离最近的地表水体为北侧1200m处的谓所河，该河经暗河进入三月三水库再流入前进河最终汇入牛栏江，根据支流水质不低于干流水质的原则，谓所河执行执行《地表水环境质量标准》（GB 3838-2002）Ⅲ类水质标准。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涉及的地表水体为牛栏江。根据《昆明市和滇中产业新区水功能区划》（2011-2030版），三月三水库至入牛栏江口为前进河寻甸农业用水区，现状水质为Ⅳ类，2030年水质目标为Ⅲ类，执行《地表水环境质量标准》（GB 3838-2002）Ⅲ类水质标准。根据“寻甸县2024年第一季度至第四季度环境质量公报”显示：前进河哦嘎电站断面水质达到《地表水环境质量标准》（GB3838-2002）Ⅲ类水质量标准，能够满足水质目标要求。</w:t>
            </w:r>
          </w:p>
          <w:p>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3、声环境质量现状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本项目位于云南寻甸产业园区金所片区，根据园区环境保护规划，项目所在区域属于3类声环境功能区，因此评价区域执行《声环境质量标准》（GB3096-2008）3类标准。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根据《建设项目环境影响报告表编制技术指南》（污染影响类）（试行）要求，厂界外周边 50m 范围内存在声环境保护目标的，需开展现状监测。根据现场踏勘，项目厂界周边 50m 范围内无声环境保护目标，最近距离的居民距本项目东面约257m，无需开展声环境质量现状监测。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项目区周边无较大规模的工业企业，区域声环境质量良好。</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4、土壤、地下水环境质量现状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本项目位于云南寻甸产业园区金所片区金所组团内，为有机肥料及微生物肥料制造。根据《建设项目环境影响报告表编制技术指南（污染影响类）》，原则上不开展土壤、地下水环境质量现状调查，</w:t>
            </w:r>
            <w:r>
              <w:rPr>
                <w:color w:val="000000" w:themeColor="text1"/>
                <w:kern w:val="0"/>
                <w:sz w:val="24"/>
                <w14:textFill>
                  <w14:solidFill>
                    <w14:schemeClr w14:val="tx1"/>
                  </w14:solidFill>
                </w14:textFill>
              </w:rPr>
              <w:t>建设项目存在土壤</w:t>
            </w:r>
            <w:r>
              <w:rPr>
                <w:rFonts w:hint="eastAsia"/>
                <w:color w:val="000000" w:themeColor="text1"/>
                <w:sz w:val="24"/>
                <w14:textFill>
                  <w14:solidFill>
                    <w14:schemeClr w14:val="tx1"/>
                  </w14:solidFill>
                </w14:textFill>
              </w:rPr>
              <w:t>、地下水</w:t>
            </w:r>
            <w:r>
              <w:rPr>
                <w:color w:val="000000" w:themeColor="text1"/>
                <w:kern w:val="0"/>
                <w:sz w:val="24"/>
                <w14:textFill>
                  <w14:solidFill>
                    <w14:schemeClr w14:val="tx1"/>
                  </w14:solidFill>
                </w14:textFill>
              </w:rPr>
              <w:t>环境污染途径的，应结合污染源、保护目标分布情况开展现状调查以留作背景值</w:t>
            </w:r>
            <w:r>
              <w:rPr>
                <w:rFonts w:hint="eastAsia"/>
                <w:color w:val="000000" w:themeColor="text1"/>
                <w:kern w:val="0"/>
                <w:sz w:val="24"/>
                <w14:textFill>
                  <w14:solidFill>
                    <w14:schemeClr w14:val="tx1"/>
                  </w14:solidFill>
                </w14:textFill>
              </w:rPr>
              <w:t>。</w:t>
            </w:r>
            <w:r>
              <w:rPr>
                <w:rFonts w:hint="eastAsia"/>
                <w:color w:val="000000" w:themeColor="text1"/>
                <w:sz w:val="24"/>
                <w14:textFill>
                  <w14:solidFill>
                    <w14:schemeClr w14:val="tx1"/>
                  </w14:solidFill>
                </w14:textFill>
              </w:rPr>
              <w:t>本项目厂区均进行硬化，且按照分区防渗的要求进行建设，项目不存在土壤、地下水环境污染途径，因此本项目可不开展土壤、地下水环境质量现状调查。</w:t>
            </w:r>
          </w:p>
          <w:p>
            <w:pPr>
              <w:adjustRightInd w:val="0"/>
              <w:snapToGrid w:val="0"/>
              <w:spacing w:line="360" w:lineRule="auto"/>
              <w:ind w:firstLine="482" w:firstLineChars="200"/>
              <w:rPr>
                <w:rFonts w:eastAsiaTheme="minorEastAsia"/>
                <w:b/>
                <w:bCs/>
                <w:color w:val="000000" w:themeColor="text1"/>
                <w:sz w:val="24"/>
                <w14:textFill>
                  <w14:solidFill>
                    <w14:schemeClr w14:val="tx1"/>
                  </w14:solidFill>
                </w14:textFill>
              </w:rPr>
            </w:pPr>
            <w:r>
              <w:rPr>
                <w:rFonts w:hint="eastAsia" w:eastAsiaTheme="minorEastAsia"/>
                <w:b/>
                <w:bCs/>
                <w:color w:val="000000" w:themeColor="text1"/>
                <w:sz w:val="24"/>
                <w14:textFill>
                  <w14:solidFill>
                    <w14:schemeClr w14:val="tx1"/>
                  </w14:solidFill>
                </w14:textFill>
              </w:rPr>
              <w:t>5、生态环境质量现状</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项目所在区域为规划的工业园区，区域现状主要为水泥路面和人工绿化植被，无天然植被，生态环境自我调节能力低。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p>
          <w:p>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eastAsiaTheme="minorEastAsia"/>
                <w:color w:val="000000" w:themeColor="text1"/>
                <w:sz w:val="24"/>
                <w:lang w:val="zh-CN"/>
                <w14:textFill>
                  <w14:solidFill>
                    <w14:schemeClr w14:val="tx1"/>
                  </w14:solidFill>
                </w14:textFill>
              </w:rPr>
              <w:t>总体来说，评价区域地表植被覆盖率一般，野生动物种类及数量均较少，无珍稀动植物种分布，评价区域生态环境质量较差，自身调节能力差，主要受人为因素控制。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jc w:val="center"/>
        </w:trPr>
        <w:tc>
          <w:tcPr>
            <w:tcW w:w="800"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190" w:type="dxa"/>
            <w:vAlign w:val="center"/>
          </w:tcPr>
          <w:p>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大气环境保护目标：大气环境评价范围为厂界外500m范围；</w:t>
            </w:r>
          </w:p>
          <w:p>
            <w:pPr>
              <w:tabs>
                <w:tab w:val="left" w:pos="4200"/>
              </w:tabs>
              <w:spacing w:line="360" w:lineRule="auto"/>
              <w:ind w:firstLine="480" w:firstLineChars="200"/>
              <w:rPr>
                <w:color w:val="000000" w:themeColor="text1"/>
                <w14:textFill>
                  <w14:solidFill>
                    <w14:schemeClr w14:val="tx1"/>
                  </w14:solidFill>
                </w14:textFill>
              </w:rPr>
            </w:pPr>
            <w:r>
              <w:rPr>
                <w:color w:val="000000" w:themeColor="text1"/>
                <w:sz w:val="24"/>
                <w:szCs w:val="22"/>
                <w14:textFill>
                  <w14:solidFill>
                    <w14:schemeClr w14:val="tx1"/>
                  </w14:solidFill>
                </w14:textFill>
              </w:rPr>
              <w:t>声环境保护目标：声环境评价范围为建设项目厂界外50m范围；</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地表水环境：</w:t>
            </w:r>
            <w:r>
              <w:rPr>
                <w:color w:val="000000" w:themeColor="text1"/>
                <w:sz w:val="24"/>
                <w14:textFill>
                  <w14:solidFill>
                    <w14:schemeClr w14:val="tx1"/>
                  </w14:solidFill>
                </w14:textFill>
              </w:rPr>
              <w:t>本项目所在区域主要地表水体为项目</w:t>
            </w:r>
            <w:r>
              <w:rPr>
                <w:rFonts w:hint="eastAsia"/>
                <w:color w:val="000000" w:themeColor="text1"/>
                <w:sz w:val="24"/>
                <w14:textFill>
                  <w14:solidFill>
                    <w14:schemeClr w14:val="tx1"/>
                  </w14:solidFill>
                </w14:textFill>
              </w:rPr>
              <w:t>北侧1200m</w:t>
            </w:r>
            <w:r>
              <w:rPr>
                <w:color w:val="000000" w:themeColor="text1"/>
                <w:sz w:val="24"/>
                <w14:textFill>
                  <w14:solidFill>
                    <w14:schemeClr w14:val="tx1"/>
                  </w14:solidFill>
                </w14:textFill>
              </w:rPr>
              <w:t>处的</w:t>
            </w:r>
            <w:r>
              <w:rPr>
                <w:rFonts w:hint="eastAsia"/>
                <w:color w:val="000000" w:themeColor="text1"/>
                <w:sz w:val="24"/>
                <w14:textFill>
                  <w14:solidFill>
                    <w14:schemeClr w14:val="tx1"/>
                  </w14:solidFill>
                </w14:textFill>
              </w:rPr>
              <w:t>谓所河</w:t>
            </w:r>
            <w:r>
              <w:rPr>
                <w:color w:val="000000" w:themeColor="text1"/>
                <w:kern w:val="0"/>
                <w:sz w:val="24"/>
                <w14:textFill>
                  <w14:solidFill>
                    <w14:schemeClr w14:val="tx1"/>
                  </w14:solidFill>
                </w14:textFill>
              </w:rPr>
              <w:t>。项目所在段不存在《环境影响评价技术导则地表水环境》（HJ2.3-2018）中的地表水环境保护目标（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color w:val="000000" w:themeColor="text1"/>
                <w:kern w:val="0"/>
                <w:sz w:val="24"/>
                <w14:textFill>
                  <w14:solidFill>
                    <w14:schemeClr w14:val="tx1"/>
                  </w14:solidFill>
                </w14:textFill>
              </w:rPr>
              <w:t>。</w:t>
            </w:r>
          </w:p>
          <w:p>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地下水环境：厂界外500m范围内无地下水集中式饮用水源和热水、矿泉水、温泉等特殊地下水敏感目标；</w:t>
            </w:r>
          </w:p>
          <w:p>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生态环境：项目在工业园区内，不新增用地，无生态环境保护目标。</w:t>
            </w:r>
          </w:p>
          <w:p>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主要环境保护目标详见表3-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保护目标分布图</w:t>
            </w:r>
            <w:r>
              <w:rPr>
                <w:color w:val="000000" w:themeColor="text1"/>
                <w14:textFill>
                  <w14:solidFill>
                    <w14:schemeClr w14:val="tx1"/>
                  </w14:solidFill>
                </w14:textFill>
              </w:rPr>
              <w:t>详见附图</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项目周边环境保护目标一览表</w:t>
            </w:r>
          </w:p>
          <w:tbl>
            <w:tblPr>
              <w:tblStyle w:val="23"/>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715"/>
              <w:gridCol w:w="1385"/>
              <w:gridCol w:w="1131"/>
              <w:gridCol w:w="773"/>
              <w:gridCol w:w="471"/>
              <w:gridCol w:w="877"/>
              <w:gridCol w:w="1148"/>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类别</w:t>
                  </w:r>
                </w:p>
              </w:tc>
              <w:tc>
                <w:tcPr>
                  <w:tcW w:w="715"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保护</w:t>
                  </w:r>
                </w:p>
                <w:p>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目标</w:t>
                  </w:r>
                </w:p>
              </w:tc>
              <w:tc>
                <w:tcPr>
                  <w:tcW w:w="328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经纬度</w:t>
                  </w:r>
                </w:p>
              </w:tc>
              <w:tc>
                <w:tcPr>
                  <w:tcW w:w="471"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方位</w:t>
                  </w:r>
                </w:p>
              </w:tc>
              <w:tc>
                <w:tcPr>
                  <w:tcW w:w="877"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与本项目的相对距离（m）</w:t>
                  </w:r>
                </w:p>
              </w:tc>
              <w:tc>
                <w:tcPr>
                  <w:tcW w:w="1148"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保护对象及人数（人）</w:t>
                  </w:r>
                </w:p>
              </w:tc>
              <w:tc>
                <w:tcPr>
                  <w:tcW w:w="1003"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color w:val="000000" w:themeColor="text1"/>
                      <w:szCs w:val="21"/>
                      <w14:textFill>
                        <w14:solidFill>
                          <w14:schemeClr w14:val="tx1"/>
                        </w14:solidFill>
                      </w14:textFill>
                    </w:rPr>
                  </w:pPr>
                </w:p>
              </w:tc>
              <w:tc>
                <w:tcPr>
                  <w:tcW w:w="715"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color w:val="000000" w:themeColor="text1"/>
                      <w:szCs w:val="21"/>
                      <w14:textFill>
                        <w14:solidFill>
                          <w14:schemeClr w14:val="tx1"/>
                        </w14:solidFill>
                      </w14:textFill>
                    </w:rPr>
                  </w:pPr>
                </w:p>
              </w:tc>
              <w:tc>
                <w:tcPr>
                  <w:tcW w:w="1385" w:type="dxa"/>
                  <w:tcBorders>
                    <w:top w:val="single" w:color="auto" w:sz="4" w:space="0"/>
                    <w:left w:val="single" w:color="auto" w:sz="4" w:space="0"/>
                    <w:bottom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经度</w:t>
                  </w:r>
                  <w:r>
                    <w:rPr>
                      <w:rFonts w:hint="eastAsia"/>
                      <w:bCs/>
                      <w:color w:val="000000" w:themeColor="text1"/>
                      <w:spacing w:val="-10"/>
                      <w:szCs w:val="21"/>
                      <w14:textFill>
                        <w14:solidFill>
                          <w14:schemeClr w14:val="tx1"/>
                        </w14:solidFill>
                      </w14:textFill>
                    </w:rPr>
                    <w:t>（</w:t>
                  </w:r>
                  <w:r>
                    <w:rPr>
                      <w:bCs/>
                      <w:color w:val="000000" w:themeColor="text1"/>
                      <w:spacing w:val="-10"/>
                      <w:szCs w:val="21"/>
                      <w14:textFill>
                        <w14:solidFill>
                          <w14:schemeClr w14:val="tx1"/>
                        </w14:solidFill>
                      </w14:textFill>
                    </w:rPr>
                    <w:t>°</w:t>
                  </w:r>
                  <w:r>
                    <w:rPr>
                      <w:rFonts w:hint="eastAsia"/>
                      <w:bCs/>
                      <w:color w:val="000000" w:themeColor="text1"/>
                      <w:spacing w:val="-10"/>
                      <w:szCs w:val="21"/>
                      <w14:textFill>
                        <w14:solidFill>
                          <w14:schemeClr w14:val="tx1"/>
                        </w14:solidFill>
                      </w14:textFill>
                    </w:rPr>
                    <w:t>）</w:t>
                  </w:r>
                </w:p>
              </w:tc>
              <w:tc>
                <w:tcPr>
                  <w:tcW w:w="1131" w:type="dxa"/>
                  <w:tcBorders>
                    <w:top w:val="single" w:color="auto" w:sz="4" w:space="0"/>
                    <w:left w:val="single" w:color="auto" w:sz="4" w:space="0"/>
                    <w:bottom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纬度</w:t>
                  </w:r>
                  <w:r>
                    <w:rPr>
                      <w:rFonts w:hint="eastAsia"/>
                      <w:bCs/>
                      <w:color w:val="000000" w:themeColor="text1"/>
                      <w:spacing w:val="-10"/>
                      <w:szCs w:val="21"/>
                      <w14:textFill>
                        <w14:solidFill>
                          <w14:schemeClr w14:val="tx1"/>
                        </w14:solidFill>
                      </w14:textFill>
                    </w:rPr>
                    <w:t>（</w:t>
                  </w:r>
                  <w:r>
                    <w:rPr>
                      <w:bCs/>
                      <w:color w:val="000000" w:themeColor="text1"/>
                      <w:spacing w:val="-10"/>
                      <w:szCs w:val="21"/>
                      <w14:textFill>
                        <w14:solidFill>
                          <w14:schemeClr w14:val="tx1"/>
                        </w14:solidFill>
                      </w14:textFill>
                    </w:rPr>
                    <w:t>°</w:t>
                  </w:r>
                  <w:r>
                    <w:rPr>
                      <w:rFonts w:hint="eastAsia"/>
                      <w:bCs/>
                      <w:color w:val="000000" w:themeColor="text1"/>
                      <w:spacing w:val="-10"/>
                      <w:szCs w:val="21"/>
                      <w14:textFill>
                        <w14:solidFill>
                          <w14:schemeClr w14:val="tx1"/>
                        </w14:solidFill>
                      </w14:textFill>
                    </w:rPr>
                    <w:t>）</w:t>
                  </w:r>
                </w:p>
              </w:tc>
              <w:tc>
                <w:tcPr>
                  <w:tcW w:w="773" w:type="dxa"/>
                  <w:tcBorders>
                    <w:top w:val="single" w:color="auto" w:sz="4" w:space="0"/>
                    <w:left w:val="single" w:color="auto" w:sz="4" w:space="0"/>
                    <w:bottom w:val="single" w:color="auto" w:sz="4" w:space="0"/>
                    <w:right w:val="single" w:color="auto" w:sz="4" w:space="0"/>
                  </w:tcBorders>
                  <w:vAlign w:val="center"/>
                </w:tcPr>
                <w:p>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高程(m)</w:t>
                  </w:r>
                </w:p>
              </w:tc>
              <w:tc>
                <w:tcPr>
                  <w:tcW w:w="471"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b/>
                      <w:color w:val="000000" w:themeColor="text1"/>
                      <w:spacing w:val="-10"/>
                      <w:szCs w:val="21"/>
                      <w14:textFill>
                        <w14:solidFill>
                          <w14:schemeClr w14:val="tx1"/>
                        </w14:solidFill>
                      </w14:textFill>
                    </w:rPr>
                  </w:pPr>
                </w:p>
              </w:tc>
              <w:tc>
                <w:tcPr>
                  <w:tcW w:w="877"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b/>
                      <w:color w:val="000000" w:themeColor="text1"/>
                      <w:spacing w:val="-10"/>
                      <w:szCs w:val="21"/>
                      <w14:textFill>
                        <w14:solidFill>
                          <w14:schemeClr w14:val="tx1"/>
                        </w14:solidFill>
                      </w14:textFill>
                    </w:rPr>
                  </w:pPr>
                </w:p>
              </w:tc>
              <w:tc>
                <w:tcPr>
                  <w:tcW w:w="1148"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b/>
                      <w:color w:val="000000" w:themeColor="text1"/>
                      <w:spacing w:val="-10"/>
                      <w:szCs w:val="21"/>
                      <w14:textFill>
                        <w14:solidFill>
                          <w14:schemeClr w14:val="tx1"/>
                        </w14:solidFill>
                      </w14:textFill>
                    </w:rPr>
                  </w:pPr>
                </w:p>
              </w:tc>
              <w:tc>
                <w:tcPr>
                  <w:tcW w:w="1003" w:type="dxa"/>
                  <w:vMerge w:val="continue"/>
                  <w:tcBorders>
                    <w:left w:val="single" w:color="auto" w:sz="4" w:space="0"/>
                    <w:bottom w:val="single" w:color="auto" w:sz="4" w:space="0"/>
                    <w:right w:val="single" w:color="auto" w:sz="4" w:space="0"/>
                  </w:tcBorders>
                  <w:vAlign w:val="center"/>
                </w:tcPr>
                <w:p>
                  <w:pPr>
                    <w:autoSpaceDE w:val="0"/>
                    <w:autoSpaceDN w:val="0"/>
                    <w:contextualSpacing/>
                    <w:jc w:val="center"/>
                    <w:rPr>
                      <w:b/>
                      <w:color w:val="000000" w:themeColor="text1"/>
                      <w:spacing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pPr>
                    <w:autoSpaceDE w:val="0"/>
                    <w:autoSpaceDN w:val="0"/>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大气环境</w:t>
                  </w:r>
                </w:p>
              </w:tc>
              <w:tc>
                <w:tcPr>
                  <w:tcW w:w="71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散户1</w:t>
                  </w:r>
                </w:p>
              </w:tc>
              <w:tc>
                <w:tcPr>
                  <w:tcW w:w="138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2"/>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3.112485</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5.3404</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2012</w:t>
                  </w:r>
                </w:p>
              </w:tc>
              <w:tc>
                <w:tcPr>
                  <w:tcW w:w="471"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北面</w:t>
                  </w:r>
                </w:p>
              </w:tc>
              <w:tc>
                <w:tcPr>
                  <w:tcW w:w="877"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330</w:t>
                  </w: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村民，约</w:t>
                  </w:r>
                  <w:r>
                    <w:rPr>
                      <w:rFonts w:hint="eastAsia"/>
                      <w:color w:val="000000" w:themeColor="text1"/>
                      <w:szCs w:val="21"/>
                      <w14:textFill>
                        <w14:solidFill>
                          <w14:schemeClr w14:val="tx1"/>
                        </w14:solidFill>
                      </w14:textFill>
                    </w:rPr>
                    <w:t>2户7</w:t>
                  </w:r>
                  <w:r>
                    <w:rPr>
                      <w:color w:val="000000" w:themeColor="text1"/>
                      <w:szCs w:val="21"/>
                      <w14:textFill>
                        <w14:solidFill>
                          <w14:schemeClr w14:val="tx1"/>
                        </w14:solidFill>
                      </w14:textFill>
                    </w:rPr>
                    <w:t>人</w:t>
                  </w:r>
                </w:p>
              </w:tc>
              <w:tc>
                <w:tcPr>
                  <w:tcW w:w="1003" w:type="dxa"/>
                  <w:vMerge w:val="restart"/>
                  <w:tcBorders>
                    <w:top w:val="single" w:color="auto" w:sz="4" w:space="0"/>
                    <w:left w:val="single" w:color="auto" w:sz="4" w:space="0"/>
                    <w:right w:val="single" w:color="auto" w:sz="4" w:space="0"/>
                  </w:tcBorders>
                  <w:vAlign w:val="center"/>
                </w:tcPr>
                <w:p>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GB3095-2012《环境空气质量</w:t>
                  </w:r>
                </w:p>
                <w:p>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pPr>
                    <w:autoSpaceDE w:val="0"/>
                    <w:autoSpaceDN w:val="0"/>
                    <w:contextualSpacing/>
                    <w:jc w:val="center"/>
                    <w:rPr>
                      <w:color w:val="000000" w:themeColor="text1"/>
                      <w:spacing w:val="-10"/>
                      <w:szCs w:val="21"/>
                      <w14:textFill>
                        <w14:solidFill>
                          <w14:schemeClr w14:val="tx1"/>
                        </w14:solidFill>
                      </w14:textFill>
                    </w:rPr>
                  </w:pPr>
                </w:p>
              </w:tc>
              <w:tc>
                <w:tcPr>
                  <w:tcW w:w="71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散户2</w:t>
                  </w:r>
                </w:p>
              </w:tc>
              <w:tc>
                <w:tcPr>
                  <w:tcW w:w="138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3.113970</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5.3349</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2036</w:t>
                  </w:r>
                </w:p>
              </w:tc>
              <w:tc>
                <w:tcPr>
                  <w:tcW w:w="47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面</w:t>
                  </w:r>
                </w:p>
              </w:tc>
              <w:tc>
                <w:tcPr>
                  <w:tcW w:w="877"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257</w:t>
                  </w: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村民，约</w:t>
                  </w:r>
                  <w:r>
                    <w:rPr>
                      <w:rFonts w:hint="eastAsia"/>
                      <w:color w:val="000000" w:themeColor="text1"/>
                      <w:szCs w:val="21"/>
                      <w14:textFill>
                        <w14:solidFill>
                          <w14:schemeClr w14:val="tx1"/>
                        </w14:solidFill>
                      </w14:textFill>
                    </w:rPr>
                    <w:t>2户7</w:t>
                  </w:r>
                  <w:r>
                    <w:rPr>
                      <w:color w:val="000000" w:themeColor="text1"/>
                      <w:szCs w:val="21"/>
                      <w14:textFill>
                        <w14:solidFill>
                          <w14:schemeClr w14:val="tx1"/>
                        </w14:solidFill>
                      </w14:textFill>
                    </w:rPr>
                    <w:t>人</w:t>
                  </w:r>
                </w:p>
              </w:tc>
              <w:tc>
                <w:tcPr>
                  <w:tcW w:w="1003" w:type="dxa"/>
                  <w:vMerge w:val="continue"/>
                  <w:tcBorders>
                    <w:left w:val="single" w:color="auto" w:sz="4" w:space="0"/>
                    <w:right w:val="single" w:color="auto" w:sz="4" w:space="0"/>
                  </w:tcBorders>
                  <w:vAlign w:val="center"/>
                </w:tcPr>
                <w:p>
                  <w:pPr>
                    <w:tabs>
                      <w:tab w:val="center" w:pos="4153"/>
                      <w:tab w:val="right" w:pos="8306"/>
                    </w:tabs>
                    <w:contextualSpacing/>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pPr>
                    <w:autoSpaceDE w:val="0"/>
                    <w:autoSpaceDN w:val="0"/>
                    <w:contextualSpacing/>
                    <w:jc w:val="center"/>
                    <w:rPr>
                      <w:color w:val="000000" w:themeColor="text1"/>
                      <w:spacing w:val="-10"/>
                      <w:szCs w:val="21"/>
                      <w14:textFill>
                        <w14:solidFill>
                          <w14:schemeClr w14:val="tx1"/>
                        </w14:solidFill>
                      </w14:textFill>
                    </w:rPr>
                  </w:pPr>
                </w:p>
              </w:tc>
              <w:tc>
                <w:tcPr>
                  <w:tcW w:w="715"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竹沟</w:t>
                  </w:r>
                  <w:r>
                    <w:rPr>
                      <w:color w:val="000000" w:themeColor="text1"/>
                      <w:szCs w:val="21"/>
                      <w14:textFill>
                        <w14:solidFill>
                          <w14:schemeClr w14:val="tx1"/>
                        </w14:solidFill>
                      </w14:textFill>
                    </w:rPr>
                    <w:t>村</w:t>
                  </w:r>
                </w:p>
              </w:tc>
              <w:tc>
                <w:tcPr>
                  <w:tcW w:w="138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2"/>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3.113325</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25.3407</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2014</w:t>
                  </w:r>
                </w:p>
              </w:tc>
              <w:tc>
                <w:tcPr>
                  <w:tcW w:w="471"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面</w:t>
                  </w:r>
                </w:p>
              </w:tc>
              <w:tc>
                <w:tcPr>
                  <w:tcW w:w="877" w:type="dxa"/>
                  <w:tcBorders>
                    <w:top w:val="single" w:color="auto" w:sz="4" w:space="0"/>
                    <w:left w:val="single" w:color="auto" w:sz="4" w:space="0"/>
                    <w:bottom w:val="single" w:color="auto" w:sz="4" w:space="0"/>
                    <w:right w:val="single" w:color="auto" w:sz="4" w:space="0"/>
                  </w:tcBorders>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430</w:t>
                  </w:r>
                </w:p>
              </w:tc>
              <w:tc>
                <w:tcPr>
                  <w:tcW w:w="114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村民，约300人</w:t>
                  </w:r>
                </w:p>
              </w:tc>
              <w:tc>
                <w:tcPr>
                  <w:tcW w:w="1003" w:type="dxa"/>
                  <w:vMerge w:val="continue"/>
                  <w:tcBorders>
                    <w:left w:val="single" w:color="auto" w:sz="4" w:space="0"/>
                    <w:right w:val="single" w:color="auto" w:sz="4" w:space="0"/>
                  </w:tcBorders>
                  <w:vAlign w:val="center"/>
                </w:tcPr>
                <w:p>
                  <w:pPr>
                    <w:tabs>
                      <w:tab w:val="center" w:pos="4153"/>
                      <w:tab w:val="right" w:pos="8306"/>
                    </w:tabs>
                    <w:contextualSpacing/>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pPr>
                    <w:autoSpaceDE w:val="0"/>
                    <w:autoSpaceDN w:val="0"/>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地表水</w:t>
                  </w:r>
                </w:p>
              </w:tc>
              <w:tc>
                <w:tcPr>
                  <w:tcW w:w="715" w:type="dxa"/>
                  <w:tcBorders>
                    <w:top w:val="single" w:color="auto" w:sz="4" w:space="0"/>
                    <w:left w:val="single" w:color="auto" w:sz="4" w:space="0"/>
                    <w:bottom w:val="single" w:color="auto" w:sz="4" w:space="0"/>
                    <w:right w:val="single" w:color="auto" w:sz="4" w:space="0"/>
                  </w:tcBorders>
                  <w:vAlign w:val="center"/>
                </w:tcPr>
                <w:p>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谓所河</w:t>
                  </w:r>
                </w:p>
              </w:tc>
              <w:tc>
                <w:tcPr>
                  <w:tcW w:w="1385" w:type="dxa"/>
                  <w:tcBorders>
                    <w:top w:val="single" w:color="auto" w:sz="4" w:space="0"/>
                    <w:left w:val="single" w:color="auto" w:sz="4" w:space="0"/>
                    <w:bottom w:val="single" w:color="auto" w:sz="4" w:space="0"/>
                    <w:right w:val="single" w:color="auto" w:sz="4" w:space="0"/>
                  </w:tcBorders>
                  <w:vAlign w:val="center"/>
                </w:tcPr>
                <w:p>
                  <w:pPr>
                    <w:pStyle w:val="19"/>
                    <w:spacing w:before="0" w:beforeAutospacing="0" w:after="0" w:afterAutospacing="0"/>
                    <w:jc w:val="center"/>
                    <w:rPr>
                      <w:rFonts w:ascii="Times New Roman" w:hAnsi="Times New Roman"/>
                      <w:color w:val="000000" w:themeColor="text1"/>
                      <w:kern w:val="2"/>
                      <w:sz w:val="21"/>
                      <w:szCs w:val="22"/>
                      <w14:textFill>
                        <w14:solidFill>
                          <w14:schemeClr w14:val="tx1"/>
                        </w14:solidFill>
                      </w14:textFill>
                    </w:rPr>
                  </w:pPr>
                  <w:r>
                    <w:rPr>
                      <w:rFonts w:hint="eastAsia" w:ascii="Times New Roman" w:hAnsi="Times New Roman"/>
                      <w:color w:val="000000" w:themeColor="text1"/>
                      <w:kern w:val="2"/>
                      <w:sz w:val="21"/>
                      <w:szCs w:val="22"/>
                      <w14:textFill>
                        <w14:solidFill>
                          <w14:schemeClr w14:val="tx1"/>
                        </w14:solidFill>
                      </w14:textFill>
                    </w:rPr>
                    <w:t>/</w:t>
                  </w:r>
                </w:p>
              </w:tc>
              <w:tc>
                <w:tcPr>
                  <w:tcW w:w="1131" w:type="dxa"/>
                  <w:tcBorders>
                    <w:top w:val="single" w:color="auto" w:sz="4" w:space="0"/>
                    <w:left w:val="single" w:color="auto" w:sz="4" w:space="0"/>
                    <w:bottom w:val="single" w:color="auto" w:sz="4" w:space="0"/>
                    <w:right w:val="single" w:color="auto" w:sz="4" w:space="0"/>
                  </w:tcBorders>
                  <w:vAlign w:val="center"/>
                </w:tcPr>
                <w:p>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c>
                <w:tcPr>
                  <w:tcW w:w="773" w:type="dxa"/>
                  <w:tcBorders>
                    <w:top w:val="single" w:color="auto" w:sz="4" w:space="0"/>
                    <w:left w:val="single" w:color="auto" w:sz="4" w:space="0"/>
                    <w:bottom w:val="single" w:color="auto" w:sz="4" w:space="0"/>
                    <w:right w:val="single" w:color="auto" w:sz="4" w:space="0"/>
                  </w:tcBorders>
                  <w:vAlign w:val="center"/>
                </w:tcPr>
                <w:p>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2004</w:t>
                  </w:r>
                </w:p>
              </w:tc>
              <w:tc>
                <w:tcPr>
                  <w:tcW w:w="471" w:type="dxa"/>
                  <w:tcBorders>
                    <w:top w:val="single" w:color="auto" w:sz="4" w:space="0"/>
                    <w:left w:val="single" w:color="auto" w:sz="4" w:space="0"/>
                    <w:bottom w:val="single" w:color="auto" w:sz="4" w:space="0"/>
                    <w:right w:val="single" w:color="auto" w:sz="4" w:space="0"/>
                  </w:tcBorders>
                  <w:vAlign w:val="center"/>
                </w:tcPr>
                <w:p>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北</w:t>
                  </w:r>
                </w:p>
              </w:tc>
              <w:tc>
                <w:tcPr>
                  <w:tcW w:w="877" w:type="dxa"/>
                  <w:tcBorders>
                    <w:top w:val="single" w:color="auto" w:sz="4" w:space="0"/>
                    <w:left w:val="single" w:color="auto" w:sz="4" w:space="0"/>
                    <w:bottom w:val="single" w:color="auto" w:sz="4" w:space="0"/>
                    <w:right w:val="single" w:color="auto" w:sz="4" w:space="0"/>
                  </w:tcBorders>
                  <w:vAlign w:val="center"/>
                </w:tcPr>
                <w:p>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503</w:t>
                  </w:r>
                </w:p>
              </w:tc>
              <w:tc>
                <w:tcPr>
                  <w:tcW w:w="1148" w:type="dxa"/>
                  <w:tcBorders>
                    <w:top w:val="single" w:color="auto" w:sz="4" w:space="0"/>
                    <w:left w:val="single" w:color="auto" w:sz="4" w:space="0"/>
                    <w:bottom w:val="single" w:color="auto" w:sz="4" w:space="0"/>
                    <w:right w:val="single" w:color="auto" w:sz="4" w:space="0"/>
                  </w:tcBorders>
                  <w:vAlign w:val="center"/>
                </w:tcPr>
                <w:p>
                  <w:pPr>
                    <w:autoSpaceDE w:val="0"/>
                    <w:autoSpaceDN w:val="0"/>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主要功能为农业用水</w:t>
                  </w:r>
                </w:p>
              </w:tc>
              <w:tc>
                <w:tcPr>
                  <w:tcW w:w="1003" w:type="dxa"/>
                  <w:tcBorders>
                    <w:left w:val="single" w:color="auto" w:sz="4" w:space="0"/>
                    <w:right w:val="single" w:color="auto" w:sz="4" w:space="0"/>
                  </w:tcBorders>
                  <w:vAlign w:val="center"/>
                </w:tcPr>
                <w:p>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《地表水环境质量标准》（GB3838-2002）中的Ⅲ类水质</w:t>
                  </w:r>
                </w:p>
              </w:tc>
            </w:tr>
          </w:tbl>
          <w:p>
            <w:pPr>
              <w:adjustRightInd w:val="0"/>
              <w:snapToGrid w:val="0"/>
              <w:jc w:val="center"/>
              <w:rPr>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800" w:type="dxa"/>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准</w:t>
            </w:r>
          </w:p>
        </w:tc>
        <w:tc>
          <w:tcPr>
            <w:tcW w:w="8190" w:type="dxa"/>
            <w:vAlign w:val="center"/>
          </w:tcPr>
          <w:p>
            <w:pPr>
              <w:adjustRightInd w:val="0"/>
              <w:snapToGrid w:val="0"/>
              <w:spacing w:line="360" w:lineRule="auto"/>
              <w:jc w:val="left"/>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施工期</w:t>
            </w:r>
            <w:r>
              <w:rPr>
                <w:b/>
                <w:color w:val="000000" w:themeColor="text1"/>
                <w:sz w:val="24"/>
                <w14:textFill>
                  <w14:solidFill>
                    <w14:schemeClr w14:val="tx1"/>
                  </w14:solidFill>
                </w14:textFill>
              </w:rPr>
              <w:t>污染物排放标准：</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1、大气污染物排放标准</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施工期粉尘排放执行《大气污染物综合排放标准》（GB16297-1996）中的二级标准，标准限值见表3-</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   大气污染物综合排放标准</w:t>
            </w:r>
          </w:p>
          <w:tbl>
            <w:tblPr>
              <w:tblStyle w:val="23"/>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53"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污染物</w:t>
                  </w:r>
                </w:p>
              </w:tc>
              <w:tc>
                <w:tcPr>
                  <w:tcW w:w="5811" w:type="dxa"/>
                  <w:tcBorders>
                    <w:top w:val="single" w:color="auto" w:sz="4" w:space="0"/>
                    <w:left w:val="single" w:color="auto" w:sz="4" w:space="0"/>
                    <w:right w:val="single" w:color="auto" w:sz="4" w:space="0"/>
                  </w:tcBorders>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无组织排放监控浓度限值（mg/m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2153"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bl>
          <w:p>
            <w:pPr>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bookmarkStart w:id="26" w:name="_Toc7851"/>
            <w:r>
              <w:rPr>
                <w:b/>
                <w:color w:val="000000" w:themeColor="text1"/>
                <w:sz w:val="24"/>
                <w14:textFill>
                  <w14:solidFill>
                    <w14:schemeClr w14:val="tx1"/>
                  </w14:solidFill>
                </w14:textFill>
              </w:rPr>
              <w:t>噪声</w:t>
            </w:r>
            <w:bookmarkEnd w:id="26"/>
            <w:r>
              <w:rPr>
                <w:b/>
                <w:color w:val="000000" w:themeColor="text1"/>
                <w:sz w:val="24"/>
                <w14:textFill>
                  <w14:solidFill>
                    <w14:schemeClr w14:val="tx1"/>
                  </w14:solidFill>
                </w14:textFill>
              </w:rPr>
              <w:t>排放标准</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项目施工期噪声排放执行《建筑施工噪声排放标准》（GB12523-20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）标准，标准限值见表3-</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pPr>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 xml:space="preserve">   建筑施工噪声排放限值  单位：dB（A）</w:t>
            </w:r>
          </w:p>
          <w:tbl>
            <w:tblPr>
              <w:tblStyle w:val="23"/>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7"/>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47"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昼间</w:t>
                  </w:r>
                </w:p>
              </w:tc>
              <w:tc>
                <w:tcPr>
                  <w:tcW w:w="4117"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84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117"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55</w:t>
                  </w:r>
                </w:p>
              </w:tc>
            </w:tr>
          </w:tbl>
          <w:p>
            <w:pPr>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3、废水排放标准</w:t>
            </w:r>
          </w:p>
          <w:p>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项目施工期现场不设施工生活营地，施工产生的施工废水经沉淀处理后全部回用于施工场地洒水降尘，不外排。</w:t>
            </w:r>
          </w:p>
          <w:p>
            <w:pPr>
              <w:snapToGrid w:val="0"/>
              <w:spacing w:line="360" w:lineRule="auto"/>
              <w:jc w:val="left"/>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运营期</w:t>
            </w:r>
            <w:r>
              <w:rPr>
                <w:b/>
                <w:color w:val="000000" w:themeColor="text1"/>
                <w:sz w:val="24"/>
                <w14:textFill>
                  <w14:solidFill>
                    <w14:schemeClr w14:val="tx1"/>
                  </w14:solidFill>
                </w14:textFill>
              </w:rPr>
              <w:t>污染物排放标准：</w:t>
            </w:r>
          </w:p>
          <w:p>
            <w:pPr>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1、大气污染物排放标准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营运期无组织排放粉尘执行《大气污染物综合排放标准》（GB16297-1996）表2中无组织排放标准限值要求，</w:t>
            </w:r>
            <w:r>
              <w:rPr>
                <w:rFonts w:hint="eastAsia"/>
                <w:color w:val="000000" w:themeColor="text1"/>
                <w:sz w:val="24"/>
                <w14:textFill>
                  <w14:solidFill>
                    <w14:schemeClr w14:val="tx1"/>
                  </w14:solidFill>
                </w14:textFill>
              </w:rPr>
              <w:t>无组织</w:t>
            </w:r>
            <w:r>
              <w:rPr>
                <w:color w:val="000000" w:themeColor="text1"/>
                <w:sz w:val="24"/>
                <w14:textFill>
                  <w14:solidFill>
                    <w14:schemeClr w14:val="tx1"/>
                  </w14:solidFill>
                </w14:textFill>
              </w:rPr>
              <w:t>恶臭污染物执行《恶臭污染物排放标准》(GB14554-93)表</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中</w:t>
            </w:r>
            <w:r>
              <w:rPr>
                <w:rFonts w:hint="eastAsia"/>
                <w:color w:val="000000" w:themeColor="text1"/>
                <w:sz w:val="24"/>
                <w14:textFill>
                  <w14:solidFill>
                    <w14:schemeClr w14:val="tx1"/>
                  </w14:solidFill>
                </w14:textFill>
              </w:rPr>
              <w:t>二级</w:t>
            </w:r>
            <w:r>
              <w:rPr>
                <w:color w:val="000000" w:themeColor="text1"/>
                <w:sz w:val="24"/>
                <w14:textFill>
                  <w14:solidFill>
                    <w14:schemeClr w14:val="tx1"/>
                  </w14:solidFill>
                </w14:textFill>
              </w:rPr>
              <w:t>标准</w:t>
            </w:r>
            <w:r>
              <w:rPr>
                <w:rFonts w:hint="eastAsia"/>
                <w:color w:val="000000" w:themeColor="text1"/>
                <w:sz w:val="24"/>
                <w14:textFill>
                  <w14:solidFill>
                    <w14:schemeClr w14:val="tx1"/>
                  </w14:solidFill>
                </w14:textFill>
              </w:rPr>
              <w:t>。</w:t>
            </w:r>
          </w:p>
          <w:p>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6</w:t>
            </w:r>
            <w:r>
              <w:rPr>
                <w:b/>
                <w:color w:val="000000" w:themeColor="text1"/>
                <w:szCs w:val="21"/>
                <w14:textFill>
                  <w14:solidFill>
                    <w14:schemeClr w14:val="tx1"/>
                  </w14:solidFill>
                </w14:textFill>
              </w:rPr>
              <w:t xml:space="preserve">   废气排放标准</w:t>
            </w:r>
          </w:p>
          <w:tbl>
            <w:tblPr>
              <w:tblStyle w:val="23"/>
              <w:tblW w:w="7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67"/>
              <w:gridCol w:w="1933"/>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59" w:type="dxa"/>
                  <w:gridSpan w:val="2"/>
                  <w:vMerge w:val="restart"/>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污染物</w:t>
                  </w:r>
                </w:p>
              </w:tc>
              <w:tc>
                <w:tcPr>
                  <w:tcW w:w="1933" w:type="dxa"/>
                  <w:vMerge w:val="restart"/>
                  <w:vAlign w:val="center"/>
                </w:tcPr>
                <w:p>
                  <w:pP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无组织排放监控浓度限值（mg/m</w:t>
                  </w:r>
                  <w:r>
                    <w:rPr>
                      <w:rFonts w:eastAsiaTheme="minorEastAsia"/>
                      <w:bCs/>
                      <w:color w:val="000000" w:themeColor="text1"/>
                      <w:spacing w:val="-11"/>
                      <w:kern w:val="0"/>
                      <w:szCs w:val="22"/>
                      <w:vertAlign w:val="superscript"/>
                      <w14:textFill>
                        <w14:solidFill>
                          <w14:schemeClr w14:val="tx1"/>
                        </w14:solidFill>
                      </w14:textFill>
                    </w:rPr>
                    <w:t>3</w:t>
                  </w:r>
                  <w:r>
                    <w:rPr>
                      <w:rFonts w:eastAsiaTheme="minorEastAsia"/>
                      <w:bCs/>
                      <w:color w:val="000000" w:themeColor="text1"/>
                      <w:spacing w:val="-11"/>
                      <w:kern w:val="0"/>
                      <w:szCs w:val="22"/>
                      <w14:textFill>
                        <w14:solidFill>
                          <w14:schemeClr w14:val="tx1"/>
                        </w14:solidFill>
                      </w14:textFill>
                    </w:rPr>
                    <w:t>）</w:t>
                  </w:r>
                </w:p>
              </w:tc>
              <w:tc>
                <w:tcPr>
                  <w:tcW w:w="2802" w:type="dxa"/>
                  <w:vMerge w:val="restart"/>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759" w:type="dxa"/>
                  <w:gridSpan w:val="2"/>
                  <w:vMerge w:val="continue"/>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p>
              </w:tc>
              <w:tc>
                <w:tcPr>
                  <w:tcW w:w="1933" w:type="dxa"/>
                  <w:vMerge w:val="continue"/>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p>
              </w:tc>
              <w:tc>
                <w:tcPr>
                  <w:tcW w:w="2802" w:type="dxa"/>
                  <w:vMerge w:val="continue"/>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92" w:type="dxa"/>
                  <w:vMerge w:val="restart"/>
                  <w:vAlign w:val="center"/>
                </w:tcPr>
                <w:p>
                  <w:pPr>
                    <w:jc w:val="center"/>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恶臭废气</w:t>
                  </w:r>
                </w:p>
              </w:tc>
              <w:tc>
                <w:tcPr>
                  <w:tcW w:w="1167" w:type="dxa"/>
                  <w:vAlign w:val="center"/>
                </w:tcPr>
                <w:p>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NH</w:t>
                  </w:r>
                  <w:r>
                    <w:rPr>
                      <w:rFonts w:eastAsiaTheme="minorEastAsia"/>
                      <w:bCs/>
                      <w:color w:val="000000" w:themeColor="text1"/>
                      <w:vertAlign w:val="subscript"/>
                      <w14:textFill>
                        <w14:solidFill>
                          <w14:schemeClr w14:val="tx1"/>
                        </w14:solidFill>
                      </w14:textFill>
                    </w:rPr>
                    <w:t>3</w:t>
                  </w:r>
                </w:p>
              </w:tc>
              <w:tc>
                <w:tcPr>
                  <w:tcW w:w="1933" w:type="dxa"/>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1.5</w:t>
                  </w:r>
                </w:p>
              </w:tc>
              <w:tc>
                <w:tcPr>
                  <w:tcW w:w="2802" w:type="dxa"/>
                  <w:vMerge w:val="restart"/>
                  <w:vAlign w:val="center"/>
                </w:tcPr>
                <w:p>
                  <w:pP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GB14554-93《恶臭污染物排放标准》表</w:t>
                  </w:r>
                  <w:r>
                    <w:rPr>
                      <w:rFonts w:hint="eastAsia" w:eastAsiaTheme="minorEastAsia"/>
                      <w:bCs/>
                      <w:color w:val="000000" w:themeColor="text1"/>
                      <w:spacing w:val="-11"/>
                      <w:kern w:val="0"/>
                      <w:szCs w:val="22"/>
                      <w14:textFill>
                        <w14:solidFill>
                          <w14:schemeClr w14:val="tx1"/>
                        </w14:solidFill>
                      </w14:textFill>
                    </w:rPr>
                    <w:t>1</w:t>
                  </w:r>
                  <w:r>
                    <w:rPr>
                      <w:rFonts w:eastAsiaTheme="minorEastAsia"/>
                      <w:bCs/>
                      <w:color w:val="000000" w:themeColor="text1"/>
                      <w:spacing w:val="-11"/>
                      <w:kern w:val="0"/>
                      <w:szCs w:val="22"/>
                      <w14:textFill>
                        <w14:solidFill>
                          <w14:schemeClr w14:val="tx1"/>
                        </w14:solidFill>
                      </w14:textFill>
                    </w:rPr>
                    <w:t>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92" w:type="dxa"/>
                  <w:vMerge w:val="continue"/>
                  <w:vAlign w:val="center"/>
                </w:tcPr>
                <w:p>
                  <w:pPr>
                    <w:jc w:val="center"/>
                    <w:rPr>
                      <w:rFonts w:eastAsiaTheme="minorEastAsia"/>
                      <w:bCs/>
                      <w:color w:val="000000" w:themeColor="text1"/>
                      <w14:textFill>
                        <w14:solidFill>
                          <w14:schemeClr w14:val="tx1"/>
                        </w14:solidFill>
                      </w14:textFill>
                    </w:rPr>
                  </w:pPr>
                </w:p>
              </w:tc>
              <w:tc>
                <w:tcPr>
                  <w:tcW w:w="1167" w:type="dxa"/>
                  <w:vAlign w:val="center"/>
                </w:tcPr>
                <w:p>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H</w:t>
                  </w:r>
                  <w:r>
                    <w:rPr>
                      <w:rFonts w:eastAsiaTheme="minorEastAsia"/>
                      <w:bCs/>
                      <w:color w:val="000000" w:themeColor="text1"/>
                      <w:vertAlign w:val="subscript"/>
                      <w14:textFill>
                        <w14:solidFill>
                          <w14:schemeClr w14:val="tx1"/>
                        </w14:solidFill>
                      </w14:textFill>
                    </w:rPr>
                    <w:t>2</w:t>
                  </w:r>
                  <w:r>
                    <w:rPr>
                      <w:rFonts w:eastAsiaTheme="minorEastAsia"/>
                      <w:bCs/>
                      <w:color w:val="000000" w:themeColor="text1"/>
                      <w14:textFill>
                        <w14:solidFill>
                          <w14:schemeClr w14:val="tx1"/>
                        </w14:solidFill>
                      </w14:textFill>
                    </w:rPr>
                    <w:t>S</w:t>
                  </w:r>
                </w:p>
              </w:tc>
              <w:tc>
                <w:tcPr>
                  <w:tcW w:w="1933" w:type="dxa"/>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0.06</w:t>
                  </w:r>
                </w:p>
              </w:tc>
              <w:tc>
                <w:tcPr>
                  <w:tcW w:w="2802" w:type="dxa"/>
                  <w:vMerge w:val="continue"/>
                  <w:vAlign w:val="center"/>
                </w:tcPr>
                <w:p>
                  <w:pPr>
                    <w:textAlignment w:val="baseline"/>
                    <w:rPr>
                      <w:rFonts w:eastAsiaTheme="minorEastAsia"/>
                      <w:bCs/>
                      <w:color w:val="000000" w:themeColor="text1"/>
                      <w:spacing w:val="-11"/>
                      <w:kern w:val="0"/>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92" w:type="dxa"/>
                  <w:vMerge w:val="continue"/>
                  <w:vAlign w:val="center"/>
                </w:tcPr>
                <w:p>
                  <w:pPr>
                    <w:jc w:val="center"/>
                    <w:rPr>
                      <w:rFonts w:eastAsiaTheme="minorEastAsia"/>
                      <w:bCs/>
                      <w:color w:val="000000" w:themeColor="text1"/>
                      <w14:textFill>
                        <w14:solidFill>
                          <w14:schemeClr w14:val="tx1"/>
                        </w14:solidFill>
                      </w14:textFill>
                    </w:rPr>
                  </w:pPr>
                </w:p>
              </w:tc>
              <w:tc>
                <w:tcPr>
                  <w:tcW w:w="1167" w:type="dxa"/>
                  <w:vAlign w:val="center"/>
                </w:tcPr>
                <w:p>
                  <w:pPr>
                    <w:jc w:val="center"/>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臭气浓度</w:t>
                  </w:r>
                </w:p>
              </w:tc>
              <w:tc>
                <w:tcPr>
                  <w:tcW w:w="1933" w:type="dxa"/>
                  <w:vAlign w:val="center"/>
                </w:tcPr>
                <w:p>
                  <w:pPr>
                    <w:jc w:val="center"/>
                    <w:textAlignment w:val="baseline"/>
                    <w:rPr>
                      <w:rFonts w:eastAsiaTheme="minorEastAsia"/>
                      <w:bCs/>
                      <w:color w:val="000000" w:themeColor="text1"/>
                      <w:spacing w:val="-11"/>
                      <w:kern w:val="0"/>
                      <w:szCs w:val="22"/>
                      <w14:textFill>
                        <w14:solidFill>
                          <w14:schemeClr w14:val="tx1"/>
                        </w14:solidFill>
                      </w14:textFill>
                    </w:rPr>
                  </w:pPr>
                  <w:r>
                    <w:rPr>
                      <w:rFonts w:hint="eastAsia" w:eastAsiaTheme="minorEastAsia"/>
                      <w:bCs/>
                      <w:color w:val="000000" w:themeColor="text1"/>
                      <w:spacing w:val="-11"/>
                      <w:kern w:val="0"/>
                      <w:szCs w:val="22"/>
                      <w14:textFill>
                        <w14:solidFill>
                          <w14:schemeClr w14:val="tx1"/>
                        </w14:solidFill>
                      </w14:textFill>
                    </w:rPr>
                    <w:t>20（无量纲）</w:t>
                  </w:r>
                </w:p>
              </w:tc>
              <w:tc>
                <w:tcPr>
                  <w:tcW w:w="2802" w:type="dxa"/>
                  <w:vMerge w:val="continue"/>
                  <w:vAlign w:val="center"/>
                </w:tcPr>
                <w:p>
                  <w:pPr>
                    <w:textAlignment w:val="baseline"/>
                    <w:rPr>
                      <w:rFonts w:eastAsiaTheme="minorEastAsia"/>
                      <w:bCs/>
                      <w:color w:val="000000" w:themeColor="text1"/>
                      <w:spacing w:val="-11"/>
                      <w:kern w:val="0"/>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592" w:type="dxa"/>
                  <w:vAlign w:val="center"/>
                </w:tcPr>
                <w:p>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生产工序粉尘</w:t>
                  </w:r>
                </w:p>
              </w:tc>
              <w:tc>
                <w:tcPr>
                  <w:tcW w:w="1167" w:type="dxa"/>
                  <w:vAlign w:val="center"/>
                </w:tcPr>
                <w:p>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颗粒物</w:t>
                  </w:r>
                </w:p>
              </w:tc>
              <w:tc>
                <w:tcPr>
                  <w:tcW w:w="1933" w:type="dxa"/>
                  <w:vAlign w:val="center"/>
                </w:tcPr>
                <w:p>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1.0</w:t>
                  </w:r>
                </w:p>
              </w:tc>
              <w:tc>
                <w:tcPr>
                  <w:tcW w:w="2802" w:type="dxa"/>
                  <w:vAlign w:val="center"/>
                </w:tcPr>
                <w:p>
                  <w:pPr>
                    <w:rPr>
                      <w:rFonts w:eastAsiaTheme="minorEastAsia"/>
                      <w:color w:val="000000" w:themeColor="text1"/>
                      <w:kern w:val="0"/>
                      <w14:textFill>
                        <w14:solidFill>
                          <w14:schemeClr w14:val="tx1"/>
                        </w14:solidFill>
                      </w14:textFill>
                    </w:rPr>
                  </w:pPr>
                  <w:r>
                    <w:rPr>
                      <w:rFonts w:eastAsiaTheme="minorEastAsia"/>
                      <w:bCs/>
                      <w:color w:val="000000" w:themeColor="text1"/>
                      <w:kern w:val="0"/>
                      <w14:textFill>
                        <w14:solidFill>
                          <w14:schemeClr w14:val="tx1"/>
                        </w14:solidFill>
                      </w14:textFill>
                    </w:rPr>
                    <w:t>GB16297－1996《大气污染物综合排放标准》表</w:t>
                  </w:r>
                  <w:r>
                    <w:rPr>
                      <w:rFonts w:hint="eastAsia" w:eastAsiaTheme="minorEastAsia"/>
                      <w:bCs/>
                      <w:color w:val="000000" w:themeColor="text1"/>
                      <w:kern w:val="0"/>
                      <w14:textFill>
                        <w14:solidFill>
                          <w14:schemeClr w14:val="tx1"/>
                        </w14:solidFill>
                      </w14:textFill>
                    </w:rPr>
                    <w:t>1</w:t>
                  </w:r>
                  <w:r>
                    <w:rPr>
                      <w:rFonts w:eastAsiaTheme="minorEastAsia"/>
                      <w:bCs/>
                      <w:color w:val="000000" w:themeColor="text1"/>
                      <w:kern w:val="0"/>
                      <w14:textFill>
                        <w14:solidFill>
                          <w14:schemeClr w14:val="tx1"/>
                        </w14:solidFill>
                      </w14:textFill>
                    </w:rPr>
                    <w:t>中的二级标准</w:t>
                  </w:r>
                </w:p>
              </w:tc>
            </w:tr>
          </w:tbl>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2、厂界噪声排放标准</w:t>
            </w:r>
          </w:p>
          <w:p>
            <w:pPr>
              <w:widowControl/>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w:t>
            </w:r>
            <w:r>
              <w:rPr>
                <w:bCs/>
                <w:snapToGrid w:val="0"/>
                <w:color w:val="000000" w:themeColor="text1"/>
                <w:kern w:val="0"/>
                <w:sz w:val="24"/>
                <w:szCs w:val="21"/>
                <w14:textFill>
                  <w14:solidFill>
                    <w14:schemeClr w14:val="tx1"/>
                  </w14:solidFill>
                </w14:textFill>
              </w:rPr>
              <w:t>厂界噪声</w:t>
            </w:r>
            <w:r>
              <w:rPr>
                <w:color w:val="000000" w:themeColor="text1"/>
                <w:sz w:val="24"/>
                <w14:textFill>
                  <w14:solidFill>
                    <w14:schemeClr w14:val="tx1"/>
                  </w14:solidFill>
                </w14:textFill>
              </w:rPr>
              <w:t>执行《工业企业厂界环境噪声排放标准》（GB12348-2008）中的</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类标准，标准限值见表3-</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pPr>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7</w:t>
            </w:r>
            <w:r>
              <w:rPr>
                <w:b/>
                <w:color w:val="000000" w:themeColor="text1"/>
                <w14:textFill>
                  <w14:solidFill>
                    <w14:schemeClr w14:val="tx1"/>
                  </w14:solidFill>
                </w14:textFill>
              </w:rPr>
              <w:t xml:space="preserve">   工业企业厂界环境噪声排放标准   单位：dB(A)</w:t>
            </w:r>
          </w:p>
          <w:tbl>
            <w:tblPr>
              <w:tblStyle w:val="23"/>
              <w:tblW w:w="800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39"/>
              <w:gridCol w:w="2564"/>
              <w:gridCol w:w="269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exact"/>
                <w:jc w:val="center"/>
              </w:trPr>
              <w:tc>
                <w:tcPr>
                  <w:tcW w:w="2739" w:type="dxa"/>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类别</w:t>
                  </w:r>
                </w:p>
              </w:tc>
              <w:tc>
                <w:tcPr>
                  <w:tcW w:w="2564" w:type="dxa"/>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昼间</w:t>
                  </w:r>
                </w:p>
              </w:tc>
              <w:tc>
                <w:tcPr>
                  <w:tcW w:w="2697" w:type="dxa"/>
                  <w:vAlign w:val="center"/>
                </w:tcPr>
                <w:p>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exact"/>
                <w:jc w:val="center"/>
              </w:trPr>
              <w:tc>
                <w:tcPr>
                  <w:tcW w:w="2739"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564"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2697" w:type="dxa"/>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5</w:t>
                  </w:r>
                </w:p>
              </w:tc>
            </w:tr>
          </w:tbl>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3、废水排放标准</w:t>
            </w:r>
          </w:p>
          <w:p>
            <w:pPr>
              <w:spacing w:line="360" w:lineRule="auto"/>
              <w:ind w:firstLine="482"/>
              <w:rPr>
                <w:b/>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项目运营期</w:t>
            </w:r>
            <w:r>
              <w:rPr>
                <w:rFonts w:hint="eastAsia"/>
                <w:color w:val="000000" w:themeColor="text1"/>
                <w:kern w:val="0"/>
                <w:sz w:val="24"/>
                <w14:textFill>
                  <w14:solidFill>
                    <w14:schemeClr w14:val="tx1"/>
                  </w14:solidFill>
                </w14:textFill>
              </w:rPr>
              <w:t>生产工艺中不产生废水，员工均不在项目区食宿。产生的生活污水依托</w:t>
            </w:r>
            <w:r>
              <w:rPr>
                <w:rFonts w:hint="eastAsia" w:eastAsiaTheme="minorEastAsia"/>
                <w:bCs/>
                <w:color w:val="000000" w:themeColor="text1"/>
                <w:kern w:val="0"/>
                <w:sz w:val="24"/>
                <w:szCs w:val="22"/>
                <w14:textFill>
                  <w14:solidFill>
                    <w14:schemeClr w14:val="tx1"/>
                  </w14:solidFill>
                </w14:textFill>
              </w:rPr>
              <w:t>云南建工云岭水泥有限公司</w:t>
            </w:r>
            <w:r>
              <w:rPr>
                <w:rFonts w:hint="eastAsia"/>
                <w:color w:val="000000" w:themeColor="text1"/>
                <w:kern w:val="0"/>
                <w:sz w:val="24"/>
                <w14:textFill>
                  <w14:solidFill>
                    <w14:schemeClr w14:val="tx1"/>
                  </w14:solidFill>
                </w14:textFill>
              </w:rPr>
              <w:t>已建的化粪池、一体化污水处理设备进行处理后，回用绿化和洒水降尘，不外排</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运营期不设废水排放标准。</w:t>
            </w:r>
          </w:p>
          <w:p>
            <w:pPr>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4、固体废物排放标准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（1）项目运营期产生一般固体废物在项目内的暂存执行《一般工业固体废物贮存和填埋污染控制标准》（GB18599-2020）。</w:t>
            </w:r>
          </w:p>
          <w:p>
            <w:pPr>
              <w:adjustRightInd w:val="0"/>
              <w:snapToGrid w:val="0"/>
              <w:spacing w:line="360" w:lineRule="auto"/>
              <w:ind w:firstLine="480" w:firstLineChars="200"/>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（2）项目运营期产生的危险废物暂存执行</w:t>
            </w:r>
            <w:r>
              <w:rPr>
                <w:color w:val="000000" w:themeColor="text1"/>
                <w:kern w:val="0"/>
                <w:sz w:val="24"/>
                <w14:textFill>
                  <w14:solidFill>
                    <w14:schemeClr w14:val="tx1"/>
                  </w14:solidFill>
                </w14:textFill>
              </w:rPr>
              <w:t>《危险废物贮存污染控制标准》（GB18597-2023）</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jc w:val="center"/>
        </w:trPr>
        <w:tc>
          <w:tcPr>
            <w:tcW w:w="800"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190" w:type="dxa"/>
            <w:vAlign w:val="center"/>
          </w:tcPr>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项目</w:t>
            </w:r>
            <w:r>
              <w:rPr>
                <w:rFonts w:hint="eastAsia"/>
                <w:color w:val="000000" w:themeColor="text1"/>
                <w:sz w:val="24"/>
                <w14:textFill>
                  <w14:solidFill>
                    <w14:schemeClr w14:val="tx1"/>
                  </w14:solidFill>
                </w14:textFill>
              </w:rPr>
              <w:t>不设废水总量控制指标。</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废气：</w:t>
            </w:r>
            <w:r>
              <w:rPr>
                <w:color w:val="000000" w:themeColor="text1"/>
                <w:sz w:val="24"/>
                <w:lang w:val="zh-CN"/>
                <w14:textFill>
                  <w14:solidFill>
                    <w14:schemeClr w14:val="tx1"/>
                  </w14:solidFill>
                </w14:textFill>
              </w:rPr>
              <w:t>颗粒</w:t>
            </w:r>
            <w:r>
              <w:rPr>
                <w:color w:val="000000" w:themeColor="text1"/>
                <w:sz w:val="24"/>
                <w:szCs w:val="22"/>
                <w:lang w:val="zh-CN"/>
                <w14:textFill>
                  <w14:solidFill>
                    <w14:schemeClr w14:val="tx1"/>
                  </w14:solidFill>
                </w14:textFill>
              </w:rPr>
              <w:t>物：</w:t>
            </w:r>
            <w:r>
              <w:rPr>
                <w:color w:val="000000" w:themeColor="text1"/>
                <w:sz w:val="24"/>
                <w:szCs w:val="22"/>
                <w14:textFill>
                  <w14:solidFill>
                    <w14:schemeClr w14:val="tx1"/>
                  </w14:solidFill>
                </w14:textFill>
              </w:rPr>
              <w:t>无组织排放量</w:t>
            </w:r>
            <w:r>
              <w:rPr>
                <w:rFonts w:hint="eastAsia"/>
                <w:color w:val="000000" w:themeColor="text1"/>
                <w:sz w:val="24"/>
                <w:szCs w:val="22"/>
                <w14:textFill>
                  <w14:solidFill>
                    <w14:schemeClr w14:val="tx1"/>
                  </w14:solidFill>
                </w14:textFill>
              </w:rPr>
              <w:t>0.073</w:t>
            </w:r>
            <w:r>
              <w:rPr>
                <w:color w:val="000000" w:themeColor="text1"/>
                <w:sz w:val="24"/>
                <w:szCs w:val="22"/>
                <w14:textFill>
                  <w14:solidFill>
                    <w14:schemeClr w14:val="tx1"/>
                  </w14:solidFill>
                </w14:textFill>
              </w:rPr>
              <w:t>t/a</w:t>
            </w:r>
            <w:r>
              <w:rPr>
                <w:rFonts w:hint="eastAsia"/>
                <w:color w:val="000000" w:themeColor="text1"/>
                <w:sz w:val="24"/>
                <w:szCs w:val="22"/>
                <w14:textFill>
                  <w14:solidFill>
                    <w14:schemeClr w14:val="tx1"/>
                  </w14:solidFill>
                </w14:textFill>
              </w:rPr>
              <w:t>。</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固体废弃物：</w:t>
            </w:r>
            <w:r>
              <w:rPr>
                <w:color w:val="000000" w:themeColor="text1"/>
                <w:sz w:val="24"/>
                <w14:textFill>
                  <w14:solidFill>
                    <w14:schemeClr w14:val="tx1"/>
                  </w14:solidFill>
                </w14:textFill>
              </w:rPr>
              <w:t>本项目固体废弃物处置率为100%。</w:t>
            </w:r>
          </w:p>
          <w:p>
            <w:pPr>
              <w:adjustRightInd w:val="0"/>
              <w:snapToGrid w:val="0"/>
              <w:spacing w:line="360" w:lineRule="auto"/>
              <w:ind w:firstLine="480" w:firstLineChars="200"/>
              <w:rPr>
                <w:color w:val="000000" w:themeColor="text1"/>
                <w:sz w:val="24"/>
                <w14:textFill>
                  <w14:solidFill>
                    <w14:schemeClr w14:val="tx1"/>
                  </w14:solidFill>
                </w14:textFill>
              </w:rPr>
            </w:pPr>
          </w:p>
          <w:p>
            <w:pPr>
              <w:pStyle w:val="2"/>
            </w:pPr>
          </w:p>
          <w:p/>
          <w:p/>
          <w:p/>
          <w:p>
            <w:pPr>
              <w:pStyle w:val="2"/>
            </w:pPr>
          </w:p>
          <w:p/>
          <w:p>
            <w:pPr>
              <w:pStyle w:val="2"/>
            </w:pPr>
          </w:p>
          <w:p/>
          <w:p>
            <w:pPr>
              <w:pStyle w:val="2"/>
            </w:pPr>
          </w:p>
          <w:p/>
          <w:p>
            <w:pPr>
              <w:pStyle w:val="2"/>
            </w:pPr>
          </w:p>
          <w:p/>
          <w:p>
            <w:pPr>
              <w:pStyle w:val="2"/>
            </w:pPr>
          </w:p>
          <w:p/>
          <w:p>
            <w:pPr>
              <w:adjustRightInd w:val="0"/>
              <w:snapToGrid w:val="0"/>
              <w:rPr>
                <w:color w:val="000000" w:themeColor="text1"/>
                <w:kern w:val="0"/>
                <w:szCs w:val="21"/>
                <w14:textFill>
                  <w14:solidFill>
                    <w14:schemeClr w14:val="tx1"/>
                  </w14:solidFill>
                </w14:textFill>
              </w:rPr>
            </w:pPr>
          </w:p>
        </w:tc>
      </w:tr>
    </w:tbl>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27" w:name="_Toc21914"/>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27"/>
    </w:p>
    <w:tbl>
      <w:tblPr>
        <w:tblStyle w:val="23"/>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99" w:hRule="atLeast"/>
          <w:jc w:val="center"/>
        </w:trPr>
        <w:tc>
          <w:tcPr>
            <w:tcW w:w="288" w:type="dxa"/>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19"/>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693" w:type="dxa"/>
            <w:vAlign w:val="center"/>
          </w:tcPr>
          <w:p>
            <w:pPr>
              <w:numPr>
                <w:ilvl w:val="0"/>
                <w:numId w:val="4"/>
              </w:num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废气</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施工期废气主要为扬尘、焊接废气和燃油废气。</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本项目施工过程中需采取如下防尘和抑尘措施：</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（1）在项目施工出入口处铺垫碎石道路，保持出入口的清洁；材料运输过程中杜绝抛、撒、飞、漏等扬尘污染。</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（2）施工场地定期洒水，防止扬尘产生，一般每天不少于2次；若遇到大风或干燥天气要适当增加洒水次数。</w:t>
            </w:r>
          </w:p>
          <w:p>
            <w:pPr>
              <w:tabs>
                <w:tab w:val="left" w:pos="855"/>
                <w:tab w:val="left" w:pos="958"/>
                <w:tab w:val="left" w:pos="1164"/>
              </w:tabs>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3）将开挖土方集中堆放，及时回填，临时堆放时应采用土工布进行覆盖，减少扬尘影响时间。废弃土石方，建筑材料弃渣及时清运，物料设置专门封闭堆存间、无法封闭堆存的物料应采用土工布进行全封闭的遮盖，减少物料在项目内的堆存时间。</w:t>
            </w:r>
          </w:p>
          <w:p>
            <w:pPr>
              <w:tabs>
                <w:tab w:val="left" w:pos="855"/>
                <w:tab w:val="left" w:pos="958"/>
                <w:tab w:val="left" w:pos="1164"/>
              </w:tabs>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（4）在施工中合理组织施工，缩短施工时间，尽量减少施工污染。</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（5）在施工机械的选型上考虑相应的环保型产品，主要使用轻质柴油或电作为能源，不得使用劣质燃料。</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（6）施工道路应保持平整，设施工道路养护、维修、清扫专职人员，保持道路清洁、运行状态良好。</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7</w:t>
            </w:r>
            <w:r>
              <w:rPr>
                <w:rFonts w:eastAsiaTheme="minorEastAsia"/>
                <w:color w:val="000000" w:themeColor="text1"/>
                <w:sz w:val="24"/>
                <w14:textFill>
                  <w14:solidFill>
                    <w14:schemeClr w14:val="tx1"/>
                  </w14:solidFill>
                </w14:textFill>
              </w:rPr>
              <w:t>）运输车辆进入施工场地应低速行驶，或限速行驶，以减少产尘量，并定时对车辆进行冲洗。防止带泥土的运输车辆驶出现场和遗撤渣土在路途中。</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8</w:t>
            </w:r>
            <w:r>
              <w:rPr>
                <w:rFonts w:eastAsiaTheme="minorEastAsia"/>
                <w:color w:val="000000" w:themeColor="text1"/>
                <w:sz w:val="24"/>
                <w14:textFill>
                  <w14:solidFill>
                    <w14:schemeClr w14:val="tx1"/>
                  </w14:solidFill>
                </w14:textFill>
              </w:rPr>
              <w:t>）粉细散装材料，应尽量采取库内存放，如露天存放应采用土工布进行严密遮盖及围挡措施。</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w:t>
            </w:r>
            <w:r>
              <w:rPr>
                <w:rFonts w:hint="eastAsia" w:eastAsiaTheme="minorEastAsia"/>
                <w:color w:val="000000" w:themeColor="text1"/>
                <w:sz w:val="24"/>
                <w:szCs w:val="24"/>
                <w14:textFill>
                  <w14:solidFill>
                    <w14:schemeClr w14:val="tx1"/>
                  </w14:solidFill>
                </w14:textFill>
              </w:rPr>
              <w:t>9</w:t>
            </w:r>
            <w:r>
              <w:rPr>
                <w:rFonts w:eastAsiaTheme="minorEastAsia"/>
                <w:color w:val="000000" w:themeColor="text1"/>
                <w:sz w:val="24"/>
                <w:szCs w:val="24"/>
                <w14:textFill>
                  <w14:solidFill>
                    <w14:schemeClr w14:val="tx1"/>
                  </w14:solidFill>
                </w14:textFill>
              </w:rPr>
              <w:t>）车辆运输建筑垃圾时必须加盖封闭运输，减少抛洒。</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在主体建筑及配套设施建设的过程中需要进行焊接、切割，产生的切割、焊接废气，为无组织排放，切割主要集中在地面，切割粉尘粒径、密度较大，很快会沉降在地面，所产生的烟尘和粉尘的量均不大，影响范围局限于焊接点和切割点，主要成分为粉尘，由于施工区域空旷，在露天环境下很快得到扩散，不会形成局部高浓度区域，通过自然扩散对周边环境影响较小。</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间，汽车和各种施工机械消耗油料产生的燃油废气，主要成分为CO、NOx和总碳氢化合物（THC），由于施工点多且比较分散，加之其排放方式为间断排放，因此对于每个施工点而言施工时产生的燃油废气较少，在环境空气中经自然扩散、稀释，对周围环境产生的影响在可接受范围内。</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2、废水</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项目施工期间产生的废水主要来自少量施工人员生活废水、施工废水。</w:t>
            </w:r>
          </w:p>
          <w:p>
            <w:pPr>
              <w:spacing w:line="360" w:lineRule="auto"/>
              <w:ind w:firstLine="470" w:firstLineChars="196"/>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（1）生活污水</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本项目不设置施工营地，将施工人员均为附近村民，公厕和施工人员洗手依托现有生活设施。</w:t>
            </w:r>
          </w:p>
          <w:p>
            <w:pPr>
              <w:adjustRightInd w:val="0"/>
              <w:snapToGrid w:val="0"/>
              <w:spacing w:line="360" w:lineRule="auto"/>
              <w:ind w:firstLine="480" w:firstLineChars="200"/>
              <w:rPr>
                <w:rFonts w:eastAsiaTheme="minorEastAsia"/>
                <w:bCs/>
                <w:color w:val="000000" w:themeColor="text1"/>
                <w:sz w:val="24"/>
                <w:szCs w:val="22"/>
                <w14:textFill>
                  <w14:solidFill>
                    <w14:schemeClr w14:val="tx1"/>
                  </w14:solidFill>
                </w14:textFill>
              </w:rPr>
            </w:pPr>
            <w:r>
              <w:rPr>
                <w:rFonts w:eastAsiaTheme="minorEastAsia"/>
                <w:bCs/>
                <w:color w:val="000000" w:themeColor="text1"/>
                <w:sz w:val="24"/>
                <w:szCs w:val="22"/>
                <w14:textFill>
                  <w14:solidFill>
                    <w14:schemeClr w14:val="tx1"/>
                  </w14:solidFill>
                </w14:textFill>
              </w:rPr>
              <w:t>（2）施工废水</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szCs w:val="22"/>
                <w14:textFill>
                  <w14:solidFill>
                    <w14:schemeClr w14:val="tx1"/>
                  </w14:solidFill>
                </w14:textFill>
              </w:rPr>
              <w:t>施工废水主要来自设备清洗废水和车辆轮胎清洗废水。</w:t>
            </w:r>
            <w:r>
              <w:rPr>
                <w:rFonts w:eastAsiaTheme="minorEastAsia"/>
                <w:color w:val="000000" w:themeColor="text1"/>
                <w:sz w:val="24"/>
                <w14:textFill>
                  <w14:solidFill>
                    <w14:schemeClr w14:val="tx1"/>
                  </w14:solidFill>
                </w14:textFill>
              </w:rPr>
              <w:t>施工期设备清洗废水产生量为0.</w:t>
            </w:r>
            <w:r>
              <w:rPr>
                <w:rFonts w:hint="eastAsia" w:eastAsiaTheme="minorEastAsia"/>
                <w:color w:val="000000" w:themeColor="text1"/>
                <w:sz w:val="24"/>
                <w14:textFill>
                  <w14:solidFill>
                    <w14:schemeClr w14:val="tx1"/>
                  </w14:solidFill>
                </w14:textFill>
              </w:rPr>
              <w:t>5</w:t>
            </w:r>
            <w:r>
              <w:rPr>
                <w:rFonts w:eastAsiaTheme="minorEastAsia"/>
                <w:color w:val="000000" w:themeColor="text1"/>
                <w:sz w:val="24"/>
                <w14:textFill>
                  <w14:solidFill>
                    <w14:schemeClr w14:val="tx1"/>
                  </w14:solidFill>
                </w14:textFill>
              </w:rPr>
              <w:t>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/d，项目施工期约为</w:t>
            </w:r>
            <w:r>
              <w:rPr>
                <w:rFonts w:hint="eastAsia" w:eastAsiaTheme="minorEastAsia"/>
                <w:color w:val="000000" w:themeColor="text1"/>
                <w:sz w:val="24"/>
                <w14:textFill>
                  <w14:solidFill>
                    <w14:schemeClr w14:val="tx1"/>
                  </w14:solidFill>
                </w14:textFill>
              </w:rPr>
              <w:t>3</w:t>
            </w:r>
            <w:r>
              <w:rPr>
                <w:rFonts w:eastAsiaTheme="minorEastAsia"/>
                <w:color w:val="000000" w:themeColor="text1"/>
                <w:sz w:val="24"/>
                <w14:textFill>
                  <w14:solidFill>
                    <w14:schemeClr w14:val="tx1"/>
                  </w14:solidFill>
                </w14:textFill>
              </w:rPr>
              <w:t>个月，则设备清洗废水总产生量为</w:t>
            </w:r>
            <w:r>
              <w:rPr>
                <w:rFonts w:hint="eastAsia" w:eastAsiaTheme="minorEastAsia"/>
                <w:color w:val="000000" w:themeColor="text1"/>
                <w:sz w:val="24"/>
                <w14:textFill>
                  <w14:solidFill>
                    <w14:schemeClr w14:val="tx1"/>
                  </w14:solidFill>
                </w14:textFill>
              </w:rPr>
              <w:t>45</w:t>
            </w:r>
            <w:r>
              <w:rPr>
                <w:rFonts w:eastAsiaTheme="minorEastAsia"/>
                <w:color w:val="000000" w:themeColor="text1"/>
                <w:sz w:val="24"/>
                <w14:textFill>
                  <w14:solidFill>
                    <w14:schemeClr w14:val="tx1"/>
                  </w14:solidFill>
                </w14:textFill>
              </w:rPr>
              <w:t>t，设备清洗废水经一个容积为1m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的施工废水收集池沉淀处理之后</w:t>
            </w:r>
            <w:r>
              <w:rPr>
                <w:rFonts w:eastAsiaTheme="minorEastAsia"/>
                <w:color w:val="000000" w:themeColor="text1"/>
                <w:sz w:val="24"/>
                <w:szCs w:val="22"/>
                <w14:textFill>
                  <w14:solidFill>
                    <w14:schemeClr w14:val="tx1"/>
                  </w14:solidFill>
                </w14:textFill>
              </w:rPr>
              <w:t>回用于项目内洒水降尘。施工车辆轮胎清洗废水约为0.</w:t>
            </w:r>
            <w:r>
              <w:rPr>
                <w:rFonts w:hint="eastAsia" w:eastAsiaTheme="minorEastAsia"/>
                <w:color w:val="000000" w:themeColor="text1"/>
                <w:sz w:val="24"/>
                <w:szCs w:val="22"/>
                <w14:textFill>
                  <w14:solidFill>
                    <w14:schemeClr w14:val="tx1"/>
                  </w14:solidFill>
                </w14:textFill>
              </w:rPr>
              <w:t>5</w:t>
            </w:r>
            <w:r>
              <w:rPr>
                <w:rFonts w:eastAsiaTheme="minorEastAsia"/>
                <w:color w:val="000000" w:themeColor="text1"/>
                <w:sz w:val="24"/>
                <w:szCs w:val="22"/>
                <w14:textFill>
                  <w14:solidFill>
                    <w14:schemeClr w14:val="tx1"/>
                  </w14:solidFill>
                </w14:textFill>
              </w:rPr>
              <w:t>m</w:t>
            </w:r>
            <w:r>
              <w:rPr>
                <w:rFonts w:eastAsiaTheme="minorEastAsia"/>
                <w:color w:val="000000" w:themeColor="text1"/>
                <w:sz w:val="24"/>
                <w:szCs w:val="22"/>
                <w:vertAlign w:val="superscript"/>
                <w14:textFill>
                  <w14:solidFill>
                    <w14:schemeClr w14:val="tx1"/>
                  </w14:solidFill>
                </w14:textFill>
              </w:rPr>
              <w:t>3</w:t>
            </w:r>
            <w:r>
              <w:rPr>
                <w:rFonts w:eastAsiaTheme="minorEastAsia"/>
                <w:color w:val="000000" w:themeColor="text1"/>
                <w:sz w:val="24"/>
                <w:szCs w:val="22"/>
                <w14:textFill>
                  <w14:solidFill>
                    <w14:schemeClr w14:val="tx1"/>
                  </w14:solidFill>
                </w14:textFill>
              </w:rPr>
              <w:t>/d，施工车辆清洗废水循环利用，不外排。项目应在施工现场出入口处设置1个容积为</w:t>
            </w:r>
            <w:r>
              <w:rPr>
                <w:rFonts w:eastAsiaTheme="minorEastAsia"/>
                <w:color w:val="000000" w:themeColor="text1"/>
                <w:sz w:val="24"/>
                <w14:textFill>
                  <w14:solidFill>
                    <w14:schemeClr w14:val="tx1"/>
                  </w14:solidFill>
                </w14:textFill>
              </w:rPr>
              <w:t>1m</w:t>
            </w:r>
            <w:r>
              <w:rPr>
                <w:rFonts w:eastAsiaTheme="minorEastAsia"/>
                <w:color w:val="000000" w:themeColor="text1"/>
                <w:sz w:val="24"/>
                <w:vertAlign w:val="superscript"/>
                <w14:textFill>
                  <w14:solidFill>
                    <w14:schemeClr w14:val="tx1"/>
                  </w14:solidFill>
                </w14:textFill>
              </w:rPr>
              <w:t>3</w:t>
            </w:r>
            <w:r>
              <w:rPr>
                <w:rFonts w:eastAsiaTheme="minorEastAsia"/>
                <w:color w:val="000000" w:themeColor="text1"/>
                <w:sz w:val="24"/>
                <w14:textFill>
                  <w14:solidFill>
                    <w14:schemeClr w14:val="tx1"/>
                  </w14:solidFill>
                </w14:textFill>
              </w:rPr>
              <w:t>的车辆清洗池，对进出施工现场的车辆轮胎进行清洗</w:t>
            </w:r>
            <w:r>
              <w:rPr>
                <w:rFonts w:eastAsiaTheme="minorEastAsia"/>
                <w:color w:val="000000" w:themeColor="text1"/>
                <w:sz w:val="24"/>
                <w:szCs w:val="22"/>
                <w14:textFill>
                  <w14:solidFill>
                    <w14:schemeClr w14:val="tx1"/>
                  </w14:solidFill>
                </w14:textFill>
              </w:rPr>
              <w:t>。</w:t>
            </w:r>
            <w:r>
              <w:rPr>
                <w:rFonts w:eastAsiaTheme="minorEastAsia"/>
                <w:color w:val="000000" w:themeColor="text1"/>
                <w:sz w:val="24"/>
                <w14:textFill>
                  <w14:solidFill>
                    <w14:schemeClr w14:val="tx1"/>
                  </w14:solidFill>
                </w14:textFill>
              </w:rPr>
              <w:t>采取以上措施后，项目施工废水对地表水环境影响不大。</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采取以上措施后，项目施工废水对地表水环境影响不大。</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综上所述，项目施工过程中严格采取环评提出的措施后，对周围地表水环境的影响不大。</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3、噪声</w:t>
            </w:r>
          </w:p>
          <w:p>
            <w:pPr>
              <w:spacing w:line="360" w:lineRule="auto"/>
              <w:ind w:firstLine="480" w:firstLineChars="200"/>
              <w:rPr>
                <w:rFonts w:eastAsiaTheme="minorEastAsia"/>
                <w:color w:val="000000" w:themeColor="text1"/>
                <w:sz w:val="24"/>
                <w14:textFill>
                  <w14:solidFill>
                    <w14:schemeClr w14:val="tx1"/>
                  </w14:solidFill>
                </w14:textFill>
              </w:rPr>
            </w:pPr>
            <w:r>
              <w:rPr>
                <w:color w:val="000000" w:themeColor="text1"/>
                <w:kern w:val="0"/>
                <w:sz w:val="24"/>
                <w14:textFill>
                  <w14:solidFill>
                    <w14:schemeClr w14:val="tx1"/>
                  </w14:solidFill>
                </w14:textFill>
              </w:rPr>
              <w:t>施工期主要噪声源为各类机械设备噪声及物料运输的交通噪声。各噪声源声功率级介于75~110dB（A），会对周围声环境产生一定的影响。但施工期其噪声影响是短暂的，一旦施工活动结束，施工噪声也将随之结束。为保证项目周边声环境质量不受过分的影响，施工单位务必规范施工行为，采取如下污染防范措施：</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（1）建设单位应尽量选用低噪声机械设备。同时在施工过程中设专人对设备进行保养和维护，并负责对现场工作人员进行培训，严格按操作规范使用各类机械。</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2</w:t>
            </w:r>
            <w:r>
              <w:rPr>
                <w:rFonts w:eastAsiaTheme="minorEastAsia"/>
                <w:color w:val="000000" w:themeColor="text1"/>
                <w:sz w:val="24"/>
                <w14:textFill>
                  <w14:solidFill>
                    <w14:schemeClr w14:val="tx1"/>
                  </w14:solidFill>
                </w14:textFill>
              </w:rPr>
              <w:t>）施工期运输车辆应尽量保持良好车况，合理调度，尽可能匀速慢行。</w:t>
            </w:r>
          </w:p>
          <w:p>
            <w:pPr>
              <w:spacing w:line="360" w:lineRule="auto"/>
              <w:ind w:firstLine="480" w:firstLineChars="200"/>
              <w:outlineLvl w:val="0"/>
              <w:rPr>
                <w:rFonts w:eastAsiaTheme="minorEastAsia"/>
                <w:color w:val="000000" w:themeColor="text1"/>
                <w:sz w:val="24"/>
                <w14:textFill>
                  <w14:solidFill>
                    <w14:schemeClr w14:val="tx1"/>
                  </w14:solidFill>
                </w14:textFill>
              </w:rPr>
            </w:pPr>
            <w:bookmarkStart w:id="28" w:name="_Toc507402452"/>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3</w:t>
            </w:r>
            <w:r>
              <w:rPr>
                <w:rFonts w:eastAsiaTheme="minorEastAsia"/>
                <w:color w:val="000000" w:themeColor="text1"/>
                <w:sz w:val="24"/>
                <w14:textFill>
                  <w14:solidFill>
                    <w14:schemeClr w14:val="tx1"/>
                  </w14:solidFill>
                </w14:textFill>
              </w:rPr>
              <w:t>）施工期间必须严格按GB12523-20</w:t>
            </w:r>
            <w:r>
              <w:rPr>
                <w:rFonts w:hint="eastAsia" w:eastAsiaTheme="minorEastAsia"/>
                <w:color w:val="000000" w:themeColor="text1"/>
                <w:sz w:val="24"/>
                <w14:textFill>
                  <w14:solidFill>
                    <w14:schemeClr w14:val="tx1"/>
                  </w14:solidFill>
                </w14:textFill>
              </w:rPr>
              <w:t>25</w:t>
            </w:r>
            <w:r>
              <w:rPr>
                <w:rFonts w:eastAsiaTheme="minorEastAsia"/>
                <w:color w:val="000000" w:themeColor="text1"/>
                <w:sz w:val="24"/>
                <w14:textFill>
                  <w14:solidFill>
                    <w14:schemeClr w14:val="tx1"/>
                  </w14:solidFill>
                </w14:textFill>
              </w:rPr>
              <w:t>《建筑施工噪声排放标准》进行施工时间、施工噪声的控制，以减少工程建设施工对周边造成的声环境影响。</w:t>
            </w:r>
            <w:bookmarkEnd w:id="28"/>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bookmarkStart w:id="29" w:name="_Toc507402453"/>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4</w:t>
            </w:r>
            <w:r>
              <w:rPr>
                <w:rFonts w:eastAsiaTheme="minorEastAsia"/>
                <w:color w:val="000000" w:themeColor="text1"/>
                <w:sz w:val="24"/>
                <w14:textFill>
                  <w14:solidFill>
                    <w14:schemeClr w14:val="tx1"/>
                  </w14:solidFill>
                </w14:textFill>
              </w:rPr>
              <w:t>）建设管理部门应加强对施工场地的噪声管理，施工企业也应对施工噪声进行自律，文明施工，避免因施工噪声产生纠纷。</w:t>
            </w:r>
            <w:bookmarkEnd w:id="29"/>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加强个人防护措施。按照劳动卫生标准，控制高噪声机械施工人员的工作时间，对机械操作者及有关人员采取个人防护措施，如戴耳塞、头盔等。</w:t>
            </w:r>
          </w:p>
          <w:p>
            <w:pPr>
              <w:spacing w:line="360" w:lineRule="auto"/>
              <w:ind w:firstLine="480" w:firstLineChars="200"/>
              <w:outlineLvl w:val="0"/>
              <w:rPr>
                <w:rFonts w:eastAsiaTheme="minorEastAsia"/>
                <w:color w:val="000000" w:themeColor="text1"/>
                <w:sz w:val="24"/>
                <w14:textFill>
                  <w14:solidFill>
                    <w14:schemeClr w14:val="tx1"/>
                  </w14:solidFill>
                </w14:textFill>
              </w:rPr>
            </w:pPr>
            <w:r>
              <w:rPr>
                <w:color w:val="000000" w:themeColor="text1"/>
                <w:kern w:val="0"/>
                <w:sz w:val="24"/>
                <w14:textFill>
                  <w14:solidFill>
                    <w14:schemeClr w14:val="tx1"/>
                  </w14:solidFill>
                </w14:textFill>
              </w:rPr>
              <w:t>采取以上措施后可以有效减轻施工噪声对周围环境及保护目标的影响，措施可行。</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4、固废</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1</w:t>
            </w:r>
            <w:r>
              <w:rPr>
                <w:rFonts w:eastAsiaTheme="minorEastAsia"/>
                <w:bCs/>
                <w:color w:val="000000" w:themeColor="text1"/>
                <w:sz w:val="24"/>
                <w14:textFill>
                  <w14:solidFill>
                    <w14:schemeClr w14:val="tx1"/>
                  </w14:solidFill>
                </w14:textFill>
              </w:rPr>
              <w:t>）建筑垃圾</w:t>
            </w:r>
          </w:p>
          <w:p>
            <w:pPr>
              <w:tabs>
                <w:tab w:val="left" w:pos="1800"/>
              </w:tabs>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本项目产生的建筑垃圾集中处理，分类收集并尽可能的回收再利用，不能回收利用的统一收集、清运至城建部门指定地点，因此对周边环境影响较小。</w:t>
            </w:r>
          </w:p>
          <w:p>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2</w:t>
            </w:r>
            <w:r>
              <w:rPr>
                <w:rFonts w:eastAsiaTheme="minorEastAsia"/>
                <w:bCs/>
                <w:color w:val="000000" w:themeColor="text1"/>
                <w:sz w:val="24"/>
                <w14:textFill>
                  <w14:solidFill>
                    <w14:schemeClr w14:val="tx1"/>
                  </w14:solidFill>
                </w14:textFill>
              </w:rPr>
              <w:t>）施工人员生活垃圾</w:t>
            </w:r>
          </w:p>
          <w:p>
            <w:pPr>
              <w:spacing w:line="360" w:lineRule="auto"/>
              <w:ind w:firstLine="480" w:firstLineChars="200"/>
              <w:rPr>
                <w:rFonts w:eastAsiaTheme="minorEastAsia"/>
                <w:color w:val="000000" w:themeColor="text1"/>
                <w:sz w:val="24"/>
                <w14:textFill>
                  <w14:solidFill>
                    <w14:schemeClr w14:val="tx1"/>
                  </w14:solidFill>
                </w14:textFill>
              </w:rPr>
            </w:pPr>
            <w:r>
              <w:rPr>
                <w:color w:val="000000" w:themeColor="text1"/>
                <w:kern w:val="0"/>
                <w:sz w:val="24"/>
                <w14:textFill>
                  <w14:solidFill>
                    <w14:schemeClr w14:val="tx1"/>
                  </w14:solidFill>
                </w14:textFill>
              </w:rPr>
              <w:t>本项目施工期为</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个月，施工期施工人员按10人计算，每人每天产生0.5kg，施工期生活垃圾产生量约0.</w:t>
            </w:r>
            <w:r>
              <w:rPr>
                <w:rFonts w:hint="eastAsia"/>
                <w:color w:val="000000" w:themeColor="text1"/>
                <w:kern w:val="0"/>
                <w:sz w:val="24"/>
                <w14:textFill>
                  <w14:solidFill>
                    <w14:schemeClr w14:val="tx1"/>
                  </w14:solidFill>
                </w14:textFill>
              </w:rPr>
              <w:t>45</w:t>
            </w:r>
            <w:r>
              <w:rPr>
                <w:color w:val="000000" w:themeColor="text1"/>
                <w:kern w:val="0"/>
                <w:sz w:val="24"/>
                <w14:textFill>
                  <w14:solidFill>
                    <w14:schemeClr w14:val="tx1"/>
                  </w14:solidFill>
                </w14:textFill>
              </w:rPr>
              <w:t>t，</w:t>
            </w:r>
            <w:r>
              <w:rPr>
                <w:rFonts w:eastAsiaTheme="minorEastAsia"/>
                <w:color w:val="000000" w:themeColor="text1"/>
                <w:sz w:val="24"/>
                <w14:textFill>
                  <w14:solidFill>
                    <w14:schemeClr w14:val="tx1"/>
                  </w14:solidFill>
                </w14:textFill>
              </w:rPr>
              <w:t>本项目施工现场设置生活垃圾集中堆放点，同时还应加强管理，</w:t>
            </w:r>
            <w:r>
              <w:rPr>
                <w:rFonts w:eastAsiaTheme="minorEastAsia"/>
                <w:color w:val="000000" w:themeColor="text1"/>
                <w:sz w:val="24"/>
                <w:szCs w:val="22"/>
                <w14:textFill>
                  <w14:solidFill>
                    <w14:schemeClr w14:val="tx1"/>
                  </w14:solidFill>
                </w14:textFill>
              </w:rPr>
              <w:t>增强施工人员环境保护意识，从而减轻集中收集的难度，</w:t>
            </w:r>
            <w:r>
              <w:rPr>
                <w:rFonts w:eastAsiaTheme="minorEastAsia"/>
                <w:color w:val="000000" w:themeColor="text1"/>
                <w:sz w:val="24"/>
                <w14:textFill>
                  <w14:solidFill>
                    <w14:schemeClr w14:val="tx1"/>
                  </w14:solidFill>
                </w14:textFill>
              </w:rPr>
              <w:t>统一收集后交由当地环卫部门定期清运，对周围环境影响不大。</w:t>
            </w:r>
          </w:p>
          <w:p>
            <w:pPr>
              <w:pStyle w:val="17"/>
              <w:adjustRightIn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综上所述，项目施工过程中严格采取环评提出的措施后，固体废物均得到妥善处置，对周围环境影响不大。</w:t>
            </w: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p>
            <w:pPr>
              <w:pStyle w:val="17"/>
              <w:adjustRightInd w:val="0"/>
              <w:spacing w:line="360" w:lineRule="auto"/>
              <w:ind w:firstLine="480" w:firstLineChars="200"/>
              <w:rPr>
                <w:bCs/>
                <w:color w:val="000000" w:themeColor="text1"/>
                <w:sz w:val="24"/>
                <w14:textFill>
                  <w14:solidFill>
                    <w14:schemeClr w14:val="tx1"/>
                  </w14:solidFill>
                </w14:textFill>
              </w:rPr>
            </w:pPr>
          </w:p>
        </w:tc>
      </w:tr>
    </w:tbl>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br w:type="page"/>
      </w:r>
    </w:p>
    <w:tbl>
      <w:tblPr>
        <w:tblStyle w:val="23"/>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911" w:hRule="atLeast"/>
          <w:jc w:val="center"/>
        </w:trPr>
        <w:tc>
          <w:tcPr>
            <w:tcW w:w="288"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措施</w:t>
            </w:r>
          </w:p>
        </w:tc>
        <w:tc>
          <w:tcPr>
            <w:tcW w:w="8693" w:type="dxa"/>
            <w:vMerge w:val="restart"/>
            <w:vAlign w:val="center"/>
          </w:tcPr>
          <w:p>
            <w:pPr>
              <w:pStyle w:val="17"/>
              <w:adjustRightInd w:val="0"/>
              <w:spacing w:line="360" w:lineRule="auto"/>
              <w:rPr>
                <w:b/>
                <w:bCs/>
                <w:color w:val="000000" w:themeColor="text1"/>
                <w:spacing w:val="-10"/>
                <w:sz w:val="24"/>
                <w:szCs w:val="24"/>
                <w14:textFill>
                  <w14:solidFill>
                    <w14:schemeClr w14:val="tx1"/>
                  </w14:solidFill>
                </w14:textFill>
              </w:rPr>
            </w:pPr>
            <w:r>
              <w:rPr>
                <w:b/>
                <w:bCs/>
                <w:color w:val="000000" w:themeColor="text1"/>
                <w:sz w:val="24"/>
                <w:szCs w:val="24"/>
                <w14:textFill>
                  <w14:solidFill>
                    <w14:schemeClr w14:val="tx1"/>
                  </w14:solidFill>
                </w14:textFill>
              </w:rPr>
              <w:t>一、废气</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1、废气污染物产排核算过程</w:t>
            </w:r>
          </w:p>
          <w:p>
            <w:pPr>
              <w:pStyle w:val="79"/>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本项目废气主要为</w:t>
            </w:r>
            <w:r>
              <w:rPr>
                <w:rFonts w:hint="eastAsia"/>
                <w:color w:val="000000" w:themeColor="text1"/>
                <w:sz w:val="24"/>
                <w:szCs w:val="24"/>
                <w14:textFill>
                  <w14:solidFill>
                    <w14:schemeClr w14:val="tx1"/>
                  </w14:solidFill>
                </w14:textFill>
              </w:rPr>
              <w:t>投料</w:t>
            </w:r>
            <w:r>
              <w:rPr>
                <w:color w:val="000000" w:themeColor="text1"/>
                <w:sz w:val="24"/>
                <w:szCs w:val="24"/>
                <w14:textFill>
                  <w14:solidFill>
                    <w14:schemeClr w14:val="tx1"/>
                  </w14:solidFill>
                </w14:textFill>
              </w:rPr>
              <w:t>粉尘</w:t>
            </w:r>
            <w:r>
              <w:rPr>
                <w:rFonts w:hint="eastAsia"/>
                <w:color w:val="000000" w:themeColor="text1"/>
                <w:sz w:val="24"/>
                <w:szCs w:val="24"/>
                <w14:textFill>
                  <w14:solidFill>
                    <w14:schemeClr w14:val="tx1"/>
                  </w14:solidFill>
                </w14:textFill>
              </w:rPr>
              <w:t>、原料煤堆存少量粉尘、混合（翻堆搅拌）粉尘、异味</w:t>
            </w:r>
            <w:r>
              <w:rPr>
                <w:color w:val="000000" w:themeColor="text1"/>
                <w:sz w:val="24"/>
                <w:szCs w:val="24"/>
                <w14:textFill>
                  <w14:solidFill>
                    <w14:schemeClr w14:val="tx1"/>
                  </w14:solidFill>
                </w14:textFill>
              </w:rPr>
              <w:t>。</w:t>
            </w:r>
          </w:p>
          <w:p>
            <w:pPr>
              <w:adjustRightInd w:val="0"/>
              <w:spacing w:line="360" w:lineRule="auto"/>
              <w:ind w:firstLine="482" w:firstLineChars="200"/>
              <w:outlineLvl w:val="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1.1</w:t>
            </w:r>
            <w:r>
              <w:rPr>
                <w:b/>
                <w:color w:val="000000" w:themeColor="text1"/>
                <w:sz w:val="24"/>
                <w14:textFill>
                  <w14:solidFill>
                    <w14:schemeClr w14:val="tx1"/>
                  </w14:solidFill>
                </w14:textFill>
              </w:rPr>
              <w:t>污染物产生源强核算</w:t>
            </w:r>
          </w:p>
          <w:p>
            <w:pPr>
              <w:pStyle w:val="79"/>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（1）原料库堆场粉尘</w:t>
            </w:r>
          </w:p>
          <w:p>
            <w:pPr>
              <w:pStyle w:val="80"/>
              <w:spacing w:line="360" w:lineRule="auto"/>
              <w:ind w:right="176" w:firstLine="496" w:firstLineChars="200"/>
              <w:rPr>
                <w:rFonts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pacing w:val="4"/>
                <w:sz w:val="24"/>
                <w:szCs w:val="24"/>
                <w:lang w:eastAsia="zh-CN"/>
                <w14:textFill>
                  <w14:solidFill>
                    <w14:schemeClr w14:val="tx1"/>
                  </w14:solidFill>
                </w14:textFill>
              </w:rPr>
              <w:t>本项目原料库堆场</w:t>
            </w:r>
            <w:r>
              <w:rPr>
                <w:rFonts w:ascii="Times New Roman" w:hAnsi="Times New Roman" w:cs="Times New Roman"/>
                <w:color w:val="000000" w:themeColor="text1"/>
                <w:spacing w:val="-1"/>
                <w:sz w:val="24"/>
                <w:szCs w:val="24"/>
                <w:lang w:eastAsia="zh-CN"/>
                <w14:textFill>
                  <w14:solidFill>
                    <w14:schemeClr w14:val="tx1"/>
                  </w14:solidFill>
                </w14:textFill>
              </w:rPr>
              <w:t>在晴朗有风天气条件下会产生扬尘，呈无组织排放</w:t>
            </w:r>
            <w:r>
              <w:rPr>
                <w:rFonts w:hint="eastAsia" w:ascii="Times New Roman" w:hAnsi="Times New Roman" w:cs="Times New Roman"/>
                <w:color w:val="000000" w:themeColor="text1"/>
                <w:spacing w:val="-1"/>
                <w:sz w:val="24"/>
                <w:szCs w:val="24"/>
                <w:lang w:eastAsia="zh-CN"/>
                <w14:textFill>
                  <w14:solidFill>
                    <w14:schemeClr w14:val="tx1"/>
                  </w14:solidFill>
                </w14:textFill>
              </w:rPr>
              <w:t>；</w:t>
            </w:r>
            <w:r>
              <w:rPr>
                <w:rFonts w:ascii="Times New Roman" w:hAnsi="Times New Roman" w:cs="Times New Roman"/>
                <w:color w:val="000000" w:themeColor="text1"/>
                <w:spacing w:val="-1"/>
                <w:sz w:val="24"/>
                <w:szCs w:val="24"/>
                <w:lang w:eastAsia="zh-CN"/>
                <w14:textFill>
                  <w14:solidFill>
                    <w14:schemeClr w14:val="tx1"/>
                  </w14:solidFill>
                </w14:textFill>
              </w:rPr>
              <w:t>采用西安冶金建筑学院的起尘量推荐公式计算，公式为：</w:t>
            </w:r>
          </w:p>
          <w:p>
            <w:pPr>
              <w:spacing w:line="360" w:lineRule="auto"/>
              <w:ind w:left="1821"/>
              <w:rPr>
                <w:color w:val="000000" w:themeColor="text1"/>
                <w:sz w:val="24"/>
                <w14:textFill>
                  <w14:solidFill>
                    <w14:schemeClr w14:val="tx1"/>
                  </w14:solidFill>
                </w14:textFill>
              </w:rPr>
            </w:pPr>
            <w:r>
              <w:rPr>
                <w:color w:val="000000" w:themeColor="text1"/>
                <w:spacing w:val="-1"/>
                <w:position w:val="3"/>
                <w:sz w:val="24"/>
                <w14:textFill>
                  <w14:solidFill>
                    <w14:schemeClr w14:val="tx1"/>
                  </w14:solidFill>
                </w14:textFill>
              </w:rPr>
              <w:t>Q=4.23×10</w:t>
            </w:r>
            <w:r>
              <w:rPr>
                <w:color w:val="000000" w:themeColor="text1"/>
                <w:spacing w:val="-1"/>
                <w:position w:val="10"/>
                <w:sz w:val="24"/>
                <w14:textFill>
                  <w14:solidFill>
                    <w14:schemeClr w14:val="tx1"/>
                  </w14:solidFill>
                </w14:textFill>
              </w:rPr>
              <w:t>-4</w:t>
            </w:r>
            <w:r>
              <w:rPr>
                <w:color w:val="000000" w:themeColor="text1"/>
                <w:spacing w:val="-1"/>
                <w:position w:val="3"/>
                <w:sz w:val="24"/>
                <w14:textFill>
                  <w14:solidFill>
                    <w14:schemeClr w14:val="tx1"/>
                  </w14:solidFill>
                </w14:textFill>
              </w:rPr>
              <w:t>×U</w:t>
            </w:r>
            <w:r>
              <w:rPr>
                <w:color w:val="000000" w:themeColor="text1"/>
                <w:spacing w:val="-1"/>
                <w:position w:val="10"/>
                <w:sz w:val="24"/>
                <w14:textFill>
                  <w14:solidFill>
                    <w14:schemeClr w14:val="tx1"/>
                  </w14:solidFill>
                </w14:textFill>
              </w:rPr>
              <w:t>4.9</w:t>
            </w:r>
            <w:r>
              <w:rPr>
                <w:color w:val="000000" w:themeColor="text1"/>
                <w:spacing w:val="-19"/>
                <w:position w:val="10"/>
                <w:sz w:val="24"/>
                <w14:textFill>
                  <w14:solidFill>
                    <w14:schemeClr w14:val="tx1"/>
                  </w14:solidFill>
                </w14:textFill>
              </w:rPr>
              <w:t xml:space="preserve"> </w:t>
            </w:r>
            <w:r>
              <w:rPr>
                <w:color w:val="000000" w:themeColor="text1"/>
                <w:spacing w:val="-1"/>
                <w:position w:val="3"/>
                <w:sz w:val="24"/>
                <w14:textFill>
                  <w14:solidFill>
                    <w14:schemeClr w14:val="tx1"/>
                  </w14:solidFill>
                </w14:textFill>
              </w:rPr>
              <w:t>×AP</w:t>
            </w:r>
          </w:p>
          <w:p>
            <w:pPr>
              <w:pStyle w:val="80"/>
              <w:spacing w:line="360" w:lineRule="auto"/>
              <w:ind w:left="1125"/>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pacing w:val="-1"/>
                <w:sz w:val="24"/>
                <w:szCs w:val="24"/>
                <w:lang w:eastAsia="zh-CN"/>
                <w14:textFill>
                  <w14:solidFill>
                    <w14:schemeClr w14:val="tx1"/>
                  </w14:solidFill>
                </w14:textFill>
              </w:rPr>
              <w:t>式中：Q—堆场起尘强度，mg/s；</w:t>
            </w:r>
          </w:p>
          <w:p>
            <w:pPr>
              <w:pStyle w:val="80"/>
              <w:spacing w:line="360" w:lineRule="auto"/>
              <w:ind w:left="1715" w:right="3537"/>
              <w:rPr>
                <w:rFonts w:ascii="Times New Roman" w:hAnsi="Times New Roman" w:cs="Times New Roman"/>
                <w:color w:val="000000" w:themeColor="text1"/>
                <w:spacing w:val="-5"/>
                <w:sz w:val="24"/>
                <w:szCs w:val="24"/>
                <w:lang w:eastAsia="zh-CN"/>
                <w14:textFill>
                  <w14:solidFill>
                    <w14:schemeClr w14:val="tx1"/>
                  </w14:solidFill>
                </w14:textFill>
              </w:rPr>
            </w:pPr>
            <w:r>
              <w:rPr>
                <w:rFonts w:ascii="Times New Roman" w:hAnsi="Times New Roman" w:cs="Times New Roman"/>
                <w:color w:val="000000" w:themeColor="text1"/>
                <w:spacing w:val="-5"/>
                <w:sz w:val="24"/>
                <w:szCs w:val="24"/>
                <w:lang w:eastAsia="zh-CN"/>
                <w14:textFill>
                  <w14:solidFill>
                    <w14:schemeClr w14:val="tx1"/>
                  </w14:solidFill>
                </w14:textFill>
              </w:rPr>
              <w:t>U—地面平均风速</w:t>
            </w:r>
            <w:r>
              <w:rPr>
                <w:rFonts w:hint="eastAsia" w:ascii="Times New Roman" w:hAnsi="Times New Roman" w:cs="Times New Roman"/>
                <w:color w:val="000000" w:themeColor="text1"/>
                <w:spacing w:val="-5"/>
                <w:sz w:val="24"/>
                <w:szCs w:val="24"/>
                <w:lang w:eastAsia="zh-CN"/>
                <w14:textFill>
                  <w14:solidFill>
                    <w14:schemeClr w14:val="tx1"/>
                  </w14:solidFill>
                </w14:textFill>
              </w:rPr>
              <w:t>1.2</w:t>
            </w:r>
            <w:r>
              <w:rPr>
                <w:rFonts w:ascii="Times New Roman" w:hAnsi="Times New Roman" w:cs="Times New Roman"/>
                <w:color w:val="000000" w:themeColor="text1"/>
                <w:spacing w:val="-5"/>
                <w:sz w:val="24"/>
                <w:szCs w:val="24"/>
                <w:lang w:eastAsia="zh-CN"/>
                <w14:textFill>
                  <w14:solidFill>
                    <w14:schemeClr w14:val="tx1"/>
                  </w14:solidFill>
                </w14:textFill>
              </w:rPr>
              <w:t>m/s；</w:t>
            </w:r>
          </w:p>
          <w:p>
            <w:pPr>
              <w:pStyle w:val="80"/>
              <w:spacing w:line="360" w:lineRule="auto"/>
              <w:ind w:left="1715" w:right="3537"/>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pacing w:val="-1"/>
                <w:sz w:val="24"/>
                <w:szCs w:val="24"/>
                <w:lang w:eastAsia="zh-CN"/>
                <w14:textFill>
                  <w14:solidFill>
                    <w14:schemeClr w14:val="tx1"/>
                  </w14:solidFill>
                </w14:textFill>
              </w:rPr>
              <w:t>AP—起尘面积，m</w:t>
            </w:r>
            <w:r>
              <w:rPr>
                <w:rFonts w:hint="eastAsia" w:ascii="Times New Roman" w:hAnsi="Times New Roman" w:cs="Times New Roman"/>
                <w:color w:val="000000" w:themeColor="text1"/>
                <w:spacing w:val="-1"/>
                <w:sz w:val="24"/>
                <w:szCs w:val="24"/>
                <w:vertAlign w:val="superscript"/>
                <w:lang w:eastAsia="zh-CN"/>
                <w14:textFill>
                  <w14:solidFill>
                    <w14:schemeClr w14:val="tx1"/>
                  </w14:solidFill>
                </w14:textFill>
              </w:rPr>
              <w:t>2</w:t>
            </w:r>
            <w:r>
              <w:rPr>
                <w:rFonts w:ascii="Times New Roman" w:hAnsi="Times New Roman" w:cs="Times New Roman"/>
                <w:color w:val="000000" w:themeColor="text1"/>
                <w:spacing w:val="-1"/>
                <w:sz w:val="24"/>
                <w:szCs w:val="24"/>
                <w:lang w:eastAsia="zh-CN"/>
                <w14:textFill>
                  <w14:solidFill>
                    <w14:schemeClr w14:val="tx1"/>
                  </w14:solidFill>
                </w14:textFill>
              </w:rPr>
              <w:t>；</w:t>
            </w:r>
          </w:p>
          <w:p>
            <w:pPr>
              <w:spacing w:line="360" w:lineRule="auto"/>
              <w:ind w:firstLine="496" w:firstLineChars="200"/>
              <w:rPr>
                <w:color w:val="000000" w:themeColor="text1"/>
                <w:sz w:val="24"/>
                <w14:textFill>
                  <w14:solidFill>
                    <w14:schemeClr w14:val="tx1"/>
                  </w14:solidFill>
                </w14:textFill>
              </w:rPr>
            </w:pPr>
            <w:r>
              <w:rPr>
                <w:rFonts w:hint="eastAsia"/>
                <w:color w:val="000000" w:themeColor="text1"/>
                <w:spacing w:val="4"/>
                <w:sz w:val="24"/>
                <w14:textFill>
                  <w14:solidFill>
                    <w14:schemeClr w14:val="tx1"/>
                  </w14:solidFill>
                </w14:textFill>
              </w:rPr>
              <w:t>项目堆场</w:t>
            </w:r>
            <w:r>
              <w:rPr>
                <w:color w:val="000000" w:themeColor="text1"/>
                <w:spacing w:val="4"/>
                <w:sz w:val="24"/>
                <w14:textFill>
                  <w14:solidFill>
                    <w14:schemeClr w14:val="tx1"/>
                  </w14:solidFill>
                </w14:textFill>
              </w:rPr>
              <w:t>面积</w:t>
            </w:r>
            <w:r>
              <w:rPr>
                <w:rFonts w:hint="eastAsia"/>
                <w:color w:val="000000" w:themeColor="text1"/>
                <w:spacing w:val="4"/>
                <w:sz w:val="24"/>
                <w14:textFill>
                  <w14:solidFill>
                    <w14:schemeClr w14:val="tx1"/>
                  </w14:solidFill>
                </w14:textFill>
              </w:rPr>
              <w:t>约1000</w:t>
            </w:r>
            <w:r>
              <w:rPr>
                <w:color w:val="000000" w:themeColor="text1"/>
                <w:spacing w:val="4"/>
                <w:sz w:val="24"/>
                <w14:textFill>
                  <w14:solidFill>
                    <w14:schemeClr w14:val="tx1"/>
                  </w14:solidFill>
                </w14:textFill>
              </w:rPr>
              <w:t>m</w:t>
            </w:r>
            <w:r>
              <w:rPr>
                <w:color w:val="000000" w:themeColor="text1"/>
                <w:spacing w:val="4"/>
                <w:sz w:val="24"/>
                <w:vertAlign w:val="superscript"/>
                <w14:textFill>
                  <w14:solidFill>
                    <w14:schemeClr w14:val="tx1"/>
                  </w14:solidFill>
                </w14:textFill>
              </w:rPr>
              <w:t>2</w:t>
            </w:r>
            <w:r>
              <w:rPr>
                <w:color w:val="000000" w:themeColor="text1"/>
                <w:spacing w:val="4"/>
                <w:sz w:val="24"/>
                <w14:textFill>
                  <w14:solidFill>
                    <w14:schemeClr w14:val="tx1"/>
                  </w14:solidFill>
                </w14:textFill>
              </w:rPr>
              <w:t>，则计算堆场起尘量为</w:t>
            </w:r>
            <w:r>
              <w:rPr>
                <w:rFonts w:hint="eastAsia"/>
                <w:color w:val="000000" w:themeColor="text1"/>
                <w:spacing w:val="4"/>
                <w:sz w:val="24"/>
                <w14:textFill>
                  <w14:solidFill>
                    <w14:schemeClr w14:val="tx1"/>
                  </w14:solidFill>
                </w14:textFill>
              </w:rPr>
              <w:t>1.03mg</w:t>
            </w:r>
            <w:r>
              <w:rPr>
                <w:color w:val="000000" w:themeColor="text1"/>
                <w:spacing w:val="4"/>
                <w:sz w:val="24"/>
                <w14:textFill>
                  <w14:solidFill>
                    <w14:schemeClr w14:val="tx1"/>
                  </w14:solidFill>
                </w14:textFill>
              </w:rPr>
              <w:t>/</w:t>
            </w:r>
            <w:r>
              <w:rPr>
                <w:rFonts w:hint="eastAsia"/>
                <w:color w:val="000000" w:themeColor="text1"/>
                <w:spacing w:val="4"/>
                <w:sz w:val="24"/>
                <w14:textFill>
                  <w14:solidFill>
                    <w14:schemeClr w14:val="tx1"/>
                  </w14:solidFill>
                </w14:textFill>
              </w:rPr>
              <w:t>s</w:t>
            </w:r>
            <w:r>
              <w:rPr>
                <w:color w:val="000000" w:themeColor="text1"/>
                <w:spacing w:val="4"/>
                <w:sz w:val="24"/>
                <w14:textFill>
                  <w14:solidFill>
                    <w14:schemeClr w14:val="tx1"/>
                  </w14:solidFill>
                </w14:textFill>
              </w:rPr>
              <w:t>，</w:t>
            </w:r>
            <w:r>
              <w:rPr>
                <w:rFonts w:hint="eastAsia"/>
                <w:color w:val="000000" w:themeColor="text1"/>
                <w:spacing w:val="4"/>
                <w:sz w:val="24"/>
                <w14:textFill>
                  <w14:solidFill>
                    <w14:schemeClr w14:val="tx1"/>
                  </w14:solidFill>
                </w14:textFill>
              </w:rPr>
              <w:t>堆放</w:t>
            </w:r>
            <w:r>
              <w:rPr>
                <w:rFonts w:hint="eastAsia"/>
                <w:color w:val="000000" w:themeColor="text1"/>
                <w:sz w:val="24"/>
                <w14:textFill>
                  <w14:solidFill>
                    <w14:schemeClr w14:val="tx1"/>
                  </w14:solidFill>
                </w14:textFill>
              </w:rPr>
              <w:t>时间365天</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24h起尘，</w:t>
            </w:r>
            <w:r>
              <w:rPr>
                <w:color w:val="000000" w:themeColor="text1"/>
                <w:spacing w:val="4"/>
                <w:sz w:val="24"/>
                <w14:textFill>
                  <w14:solidFill>
                    <w14:schemeClr w14:val="tx1"/>
                  </w14:solidFill>
                </w14:textFill>
              </w:rPr>
              <w:t>即为</w:t>
            </w:r>
            <w:r>
              <w:rPr>
                <w:rFonts w:hint="eastAsia"/>
                <w:color w:val="000000" w:themeColor="text1"/>
                <w:spacing w:val="4"/>
                <w:sz w:val="24"/>
                <w14:textFill>
                  <w14:solidFill>
                    <w14:schemeClr w14:val="tx1"/>
                  </w14:solidFill>
                </w14:textFill>
              </w:rPr>
              <w:t>0.032</w:t>
            </w:r>
            <w:r>
              <w:rPr>
                <w:color w:val="000000" w:themeColor="text1"/>
                <w:spacing w:val="4"/>
                <w:sz w:val="24"/>
                <w14:textFill>
                  <w14:solidFill>
                    <w14:schemeClr w14:val="tx1"/>
                  </w14:solidFill>
                </w14:textFill>
              </w:rPr>
              <w:t>t/a</w:t>
            </w:r>
            <w:r>
              <w:rPr>
                <w:rFonts w:hint="eastAsia"/>
                <w:color w:val="000000" w:themeColor="text1"/>
                <w:spacing w:val="4"/>
                <w:sz w:val="24"/>
                <w14:textFill>
                  <w14:solidFill>
                    <w14:schemeClr w14:val="tx1"/>
                  </w14:solidFill>
                </w14:textFill>
              </w:rPr>
              <w:t>，0.0037kg/h</w:t>
            </w:r>
            <w:r>
              <w:rPr>
                <w:rFonts w:hint="eastAsia"/>
                <w:color w:val="000000" w:themeColor="text1"/>
                <w:sz w:val="24"/>
                <w14:textFill>
                  <w14:solidFill>
                    <w14:schemeClr w14:val="tx1"/>
                  </w14:solidFill>
                </w14:textFill>
              </w:rPr>
              <w:t>。西侧厂房内</w:t>
            </w:r>
            <w:r>
              <w:rPr>
                <w:rFonts w:hint="eastAsia"/>
                <w:color w:val="000000" w:themeColor="text1"/>
                <w:spacing w:val="4"/>
                <w:sz w:val="24"/>
                <w14:textFill>
                  <w14:solidFill>
                    <w14:schemeClr w14:val="tx1"/>
                  </w14:solidFill>
                </w14:textFill>
              </w:rPr>
              <w:t>设置一台移动式雾炮机，并在半封闭式的厂房内进行，根据《固体物料堆存颗粒物产排污核算系数手册》，表4粉尘控制措施-洒水抑制效率为74%，半敞开式厂房抑制效率为60%，综合抑制效率为90%，</w:t>
            </w:r>
            <w:r>
              <w:rPr>
                <w:color w:val="000000" w:themeColor="text1"/>
                <w:spacing w:val="4"/>
                <w:sz w:val="24"/>
                <w14:textFill>
                  <w14:solidFill>
                    <w14:schemeClr w14:val="tx1"/>
                  </w14:solidFill>
                </w14:textFill>
              </w:rPr>
              <w:t>堆场扬尘排放量为</w:t>
            </w:r>
            <w:r>
              <w:rPr>
                <w:rFonts w:hint="eastAsia"/>
                <w:color w:val="000000" w:themeColor="text1"/>
                <w:spacing w:val="4"/>
                <w:sz w:val="24"/>
                <w14:textFill>
                  <w14:solidFill>
                    <w14:schemeClr w14:val="tx1"/>
                  </w14:solidFill>
                </w14:textFill>
              </w:rPr>
              <w:t>0.003</w:t>
            </w:r>
            <w:r>
              <w:rPr>
                <w:color w:val="000000" w:themeColor="text1"/>
                <w:spacing w:val="4"/>
                <w:sz w:val="24"/>
                <w14:textFill>
                  <w14:solidFill>
                    <w14:schemeClr w14:val="tx1"/>
                  </w14:solidFill>
                </w14:textFill>
              </w:rPr>
              <w:t>t/a</w:t>
            </w:r>
            <w:r>
              <w:rPr>
                <w:rFonts w:hint="eastAsia"/>
                <w:color w:val="000000" w:themeColor="text1"/>
                <w:spacing w:val="4"/>
                <w:sz w:val="24"/>
                <w14:textFill>
                  <w14:solidFill>
                    <w14:schemeClr w14:val="tx1"/>
                  </w14:solidFill>
                </w14:textFill>
              </w:rPr>
              <w:t>，0.0004kg/h</w:t>
            </w:r>
            <w:r>
              <w:rPr>
                <w:rFonts w:hint="eastAsia"/>
                <w:color w:val="000000" w:themeColor="text1"/>
                <w:sz w:val="24"/>
                <w14:textFill>
                  <w14:solidFill>
                    <w14:schemeClr w14:val="tx1"/>
                  </w14:solidFill>
                </w14:textFill>
              </w:rPr>
              <w:t>。</w:t>
            </w:r>
          </w:p>
          <w:p>
            <w:pPr>
              <w:pStyle w:val="79"/>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（2）原料混合、配料粉尘</w:t>
            </w:r>
          </w:p>
          <w:p>
            <w:pPr>
              <w:pStyle w:val="17"/>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本项目年产有机肥</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万吨</w:t>
            </w:r>
            <w:r>
              <w:rPr>
                <w:rFonts w:hint="eastAsia"/>
                <w:color w:val="000000" w:themeColor="text1"/>
                <w:sz w:val="24"/>
                <w:szCs w:val="24"/>
                <w14:textFill>
                  <w14:solidFill>
                    <w14:schemeClr w14:val="tx1"/>
                  </w14:solidFill>
                </w14:textFill>
              </w:rPr>
              <w:t>、中量元素有机肥5</w:t>
            </w:r>
            <w:r>
              <w:rPr>
                <w:color w:val="000000" w:themeColor="text1"/>
                <w:sz w:val="24"/>
                <w:szCs w:val="24"/>
                <w14:textFill>
                  <w14:solidFill>
                    <w14:schemeClr w14:val="tx1"/>
                  </w14:solidFill>
                </w14:textFill>
              </w:rPr>
              <w:t>万吨，本项目采取</w:t>
            </w:r>
            <w:r>
              <w:rPr>
                <w:rFonts w:hint="eastAsia"/>
                <w:color w:val="000000" w:themeColor="text1"/>
                <w:sz w:val="24"/>
                <w:szCs w:val="24"/>
                <w14:textFill>
                  <w14:solidFill>
                    <w14:schemeClr w14:val="tx1"/>
                  </w14:solidFill>
                </w14:textFill>
              </w:rPr>
              <w:t>装载机进行原料混合</w:t>
            </w:r>
            <w:r>
              <w:rPr>
                <w:color w:val="000000" w:themeColor="text1"/>
                <w:sz w:val="24"/>
                <w:szCs w:val="24"/>
                <w14:textFill>
                  <w14:solidFill>
                    <w14:schemeClr w14:val="tx1"/>
                  </w14:solidFill>
                </w14:textFill>
              </w:rPr>
              <w:t>，为调节物料中水分，对物料进行</w:t>
            </w:r>
            <w:r>
              <w:rPr>
                <w:rFonts w:hint="eastAsia"/>
                <w:color w:val="000000" w:themeColor="text1"/>
                <w:sz w:val="24"/>
                <w:szCs w:val="24"/>
                <w14:textFill>
                  <w14:solidFill>
                    <w14:schemeClr w14:val="tx1"/>
                  </w14:solidFill>
                </w14:textFill>
              </w:rPr>
              <w:t>喷水</w:t>
            </w:r>
            <w:r>
              <w:rPr>
                <w:color w:val="000000" w:themeColor="text1"/>
                <w:sz w:val="24"/>
                <w:szCs w:val="24"/>
                <w14:textFill>
                  <w14:solidFill>
                    <w14:schemeClr w14:val="tx1"/>
                  </w14:solidFill>
                </w14:textFill>
              </w:rPr>
              <w:t xml:space="preserve">，使物料总体含水率保持在 </w:t>
            </w:r>
            <w:r>
              <w:rPr>
                <w:rFonts w:hint="eastAsia"/>
                <w:color w:val="000000" w:themeColor="text1"/>
                <w:sz w:val="24"/>
                <w:szCs w:val="24"/>
                <w14:textFill>
                  <w14:solidFill>
                    <w14:schemeClr w14:val="tx1"/>
                  </w14:solidFill>
                </w14:textFill>
              </w:rPr>
              <w:t>45-</w:t>
            </w:r>
            <w:r>
              <w:rPr>
                <w:color w:val="000000" w:themeColor="text1"/>
                <w:sz w:val="24"/>
                <w:szCs w:val="24"/>
                <w14:textFill>
                  <w14:solidFill>
                    <w14:schemeClr w14:val="tx1"/>
                  </w14:solidFill>
                </w14:textFill>
              </w:rPr>
              <w:t>50%左右，使用装载机将物料在</w:t>
            </w:r>
            <w:r>
              <w:rPr>
                <w:rFonts w:hint="eastAsia"/>
                <w:color w:val="000000" w:themeColor="text1"/>
                <w:sz w:val="24"/>
                <w:szCs w:val="24"/>
                <w14:textFill>
                  <w14:solidFill>
                    <w14:schemeClr w14:val="tx1"/>
                  </w14:solidFill>
                </w14:textFill>
              </w:rPr>
              <w:t>拌合</w:t>
            </w:r>
            <w:r>
              <w:rPr>
                <w:color w:val="000000" w:themeColor="text1"/>
                <w:sz w:val="24"/>
                <w:szCs w:val="24"/>
                <w14:textFill>
                  <w14:solidFill>
                    <w14:schemeClr w14:val="tx1"/>
                  </w14:solidFill>
                </w14:textFill>
              </w:rPr>
              <w:t>区防渗处理的地面上充分混合均匀</w:t>
            </w:r>
            <w:r>
              <w:rPr>
                <w:rFonts w:hint="eastAsia"/>
                <w:color w:val="000000" w:themeColor="text1"/>
                <w:sz w:val="24"/>
                <w:szCs w:val="24"/>
                <w14:textFill>
                  <w14:solidFill>
                    <w14:schemeClr w14:val="tx1"/>
                  </w14:solidFill>
                </w14:textFill>
              </w:rPr>
              <w:t>；发酵完成后的有机肥掺入尾矿进行配料生产中量元素有机肥，</w:t>
            </w:r>
            <w:r>
              <w:rPr>
                <w:rFonts w:hint="eastAsia"/>
                <w:color w:val="000000" w:themeColor="text1"/>
                <w:sz w:val="24"/>
                <w14:textFill>
                  <w14:solidFill>
                    <w14:schemeClr w14:val="tx1"/>
                  </w14:solidFill>
                </w14:textFill>
              </w:rPr>
              <w:t>东侧厂房内</w:t>
            </w:r>
            <w:r>
              <w:rPr>
                <w:rFonts w:hint="eastAsia"/>
                <w:color w:val="000000" w:themeColor="text1"/>
                <w:spacing w:val="4"/>
                <w:sz w:val="24"/>
                <w:szCs w:val="24"/>
                <w14:textFill>
                  <w14:solidFill>
                    <w14:schemeClr w14:val="tx1"/>
                  </w14:solidFill>
                </w14:textFill>
              </w:rPr>
              <w:t>设置一台移动式雾炮机，并在半封闭式的厂房内进行。</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参考</w:t>
            </w:r>
            <w:r>
              <w:rPr>
                <w:color w:val="000000" w:themeColor="text1"/>
                <w:sz w:val="24"/>
                <w:lang w:val="zh-CN"/>
                <w14:textFill>
                  <w14:solidFill>
                    <w14:schemeClr w14:val="tx1"/>
                  </w14:solidFill>
                </w14:textFill>
              </w:rPr>
              <w:t>《逸散性工业粉尘控制技术》</w:t>
            </w:r>
            <w:r>
              <w:rPr>
                <w:rFonts w:hint="eastAsia"/>
                <w:color w:val="000000" w:themeColor="text1"/>
                <w:sz w:val="24"/>
                <w14:textFill>
                  <w14:solidFill>
                    <w14:schemeClr w14:val="tx1"/>
                  </w14:solidFill>
                </w14:textFill>
              </w:rPr>
              <w:t xml:space="preserve">第十八章 表18-1 </w:t>
            </w:r>
            <w:r>
              <w:rPr>
                <w:color w:val="000000" w:themeColor="text1"/>
                <w:sz w:val="24"/>
                <w:lang w:val="zh-CN"/>
                <w14:textFill>
                  <w14:solidFill>
                    <w14:schemeClr w14:val="tx1"/>
                  </w14:solidFill>
                </w14:textFill>
              </w:rPr>
              <w:t>粉尘产生量以0.01kg/t（</w:t>
            </w:r>
            <w:r>
              <w:rPr>
                <w:rFonts w:hint="eastAsia"/>
                <w:color w:val="000000" w:themeColor="text1"/>
                <w:sz w:val="24"/>
                <w14:textFill>
                  <w14:solidFill>
                    <w14:schemeClr w14:val="tx1"/>
                  </w14:solidFill>
                </w14:textFill>
              </w:rPr>
              <w:t>装</w:t>
            </w:r>
            <w:r>
              <w:rPr>
                <w:color w:val="000000" w:themeColor="text1"/>
                <w:sz w:val="24"/>
                <w:lang w:val="zh-CN"/>
                <w14:textFill>
                  <w14:solidFill>
                    <w14:schemeClr w14:val="tx1"/>
                  </w14:solidFill>
                </w14:textFill>
              </w:rPr>
              <w:t>卸料）计</w:t>
            </w:r>
            <w:r>
              <w:rPr>
                <w:color w:val="000000" w:themeColor="text1"/>
                <w:sz w:val="24"/>
                <w14:textFill>
                  <w14:solidFill>
                    <w14:schemeClr w14:val="tx1"/>
                  </w14:solidFill>
                </w14:textFill>
              </w:rPr>
              <w:t>，本项目生产过程</w:t>
            </w:r>
            <w:r>
              <w:rPr>
                <w:rFonts w:hint="eastAsia"/>
                <w:color w:val="000000" w:themeColor="text1"/>
                <w:sz w:val="24"/>
                <w14:textFill>
                  <w14:solidFill>
                    <w14:schemeClr w14:val="tx1"/>
                  </w14:solidFill>
                </w14:textFill>
              </w:rPr>
              <w:t>原料主要为草炭、锯木屑和尾矿，草炭含水率为30%-40%，不易产尘，故产尘原料主要为锯木屑和尾矿，总用量为40000</w:t>
            </w:r>
            <w:r>
              <w:rPr>
                <w:color w:val="000000" w:themeColor="text1"/>
                <w:sz w:val="24"/>
                <w14:textFill>
                  <w14:solidFill>
                    <w14:schemeClr w14:val="tx1"/>
                  </w14:solidFill>
                </w14:textFill>
              </w:rPr>
              <w:t>t/a，则粉尘产生量为</w:t>
            </w:r>
            <w:r>
              <w:rPr>
                <w:rFonts w:hint="eastAsia"/>
                <w:color w:val="000000" w:themeColor="text1"/>
                <w:sz w:val="24"/>
                <w14:textFill>
                  <w14:solidFill>
                    <w14:schemeClr w14:val="tx1"/>
                  </w14:solidFill>
                </w14:textFill>
              </w:rPr>
              <w:t>0.4</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，0.13kg/h</w:t>
            </w:r>
            <w:r>
              <w:rPr>
                <w:color w:val="000000" w:themeColor="text1"/>
                <w:sz w:val="24"/>
                <w14:textFill>
                  <w14:solidFill>
                    <w14:schemeClr w14:val="tx1"/>
                  </w14:solidFill>
                </w14:textFill>
              </w:rPr>
              <w:t>。</w:t>
            </w:r>
            <w:r>
              <w:rPr>
                <w:rFonts w:hint="eastAsia"/>
                <w:color w:val="000000" w:themeColor="text1"/>
                <w:spacing w:val="4"/>
                <w:sz w:val="24"/>
                <w14:textFill>
                  <w14:solidFill>
                    <w14:schemeClr w14:val="tx1"/>
                  </w14:solidFill>
                </w14:textFill>
              </w:rPr>
              <w:t>洒水抑尘效率为74%，半敞开式厂房抑尘效率为60%，综合抑尘效率为90%，混合粉尘</w:t>
            </w:r>
            <w:r>
              <w:rPr>
                <w:color w:val="000000" w:themeColor="text1"/>
                <w:spacing w:val="4"/>
                <w:sz w:val="24"/>
                <w14:textFill>
                  <w14:solidFill>
                    <w14:schemeClr w14:val="tx1"/>
                  </w14:solidFill>
                </w14:textFill>
              </w:rPr>
              <w:t>排放量为</w:t>
            </w:r>
            <w:r>
              <w:rPr>
                <w:rFonts w:hint="eastAsia"/>
                <w:color w:val="000000" w:themeColor="text1"/>
                <w:spacing w:val="4"/>
                <w:sz w:val="24"/>
                <w14:textFill>
                  <w14:solidFill>
                    <w14:schemeClr w14:val="tx1"/>
                  </w14:solidFill>
                </w14:textFill>
              </w:rPr>
              <w:t>0.04</w:t>
            </w:r>
            <w:r>
              <w:rPr>
                <w:color w:val="000000" w:themeColor="text1"/>
                <w:spacing w:val="4"/>
                <w:sz w:val="24"/>
                <w14:textFill>
                  <w14:solidFill>
                    <w14:schemeClr w14:val="tx1"/>
                  </w14:solidFill>
                </w14:textFill>
              </w:rPr>
              <w:t>t/a</w:t>
            </w:r>
            <w:r>
              <w:rPr>
                <w:rFonts w:hint="eastAsia"/>
                <w:color w:val="000000" w:themeColor="text1"/>
                <w:spacing w:val="4"/>
                <w:sz w:val="24"/>
                <w14:textFill>
                  <w14:solidFill>
                    <w14:schemeClr w14:val="tx1"/>
                  </w14:solidFill>
                </w14:textFill>
              </w:rPr>
              <w:t>，0.013kg/h</w:t>
            </w:r>
            <w:r>
              <w:rPr>
                <w:rFonts w:hint="eastAsia"/>
                <w:color w:val="000000" w:themeColor="text1"/>
                <w:sz w:val="24"/>
                <w14:textFill>
                  <w14:solidFill>
                    <w14:schemeClr w14:val="tx1"/>
                  </w14:solidFill>
                </w14:textFill>
              </w:rPr>
              <w:t>。</w:t>
            </w:r>
          </w:p>
          <w:p>
            <w:pPr>
              <w:pStyle w:val="79"/>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（3）堆肥发酵异味</w:t>
            </w:r>
          </w:p>
          <w:p>
            <w:pPr>
              <w:pStyle w:val="79"/>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有机肥生产线采用草炭、锯木屑、尿素和尾矿作为原料，不使用粪便，发酵工序产生少量异味气体。草炭中主要成分为有机质和腐殖酸，根据查阅相关资料，腐殖酸大分子的基本结构是芳环和脂环组成，环上连有羟基、羧基、羰基、甲氧基等官能团，并含有一定量的自由基，具有生理活性，和锯木屑在堆肥发酵过程中会产生少量的异味，尿素和尾矿分别为肥料中提供氮、磷、钙等元素。</w:t>
            </w:r>
          </w:p>
          <w:p>
            <w:pPr>
              <w:pStyle w:val="79"/>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在发酵期间采用稀释后的微生物除臭剂对发酵区物料进行除臭，参考文献《除</w:t>
            </w:r>
          </w:p>
          <w:p>
            <w:pPr>
              <w:pStyle w:val="79"/>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臭菌株对NH</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和 H</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S 释放及物质转化的影响》（农业环境科学学报，2011，30（3）：585-590，刘春梅，徐凤花等）：添加除臭剂后，有机肥在发酵过程中将减少50%以上的恶臭气体产生量。本项目在厂房的顶部安装有抽排风系统，产生的少量恶臭经车间顶部抽排风系统无组织排放，同时保证车间内的空气流通，对周围环境影响不大。</w:t>
            </w:r>
          </w:p>
          <w:p>
            <w:pPr>
              <w:pStyle w:val="79"/>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（4）包装粉尘</w:t>
            </w:r>
          </w:p>
          <w:p>
            <w:pPr>
              <w:pStyle w:val="79"/>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发酵完成后的物料，质地松软，体积缩小，含水率约为30%-35%，在包装过程中会产生少量的粉尘。根据类比国重生物科技（安宁）有限公司《年生产 8 万吨肥料项目》，采用腐殖酸、秸秆、中量元素和复合发酵菌经混料、发酵、筛分和打包等环节生产有机肥，包装粉尘产物系数为0.3%kg/t。类比项目采用的原料、生产工艺与项目基本一致，所处的环境条件与本项目也一致，具有可类比性。</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本项目产品10万t/a，粉尘产生量为0.3t/a，0.1kg/h；包装位于包装区内进行，东侧厂房内</w:t>
            </w:r>
            <w:r>
              <w:rPr>
                <w:rFonts w:hint="eastAsia"/>
                <w:color w:val="000000" w:themeColor="text1"/>
                <w:spacing w:val="4"/>
                <w:sz w:val="24"/>
                <w14:textFill>
                  <w14:solidFill>
                    <w14:schemeClr w14:val="tx1"/>
                  </w14:solidFill>
                </w14:textFill>
              </w:rPr>
              <w:t>设置一台移动式雾炮机，并在半封闭式的厂房内进行，洒水抑尘效率为74%，半敞开式厂房抑尘效率为60%，综合抑尘效率为90%，</w:t>
            </w:r>
            <w:r>
              <w:rPr>
                <w:rFonts w:hint="eastAsia"/>
                <w:color w:val="000000" w:themeColor="text1"/>
                <w:sz w:val="24"/>
                <w14:textFill>
                  <w14:solidFill>
                    <w14:schemeClr w14:val="tx1"/>
                  </w14:solidFill>
                </w14:textFill>
              </w:rPr>
              <w:t>包装</w:t>
            </w:r>
            <w:r>
              <w:rPr>
                <w:rFonts w:hint="eastAsia"/>
                <w:color w:val="000000" w:themeColor="text1"/>
                <w:spacing w:val="4"/>
                <w:sz w:val="24"/>
                <w14:textFill>
                  <w14:solidFill>
                    <w14:schemeClr w14:val="tx1"/>
                  </w14:solidFill>
                </w14:textFill>
              </w:rPr>
              <w:t>粉尘</w:t>
            </w:r>
            <w:r>
              <w:rPr>
                <w:color w:val="000000" w:themeColor="text1"/>
                <w:spacing w:val="4"/>
                <w:sz w:val="24"/>
                <w14:textFill>
                  <w14:solidFill>
                    <w14:schemeClr w14:val="tx1"/>
                  </w14:solidFill>
                </w14:textFill>
              </w:rPr>
              <w:t>排放量为</w:t>
            </w:r>
            <w:r>
              <w:rPr>
                <w:rFonts w:hint="eastAsia"/>
                <w:color w:val="000000" w:themeColor="text1"/>
                <w:spacing w:val="4"/>
                <w:sz w:val="24"/>
                <w14:textFill>
                  <w14:solidFill>
                    <w14:schemeClr w14:val="tx1"/>
                  </w14:solidFill>
                </w14:textFill>
              </w:rPr>
              <w:t>0.03</w:t>
            </w:r>
            <w:r>
              <w:rPr>
                <w:color w:val="000000" w:themeColor="text1"/>
                <w:spacing w:val="4"/>
                <w:sz w:val="24"/>
                <w14:textFill>
                  <w14:solidFill>
                    <w14:schemeClr w14:val="tx1"/>
                  </w14:solidFill>
                </w14:textFill>
              </w:rPr>
              <w:t>t/a</w:t>
            </w:r>
            <w:r>
              <w:rPr>
                <w:rFonts w:hint="eastAsia"/>
                <w:color w:val="000000" w:themeColor="text1"/>
                <w:spacing w:val="4"/>
                <w:sz w:val="24"/>
                <w14:textFill>
                  <w14:solidFill>
                    <w14:schemeClr w14:val="tx1"/>
                  </w14:solidFill>
                </w14:textFill>
              </w:rPr>
              <w:t>，0.01kg/h</w:t>
            </w:r>
            <w:r>
              <w:rPr>
                <w:rFonts w:hint="eastAsia"/>
                <w:color w:val="000000" w:themeColor="text1"/>
                <w:sz w:val="24"/>
                <w14:textFill>
                  <w14:solidFill>
                    <w14:schemeClr w14:val="tx1"/>
                  </w14:solidFill>
                </w14:textFill>
              </w:rPr>
              <w:t>。</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（5）机械废气和汽车尾气</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本项目使用的</w:t>
            </w:r>
            <w:r>
              <w:rPr>
                <w:rFonts w:hint="eastAsia"/>
                <w:bCs/>
                <w:color w:val="000000" w:themeColor="text1"/>
                <w:sz w:val="24"/>
                <w14:textFill>
                  <w14:solidFill>
                    <w14:schemeClr w14:val="tx1"/>
                  </w14:solidFill>
                </w14:textFill>
              </w:rPr>
              <w:t>装载机、运输车辆</w:t>
            </w:r>
            <w:r>
              <w:rPr>
                <w:bCs/>
                <w:color w:val="000000" w:themeColor="text1"/>
                <w:sz w:val="24"/>
                <w14:textFill>
                  <w14:solidFill>
                    <w14:schemeClr w14:val="tx1"/>
                  </w14:solidFill>
                </w14:textFill>
              </w:rPr>
              <w:t>等运行过程中均产生汽车尾气，主要污染物有CO、HC和NO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等，由于项目装载车等车辆所用燃料均为符合国家质量标准的柴油，且车辆在项目内运行时间较短，所以废气产生量较小；同时项目所在地的地势高且地域空阔，扩散情况好，同时汽车按照交通管理部门要求定期检验，汽车尾气均能达到规定的排放标准，且通过项目区的绿化植物的吸收，项目汽车尾气对周围环境影响较小。少量汽车尾气经扩散降解后，对周围环境影响较小。</w:t>
            </w:r>
          </w:p>
          <w:p>
            <w:pPr>
              <w:pStyle w:val="81"/>
              <w:spacing w:line="360" w:lineRule="auto"/>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3、污染物排放量核算</w:t>
            </w:r>
          </w:p>
          <w:p>
            <w:pPr>
              <w:adjustRightInd w:val="0"/>
              <w:snapToGrid w:val="0"/>
              <w:spacing w:line="360" w:lineRule="auto"/>
              <w:ind w:firstLine="480"/>
              <w:rPr>
                <w:b/>
                <w:color w:val="000000" w:themeColor="text1"/>
                <w:sz w:val="24"/>
                <w:lang w:val="zh-CN"/>
                <w14:textFill>
                  <w14:solidFill>
                    <w14:schemeClr w14:val="tx1"/>
                  </w14:solidFill>
                </w14:textFill>
              </w:rPr>
            </w:pPr>
            <w:r>
              <w:rPr>
                <w:color w:val="000000" w:themeColor="text1"/>
                <w:sz w:val="24"/>
                <w14:textFill>
                  <w14:solidFill>
                    <w14:schemeClr w14:val="tx1"/>
                  </w14:solidFill>
                </w14:textFill>
              </w:rPr>
              <w:t>项目废气主要</w:t>
            </w:r>
            <w:r>
              <w:rPr>
                <w:rFonts w:hint="eastAsia"/>
                <w:color w:val="000000" w:themeColor="text1"/>
                <w:sz w:val="24"/>
                <w14:textFill>
                  <w14:solidFill>
                    <w14:schemeClr w14:val="tx1"/>
                  </w14:solidFill>
                </w14:textFill>
              </w:rPr>
              <w:t>来自堆场、混合和配料、发酵和包装、运输</w:t>
            </w:r>
            <w:r>
              <w:rPr>
                <w:color w:val="000000" w:themeColor="text1"/>
                <w:sz w:val="24"/>
                <w14:textFill>
                  <w14:solidFill>
                    <w14:schemeClr w14:val="tx1"/>
                  </w14:solidFill>
                </w14:textFill>
              </w:rPr>
              <w:t>过程产生的废气。项目大气污染物年排放量核算表</w:t>
            </w:r>
            <w:r>
              <w:rPr>
                <w:rFonts w:hint="eastAsia"/>
                <w:color w:val="000000" w:themeColor="text1"/>
                <w:sz w:val="24"/>
                <w14:textFill>
                  <w14:solidFill>
                    <w14:schemeClr w14:val="tx1"/>
                  </w14:solidFill>
                </w14:textFill>
              </w:rPr>
              <w:t>见</w:t>
            </w:r>
            <w:r>
              <w:rPr>
                <w:color w:val="000000" w:themeColor="text1"/>
                <w:sz w:val="24"/>
                <w14:textFill>
                  <w14:solidFill>
                    <w14:schemeClr w14:val="tx1"/>
                  </w14:solidFill>
                </w14:textFill>
              </w:rPr>
              <w:t>表</w:t>
            </w:r>
            <w:r>
              <w:rPr>
                <w:rFonts w:hint="eastAsia"/>
                <w:color w:val="000000" w:themeColor="text1"/>
                <w:sz w:val="24"/>
                <w14:textFill>
                  <w14:solidFill>
                    <w14:schemeClr w14:val="tx1"/>
                  </w14:solidFill>
                </w14:textFill>
              </w:rPr>
              <w:t>4-2、4-3</w:t>
            </w:r>
            <w:r>
              <w:rPr>
                <w:color w:val="000000" w:themeColor="text1"/>
                <w:sz w:val="24"/>
                <w14:textFill>
                  <w14:solidFill>
                    <w14:schemeClr w14:val="tx1"/>
                  </w14:solidFill>
                </w14:textFill>
              </w:rPr>
              <w:t>。</w:t>
            </w:r>
          </w:p>
          <w:p>
            <w:pPr>
              <w:adjustRightInd w:val="0"/>
              <w:snapToGrid w:val="0"/>
              <w:ind w:firstLine="422"/>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表4-2  大气污染物无组织排放量核算表</w:t>
            </w:r>
          </w:p>
          <w:tbl>
            <w:tblPr>
              <w:tblStyle w:val="23"/>
              <w:tblW w:w="7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967"/>
              <w:gridCol w:w="2649"/>
              <w:gridCol w:w="1256"/>
              <w:gridCol w:w="108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产污环节</w:t>
                  </w:r>
                </w:p>
              </w:tc>
              <w:tc>
                <w:tcPr>
                  <w:tcW w:w="967"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w:t>
                  </w:r>
                </w:p>
              </w:tc>
              <w:tc>
                <w:tcPr>
                  <w:tcW w:w="264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主要污染防治措施</w:t>
                  </w:r>
                </w:p>
              </w:tc>
              <w:tc>
                <w:tcPr>
                  <w:tcW w:w="1256"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污染物排放标准</w:t>
                  </w: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浓度限值/（mg/m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bookmarkStart w:id="30" w:name="OLE_LINK71" w:colFirst="5" w:colLast="5"/>
                  <w:bookmarkStart w:id="31" w:name="_Hlk190102176"/>
                  <w:bookmarkStart w:id="32" w:name="OLE_LINK70" w:colFirst="5" w:colLast="5"/>
                  <w:r>
                    <w:rPr>
                      <w:rFonts w:hint="eastAsia" w:ascii="Times New Roman" w:hAnsi="Times New Roman"/>
                      <w:color w:val="000000" w:themeColor="text1"/>
                      <w:sz w:val="21"/>
                      <w:szCs w:val="21"/>
                      <w14:textFill>
                        <w14:solidFill>
                          <w14:schemeClr w14:val="tx1"/>
                        </w14:solidFill>
                      </w14:textFill>
                    </w:rPr>
                    <w:t>堆场</w:t>
                  </w:r>
                </w:p>
              </w:tc>
              <w:tc>
                <w:tcPr>
                  <w:tcW w:w="967" w:type="dxa"/>
                  <w:vAlign w:val="center"/>
                </w:tcPr>
                <w:p>
                  <w:pPr>
                    <w:pStyle w:val="19"/>
                    <w:wordWrap w:val="0"/>
                    <w:adjustRightInd w:val="0"/>
                    <w:snapToGrid w:val="0"/>
                    <w:spacing w:before="48" w:beforeLines="20" w:beforeAutospacing="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2649" w:type="dxa"/>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厂房密闭、移动式雾炮机喷雾除尘</w:t>
                  </w:r>
                </w:p>
              </w:tc>
              <w:tc>
                <w:tcPr>
                  <w:tcW w:w="1256" w:type="dxa"/>
                  <w:vMerge w:val="restart"/>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《大气污染物综合排放标准》（GB16297-1996）的表2中无组织排放监控浓度限值要求</w:t>
                  </w: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混合、配料</w:t>
                  </w:r>
                </w:p>
              </w:tc>
              <w:tc>
                <w:tcPr>
                  <w:tcW w:w="967" w:type="dxa"/>
                  <w:vAlign w:val="center"/>
                </w:tcPr>
                <w:p>
                  <w:pPr>
                    <w:pStyle w:val="19"/>
                    <w:wordWrap w:val="0"/>
                    <w:adjustRightInd w:val="0"/>
                    <w:snapToGrid w:val="0"/>
                    <w:spacing w:before="48" w:beforeLines="20" w:beforeAutospacing="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2649" w:type="dxa"/>
                  <w:vAlign w:val="center"/>
                </w:tcPr>
                <w:p>
                  <w:pPr>
                    <w:pStyle w:val="19"/>
                    <w:wordWrap w:val="0"/>
                    <w:adjustRightInd w:val="0"/>
                    <w:snapToGrid w:val="0"/>
                    <w:spacing w:before="48" w:beforeLines="20" w:beforeAutospacing="0" w:after="0" w:afterAutospacing="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厂房密闭、喷水降尘/移动式雾炮机喷雾除尘</w:t>
                  </w:r>
                </w:p>
              </w:tc>
              <w:tc>
                <w:tcPr>
                  <w:tcW w:w="1256" w:type="dxa"/>
                  <w:vMerge w:val="continue"/>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发酵</w:t>
                  </w:r>
                </w:p>
              </w:tc>
              <w:tc>
                <w:tcPr>
                  <w:tcW w:w="967"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异味</w:t>
                  </w:r>
                </w:p>
              </w:tc>
              <w:tc>
                <w:tcPr>
                  <w:tcW w:w="264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厂房密闭、喷洒生物除臭剂、车间安装抽排风系统</w:t>
                  </w:r>
                </w:p>
              </w:tc>
              <w:tc>
                <w:tcPr>
                  <w:tcW w:w="1256" w:type="dxa"/>
                  <w:vMerge w:val="continue"/>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包装</w:t>
                  </w:r>
                </w:p>
              </w:tc>
              <w:tc>
                <w:tcPr>
                  <w:tcW w:w="967"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264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厂房密闭、移动式雾炮机喷雾除尘</w:t>
                  </w:r>
                </w:p>
              </w:tc>
              <w:tc>
                <w:tcPr>
                  <w:tcW w:w="1256" w:type="dxa"/>
                  <w:vMerge w:val="continue"/>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汽车尾气</w:t>
                  </w:r>
                </w:p>
              </w:tc>
              <w:tc>
                <w:tcPr>
                  <w:tcW w:w="967"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CO、HC和NO</w:t>
                  </w:r>
                  <w:r>
                    <w:rPr>
                      <w:rFonts w:hint="eastAsia" w:ascii="Times New Roman" w:hAnsi="Times New Roman"/>
                      <w:color w:val="000000" w:themeColor="text1"/>
                      <w:sz w:val="21"/>
                      <w:szCs w:val="21"/>
                      <w:vertAlign w:val="sub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等</w:t>
                  </w:r>
                </w:p>
              </w:tc>
              <w:tc>
                <w:tcPr>
                  <w:tcW w:w="264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定期检修、大气稀释扩散</w:t>
                  </w:r>
                </w:p>
              </w:tc>
              <w:tc>
                <w:tcPr>
                  <w:tcW w:w="1256" w:type="dxa"/>
                  <w:vMerge w:val="continue"/>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080"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少量</w:t>
                  </w:r>
                </w:p>
              </w:tc>
            </w:tr>
            <w:bookmarkEnd w:id="30"/>
            <w:bookmarkEnd w:id="31"/>
            <w:bookmarkEnd w:id="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43" w:type="dxa"/>
                  <w:gridSpan w:val="6"/>
                  <w:vAlign w:val="center"/>
                </w:tcPr>
                <w:p>
                  <w:pPr>
                    <w:pStyle w:val="19"/>
                    <w:wordWrap w:val="0"/>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 w:val="21"/>
                      <w:szCs w:val="21"/>
                      <w:lang w:val="zh-CN"/>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99" w:type="dxa"/>
                  <w:gridSpan w:val="2"/>
                  <w:vAlign w:val="center"/>
                </w:tcPr>
                <w:p>
                  <w:pPr>
                    <w:widowControl/>
                    <w:wordWrap w:val="0"/>
                    <w:adjustRightInd w:val="0"/>
                    <w:snapToGrid w:val="0"/>
                    <w:spacing w:before="48" w:beforeLines="2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无组织排放总计</w:t>
                  </w:r>
                </w:p>
              </w:tc>
              <w:tc>
                <w:tcPr>
                  <w:tcW w:w="4985" w:type="dxa"/>
                  <w:gridSpan w:val="3"/>
                  <w:vAlign w:val="center"/>
                </w:tcPr>
                <w:p>
                  <w:pPr>
                    <w:pStyle w:val="71"/>
                    <w:wordWrap w:val="0"/>
                    <w:adjustRightInd w:val="0"/>
                    <w:spacing w:before="48" w:beforeLines="20"/>
                    <w:contextualSpacing/>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859" w:type="dxa"/>
                  <w:vAlign w:val="center"/>
                </w:tcPr>
                <w:p>
                  <w:pPr>
                    <w:pStyle w:val="19"/>
                    <w:adjustRightInd w:val="0"/>
                    <w:snapToGrid w:val="0"/>
                    <w:spacing w:before="48" w:beforeLines="2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0.073</w:t>
                  </w:r>
                </w:p>
              </w:tc>
            </w:tr>
          </w:tbl>
          <w:p>
            <w:pPr>
              <w:adjustRightInd w:val="0"/>
              <w:snapToGrid w:val="0"/>
              <w:ind w:firstLine="422"/>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表4-3 大气污染物年排放量核算一览表</w:t>
            </w:r>
          </w:p>
          <w:tbl>
            <w:tblPr>
              <w:tblStyle w:val="23"/>
              <w:tblW w:w="7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574"/>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widowControl/>
                    <w:spacing w:before="48" w:beforeLines="20" w:line="288" w:lineRule="auto"/>
                    <w:ind w:firstLine="420"/>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序号</w:t>
                  </w:r>
                </w:p>
              </w:tc>
              <w:tc>
                <w:tcPr>
                  <w:tcW w:w="2574" w:type="dxa"/>
                  <w:vAlign w:val="center"/>
                </w:tcPr>
                <w:p>
                  <w:pPr>
                    <w:widowControl/>
                    <w:spacing w:before="48" w:beforeLines="20" w:line="288" w:lineRule="auto"/>
                    <w:ind w:firstLine="420"/>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污染物</w:t>
                  </w:r>
                </w:p>
              </w:tc>
              <w:tc>
                <w:tcPr>
                  <w:tcW w:w="3201" w:type="dxa"/>
                  <w:vAlign w:val="center"/>
                </w:tcPr>
                <w:p>
                  <w:pPr>
                    <w:widowControl/>
                    <w:spacing w:before="48" w:beforeLines="20" w:line="288" w:lineRule="auto"/>
                    <w:ind w:firstLine="420"/>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8" w:type="dxa"/>
                  <w:vAlign w:val="center"/>
                </w:tcPr>
                <w:p>
                  <w:pPr>
                    <w:widowControl/>
                    <w:spacing w:before="48" w:beforeLines="20" w:line="288" w:lineRule="auto"/>
                    <w:ind w:firstLine="42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2574" w:type="dxa"/>
                  <w:vAlign w:val="center"/>
                </w:tcPr>
                <w:p>
                  <w:pPr>
                    <w:adjustRightInd w:val="0"/>
                    <w:snapToGrid w:val="0"/>
                    <w:spacing w:before="48" w:beforeLines="20" w:line="288" w:lineRule="auto"/>
                    <w:ind w:firstLine="42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3201" w:type="dxa"/>
                  <w:vAlign w:val="center"/>
                </w:tcPr>
                <w:p>
                  <w:pPr>
                    <w:adjustRightInd w:val="0"/>
                    <w:snapToGrid w:val="0"/>
                    <w:spacing w:before="48" w:beforeLines="20" w:line="288" w:lineRule="auto"/>
                    <w:ind w:firstLine="42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0.073</w:t>
                  </w:r>
                </w:p>
              </w:tc>
            </w:tr>
          </w:tbl>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4</w:t>
            </w:r>
            <w:r>
              <w:rPr>
                <w:b/>
                <w:color w:val="000000" w:themeColor="text1"/>
                <w:spacing w:val="-10"/>
                <w:sz w:val="24"/>
                <w:szCs w:val="24"/>
                <w14:textFill>
                  <w14:solidFill>
                    <w14:schemeClr w14:val="tx1"/>
                  </w14:solidFill>
                </w14:textFill>
              </w:rPr>
              <w:t>、废气治理设施可行性分析</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（1）恶臭废气污染治理</w:t>
            </w:r>
            <w:r>
              <w:rPr>
                <w:rFonts w:hint="eastAsia"/>
                <w:bCs/>
                <w:color w:val="000000" w:themeColor="text1"/>
                <w:spacing w:val="-10"/>
                <w:sz w:val="24"/>
                <w:szCs w:val="24"/>
                <w14:textFill>
                  <w14:solidFill>
                    <w14:schemeClr w14:val="tx1"/>
                  </w14:solidFill>
                </w14:textFill>
              </w:rPr>
              <w:t>措施</w:t>
            </w:r>
          </w:p>
          <w:p>
            <w:pPr>
              <w:pStyle w:val="79"/>
              <w:spacing w:line="360" w:lineRule="auto"/>
              <w:ind w:firstLine="440" w:firstLineChars="200"/>
              <w:rPr>
                <w:color w:val="000000" w:themeColor="text1"/>
                <w:sz w:val="24"/>
                <w:szCs w:val="24"/>
                <w14:textFill>
                  <w14:solidFill>
                    <w14:schemeClr w14:val="tx1"/>
                  </w14:solidFill>
                </w14:textFill>
              </w:rPr>
            </w:pPr>
            <w:r>
              <w:rPr>
                <w:bCs/>
                <w:color w:val="000000" w:themeColor="text1"/>
                <w:spacing w:val="-10"/>
                <w:sz w:val="24"/>
                <w:szCs w:val="24"/>
                <w14:textFill>
                  <w14:solidFill>
                    <w14:schemeClr w14:val="tx1"/>
                  </w14:solidFill>
                </w14:textFill>
              </w:rPr>
              <w:t>本项目的发酵车间占地面积较大，车间较空旷，且为便于运输物料，无法对车间进行全封闭</w:t>
            </w:r>
            <w:r>
              <w:rPr>
                <w:rFonts w:hint="eastAsia"/>
                <w:bCs/>
                <w:color w:val="000000" w:themeColor="text1"/>
                <w:spacing w:val="-10"/>
                <w:sz w:val="24"/>
                <w:szCs w:val="24"/>
                <w14:textFill>
                  <w14:solidFill>
                    <w14:schemeClr w14:val="tx1"/>
                  </w14:solidFill>
                </w14:textFill>
              </w:rPr>
              <w:t>；且项目不使用粪便，原料中的</w:t>
            </w:r>
            <w:r>
              <w:rPr>
                <w:rFonts w:hint="eastAsia"/>
                <w:color w:val="000000" w:themeColor="text1"/>
                <w:sz w:val="24"/>
                <w:szCs w:val="24"/>
                <w14:textFill>
                  <w14:solidFill>
                    <w14:schemeClr w14:val="tx1"/>
                  </w14:solidFill>
                </w14:textFill>
              </w:rPr>
              <w:t>草炭主要成分为有机质和腐殖酸，腐殖酸大分子的基本结构是芳环和脂环组成，环上连有羟基、羧基、羰基、甲氧基等官能团，和锯木屑在堆肥发酵过程中会产生少量的异味，项目采用在发酵过程中喷洒生物除臭剂的方式进行恶臭气体的治理。</w:t>
            </w:r>
          </w:p>
          <w:p>
            <w:pPr>
              <w:pStyle w:val="79"/>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微生物除臭剂的工作原理：微生物除臭剂的核心在于利用特定微生物的代谢活动，将臭气中的有机物质分解为无害或低毒的物质。这些微生物通常具有高效的降解能力，可以针对常见的臭气成分进行有效分解。在适宜的条件下，这些微生物能够快速繁殖并形成优势菌群，通过竞争作用抑制臭气产生菌的生长，从而达到长期除臭的效果。微生物除臭剂的优势：①环保性，微生物除臭剂不会产生二次污染，符合绿色环保的理念；②经济性，相比其他除臭方法，微生物除臭剂的成本较低，适合长期大规模应用；③易操作性，微生物除臭剂的应用方法简单，不需要复杂的设备和技术支持；④长期效果，微生物除臭剂通过增强优势菌群的数量和活性来抑制臭气产生菌的生长，具有长期稳定的除臭效果。</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生物除臭剂普遍用于垃圾填埋场、垃圾中转站、养殖场等除臭抑蝇，能有效去除硫化氢、氨气等恶臭气体，除臭率和抑蝇率达70%以上，对人体和动植物无任何毒副作用，对环境不产生任何污染。</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经查阅《排污许可证申请与核发技术规范磷肥、钾肥、复混肥料、有机肥料及微生物肥料工业》(HJ864.2-2018)中表 15 有机肥料及微生物肥料工业排污单位生产单元或设施废气治理可行技术参照表，本项目使用的生物除臭属于推荐的可行技术。</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rFonts w:hint="eastAsia"/>
                <w:bCs/>
                <w:color w:val="000000" w:themeColor="text1"/>
                <w:spacing w:val="-10"/>
                <w:sz w:val="24"/>
                <w:szCs w:val="24"/>
                <w14:textFill>
                  <w14:solidFill>
                    <w14:schemeClr w14:val="tx1"/>
                  </w14:solidFill>
                </w14:textFill>
              </w:rPr>
              <w:t>综上所述</w:t>
            </w:r>
            <w:r>
              <w:rPr>
                <w:bCs/>
                <w:color w:val="000000" w:themeColor="text1"/>
                <w:spacing w:val="-10"/>
                <w:sz w:val="24"/>
                <w:szCs w:val="24"/>
                <w14:textFill>
                  <w14:solidFill>
                    <w14:schemeClr w14:val="tx1"/>
                  </w14:solidFill>
                </w14:textFill>
              </w:rPr>
              <w:t>，</w:t>
            </w:r>
            <w:r>
              <w:rPr>
                <w:rFonts w:hint="eastAsia"/>
                <w:bCs/>
                <w:color w:val="000000" w:themeColor="text1"/>
                <w:spacing w:val="-10"/>
                <w:sz w:val="24"/>
                <w:szCs w:val="24"/>
                <w14:textFill>
                  <w14:solidFill>
                    <w14:schemeClr w14:val="tx1"/>
                  </w14:solidFill>
                </w14:textFill>
              </w:rPr>
              <w:t>本项目除臭措施</w:t>
            </w:r>
            <w:r>
              <w:rPr>
                <w:bCs/>
                <w:color w:val="000000" w:themeColor="text1"/>
                <w:spacing w:val="-10"/>
                <w:sz w:val="24"/>
                <w:szCs w:val="24"/>
                <w14:textFill>
                  <w14:solidFill>
                    <w14:schemeClr w14:val="tx1"/>
                  </w14:solidFill>
                </w14:textFill>
              </w:rPr>
              <w:t>合理可行。</w:t>
            </w:r>
          </w:p>
          <w:p>
            <w:pPr>
              <w:pStyle w:val="17"/>
              <w:adjustRightInd w:val="0"/>
              <w:spacing w:line="360" w:lineRule="auto"/>
              <w:ind w:left="420" w:leftChars="200"/>
              <w:rPr>
                <w:bCs/>
                <w:color w:val="000000" w:themeColor="text1"/>
                <w:spacing w:val="-10"/>
                <w:sz w:val="24"/>
                <w:szCs w:val="24"/>
                <w14:textFill>
                  <w14:solidFill>
                    <w14:schemeClr w14:val="tx1"/>
                  </w14:solidFill>
                </w14:textFill>
              </w:rPr>
            </w:pPr>
            <w:r>
              <w:rPr>
                <w:rFonts w:hint="eastAsia"/>
                <w:bCs/>
                <w:color w:val="000000" w:themeColor="text1"/>
                <w:spacing w:val="-10"/>
                <w:sz w:val="24"/>
                <w:szCs w:val="24"/>
                <w14:textFill>
                  <w14:solidFill>
                    <w14:schemeClr w14:val="tx1"/>
                  </w14:solidFill>
                </w14:textFill>
              </w:rPr>
              <w:t>（2）粉尘</w:t>
            </w:r>
            <w:r>
              <w:rPr>
                <w:bCs/>
                <w:color w:val="000000" w:themeColor="text1"/>
                <w:spacing w:val="-10"/>
                <w:sz w:val="24"/>
                <w:szCs w:val="24"/>
                <w14:textFill>
                  <w14:solidFill>
                    <w14:schemeClr w14:val="tx1"/>
                  </w14:solidFill>
                </w14:textFill>
              </w:rPr>
              <w:t>污染治理</w:t>
            </w:r>
            <w:r>
              <w:rPr>
                <w:rFonts w:hint="eastAsia"/>
                <w:bCs/>
                <w:color w:val="000000" w:themeColor="text1"/>
                <w:spacing w:val="-10"/>
                <w:sz w:val="24"/>
                <w:szCs w:val="24"/>
                <w14:textFill>
                  <w14:solidFill>
                    <w14:schemeClr w14:val="tx1"/>
                  </w14:solidFill>
                </w14:textFill>
              </w:rPr>
              <w:t>措施</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rFonts w:hint="eastAsia"/>
                <w:bCs/>
                <w:color w:val="000000" w:themeColor="text1"/>
                <w:spacing w:val="-10"/>
                <w:sz w:val="24"/>
                <w:szCs w:val="24"/>
                <w14:textFill>
                  <w14:solidFill>
                    <w14:schemeClr w14:val="tx1"/>
                  </w14:solidFill>
                </w14:textFill>
              </w:rPr>
              <w:t>本项目在生产厂房内采用装载机进行混合、翻抛、配料，严格控制原料的含水率，使含水率保持在40%-50%之间；发酵完成后的物料，质地松软，体积缩小，含水率约为30%-35%，生产过程中产生的粉尘量较少，且采用的机械设备无法采用集中式的方式收集处理。因此，本项目生产过程采取设备均位于密闭性较好的车间内，在配料过程中加水湿润原料，同时位于东西厂房内分别设施1台雾炮机对粉尘进行洒水降尘，可满足废气排放污染防治控制要求，</w:t>
            </w:r>
            <w:r>
              <w:rPr>
                <w:bCs/>
                <w:color w:val="000000" w:themeColor="text1"/>
                <w:spacing w:val="-10"/>
                <w:sz w:val="24"/>
                <w:szCs w:val="24"/>
                <w14:textFill>
                  <w14:solidFill>
                    <w14:schemeClr w14:val="tx1"/>
                  </w14:solidFill>
                </w14:textFill>
              </w:rPr>
              <w:t>废气采用的污染治理</w:t>
            </w:r>
            <w:r>
              <w:rPr>
                <w:rFonts w:hint="eastAsia"/>
                <w:bCs/>
                <w:color w:val="000000" w:themeColor="text1"/>
                <w:spacing w:val="-10"/>
                <w:sz w:val="24"/>
                <w:szCs w:val="24"/>
                <w14:textFill>
                  <w14:solidFill>
                    <w14:schemeClr w14:val="tx1"/>
                  </w14:solidFill>
                </w14:textFill>
              </w:rPr>
              <w:t>措施</w:t>
            </w:r>
            <w:r>
              <w:rPr>
                <w:bCs/>
                <w:color w:val="000000" w:themeColor="text1"/>
                <w:spacing w:val="-10"/>
                <w:sz w:val="24"/>
                <w:szCs w:val="24"/>
                <w14:textFill>
                  <w14:solidFill>
                    <w14:schemeClr w14:val="tx1"/>
                  </w14:solidFill>
                </w14:textFill>
              </w:rPr>
              <w:t>合理可行。</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5</w:t>
            </w:r>
            <w:r>
              <w:rPr>
                <w:b/>
                <w:color w:val="000000" w:themeColor="text1"/>
                <w:spacing w:val="-10"/>
                <w:sz w:val="24"/>
                <w:szCs w:val="24"/>
                <w14:textFill>
                  <w14:solidFill>
                    <w14:schemeClr w14:val="tx1"/>
                  </w14:solidFill>
                </w14:textFill>
              </w:rPr>
              <w:t>、废气环境影响分析</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项目区域环境质量可达到《环境空气质量标准》GB3095-2012）中二级标准限值，属于空气质量达标区。大气环境保护目标</w:t>
            </w:r>
            <w:r>
              <w:rPr>
                <w:rFonts w:hint="eastAsia"/>
                <w:bCs/>
                <w:color w:val="000000" w:themeColor="text1"/>
                <w:spacing w:val="-10"/>
                <w:sz w:val="24"/>
                <w:szCs w:val="24"/>
                <w14:textFill>
                  <w14:solidFill>
                    <w14:schemeClr w14:val="tx1"/>
                  </w14:solidFill>
                </w14:textFill>
              </w:rPr>
              <w:t>最近的</w:t>
            </w:r>
            <w:r>
              <w:rPr>
                <w:bCs/>
                <w:color w:val="000000" w:themeColor="text1"/>
                <w:spacing w:val="-10"/>
                <w:sz w:val="24"/>
                <w:szCs w:val="24"/>
                <w14:textFill>
                  <w14:solidFill>
                    <w14:schemeClr w14:val="tx1"/>
                  </w14:solidFill>
                </w14:textFill>
              </w:rPr>
              <w:t>为</w:t>
            </w:r>
            <w:r>
              <w:rPr>
                <w:rFonts w:hint="eastAsia"/>
                <w:bCs/>
                <w:color w:val="000000" w:themeColor="text1"/>
                <w:spacing w:val="-10"/>
                <w:sz w:val="24"/>
                <w:szCs w:val="24"/>
                <w14:textFill>
                  <w14:solidFill>
                    <w14:schemeClr w14:val="tx1"/>
                  </w14:solidFill>
                </w14:textFill>
              </w:rPr>
              <w:t>东</w:t>
            </w:r>
            <w:r>
              <w:rPr>
                <w:bCs/>
                <w:color w:val="000000" w:themeColor="text1"/>
                <w:spacing w:val="-10"/>
                <w:sz w:val="24"/>
                <w:szCs w:val="24"/>
                <w14:textFill>
                  <w14:solidFill>
                    <w14:schemeClr w14:val="tx1"/>
                  </w14:solidFill>
                </w14:textFill>
              </w:rPr>
              <w:t>侧</w:t>
            </w:r>
            <w:r>
              <w:rPr>
                <w:rFonts w:hint="eastAsia"/>
                <w:bCs/>
                <w:color w:val="000000" w:themeColor="text1"/>
                <w:spacing w:val="-10"/>
                <w:sz w:val="24"/>
                <w:szCs w:val="24"/>
                <w14:textFill>
                  <w14:solidFill>
                    <w14:schemeClr w14:val="tx1"/>
                  </w14:solidFill>
                </w14:textFill>
              </w:rPr>
              <w:t>257</w:t>
            </w:r>
            <w:r>
              <w:rPr>
                <w:bCs/>
                <w:color w:val="000000" w:themeColor="text1"/>
                <w:spacing w:val="-10"/>
                <w:sz w:val="24"/>
                <w:szCs w:val="24"/>
                <w14:textFill>
                  <w14:solidFill>
                    <w14:schemeClr w14:val="tx1"/>
                  </w14:solidFill>
                </w14:textFill>
              </w:rPr>
              <w:t>m处的</w:t>
            </w:r>
            <w:r>
              <w:rPr>
                <w:rFonts w:hint="eastAsia"/>
                <w:bCs/>
                <w:color w:val="000000" w:themeColor="text1"/>
                <w:spacing w:val="-10"/>
                <w:sz w:val="24"/>
                <w:szCs w:val="24"/>
                <w14:textFill>
                  <w14:solidFill>
                    <w14:schemeClr w14:val="tx1"/>
                  </w14:solidFill>
                </w14:textFill>
              </w:rPr>
              <w:t>散户</w:t>
            </w:r>
            <w:r>
              <w:rPr>
                <w:bCs/>
                <w:color w:val="000000" w:themeColor="text1"/>
                <w:spacing w:val="-10"/>
                <w:sz w:val="24"/>
                <w:szCs w:val="24"/>
                <w14:textFill>
                  <w14:solidFill>
                    <w14:schemeClr w14:val="tx1"/>
                  </w14:solidFill>
                </w14:textFill>
              </w:rPr>
              <w:t>，位于项目区的侧风向。</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项目运营期产生的废气污染物主要为无组织排放的粉尘，根据《环境影响评价技术导则 大气环境》（HJ2.2-2018）中的相关规定，采用AERSCREEN模型对无组织排放的粉尘进行估算。</w:t>
            </w:r>
          </w:p>
          <w:p>
            <w:pPr>
              <w:ind w:firstLine="1006" w:firstLineChars="477"/>
              <w:jc w:val="center"/>
              <w:rPr>
                <w:b/>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 xml:space="preserve">表 </w:t>
            </w:r>
            <w:r>
              <w:rPr>
                <w:rFonts w:hint="eastAsia"/>
                <w:b/>
                <w:bCs/>
                <w:color w:val="000000" w:themeColor="text1"/>
                <w:kern w:val="0"/>
                <w:szCs w:val="21"/>
                <w14:textFill>
                  <w14:solidFill>
                    <w14:schemeClr w14:val="tx1"/>
                  </w14:solidFill>
                </w14:textFill>
              </w:rPr>
              <w:t>4</w:t>
            </w:r>
            <w:r>
              <w:rPr>
                <w:b/>
                <w:bCs/>
                <w:color w:val="000000" w:themeColor="text1"/>
                <w:kern w:val="0"/>
                <w:szCs w:val="21"/>
                <w14:textFill>
                  <w14:solidFill>
                    <w14:schemeClr w14:val="tx1"/>
                  </w14:solidFill>
                </w14:textFill>
              </w:rPr>
              <w:t>-</w:t>
            </w:r>
            <w:r>
              <w:rPr>
                <w:rFonts w:hint="eastAsia"/>
                <w:b/>
                <w:bCs/>
                <w:color w:val="000000" w:themeColor="text1"/>
                <w:kern w:val="0"/>
                <w:szCs w:val="21"/>
                <w14:textFill>
                  <w14:solidFill>
                    <w14:schemeClr w14:val="tx1"/>
                  </w14:solidFill>
                </w14:textFill>
              </w:rPr>
              <w:t>4</w:t>
            </w:r>
            <w:r>
              <w:rPr>
                <w:b/>
                <w:bCs/>
                <w:color w:val="000000" w:themeColor="text1"/>
                <w:kern w:val="0"/>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项目无组织废气颗粒物估算模型计算结果</w:t>
            </w:r>
          </w:p>
          <w:tbl>
            <w:tblPr>
              <w:tblStyle w:val="23"/>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388"/>
              <w:gridCol w:w="1558"/>
              <w:gridCol w:w="2072"/>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387"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预测区域（等效圆形面源）</w:t>
                  </w:r>
                </w:p>
              </w:tc>
              <w:tc>
                <w:tcPr>
                  <w:tcW w:w="1388"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出现</w:t>
                  </w:r>
                  <w:r>
                    <w:rPr>
                      <w:b/>
                      <w:color w:val="000000" w:themeColor="text1"/>
                      <w:szCs w:val="21"/>
                      <w14:textFill>
                        <w14:solidFill>
                          <w14:schemeClr w14:val="tx1"/>
                        </w14:solidFill>
                      </w14:textFill>
                    </w:rPr>
                    <w:t>距离</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w:t>
                  </w:r>
                  <w:r>
                    <w:rPr>
                      <w:rFonts w:hint="eastAsia"/>
                      <w:b/>
                      <w:color w:val="000000" w:themeColor="text1"/>
                      <w:szCs w:val="21"/>
                      <w14:textFill>
                        <w14:solidFill>
                          <w14:schemeClr w14:val="tx1"/>
                        </w14:solidFill>
                      </w14:textFill>
                    </w:rPr>
                    <w:t>）</w:t>
                  </w:r>
                </w:p>
              </w:tc>
              <w:tc>
                <w:tcPr>
                  <w:tcW w:w="1558"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下风向最大</w:t>
                  </w:r>
                  <w:r>
                    <w:rPr>
                      <w:b/>
                      <w:color w:val="000000" w:themeColor="text1"/>
                      <w:szCs w:val="21"/>
                      <w14:textFill>
                        <w14:solidFill>
                          <w14:schemeClr w14:val="tx1"/>
                        </w14:solidFill>
                      </w14:textFill>
                    </w:rPr>
                    <w:t>落地浓度</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（μg/m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2072"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GB16297-1996表2中无组织排放浓度监控标准</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u</w:t>
                  </w:r>
                  <w:r>
                    <w:rPr>
                      <w:b/>
                      <w:color w:val="000000" w:themeColor="text1"/>
                      <w:szCs w:val="21"/>
                      <w14:textFill>
                        <w14:solidFill>
                          <w14:schemeClr w14:val="tx1"/>
                        </w14:solidFill>
                      </w14:textFill>
                    </w:rPr>
                    <w:t>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2108"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总悬浮物颗粒物（</w:t>
                  </w:r>
                  <w:r>
                    <w:rPr>
                      <w:b/>
                      <w:bCs/>
                      <w:color w:val="000000" w:themeColor="text1"/>
                      <w:szCs w:val="21"/>
                      <w14:textFill>
                        <w14:solidFill>
                          <w14:schemeClr w14:val="tx1"/>
                        </w14:solidFill>
                      </w14:textFill>
                    </w:rPr>
                    <w:t>TSP）GB3095-2012二级标准</w:t>
                  </w:r>
                  <w:r>
                    <w:rPr>
                      <w:b/>
                      <w:color w:val="000000" w:themeColor="text1"/>
                      <w:kern w:val="0"/>
                      <w:szCs w:val="21"/>
                      <w14:textFill>
                        <w14:solidFill>
                          <w14:schemeClr w14:val="tx1"/>
                        </w14:solidFill>
                      </w14:textFill>
                    </w:rPr>
                    <w:t>（μg/m</w:t>
                  </w:r>
                  <w:r>
                    <w:rPr>
                      <w:b/>
                      <w:color w:val="000000" w:themeColor="text1"/>
                      <w:kern w:val="0"/>
                      <w:szCs w:val="21"/>
                      <w:vertAlign w:val="superscript"/>
                      <w14:textFill>
                        <w14:solidFill>
                          <w14:schemeClr w14:val="tx1"/>
                        </w14:solidFill>
                      </w14:textFill>
                    </w:rPr>
                    <w:t>3</w:t>
                  </w:r>
                  <w:r>
                    <w:rPr>
                      <w:b/>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38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西厂房</w:t>
                  </w:r>
                </w:p>
              </w:tc>
              <w:tc>
                <w:tcPr>
                  <w:tcW w:w="1388"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1558"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5.5762</w:t>
                  </w:r>
                </w:p>
              </w:tc>
              <w:tc>
                <w:tcPr>
                  <w:tcW w:w="2072"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1000</w:t>
                  </w:r>
                </w:p>
              </w:tc>
              <w:tc>
                <w:tcPr>
                  <w:tcW w:w="2108"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138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东厂房</w:t>
                  </w:r>
                </w:p>
              </w:tc>
              <w:tc>
                <w:tcPr>
                  <w:tcW w:w="1388"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1558"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19.5310</w:t>
                  </w:r>
                </w:p>
              </w:tc>
              <w:tc>
                <w:tcPr>
                  <w:tcW w:w="2072" w:type="dxa"/>
                  <w:vMerge w:val="continue"/>
                  <w:vAlign w:val="center"/>
                </w:tcPr>
                <w:p>
                  <w:pPr>
                    <w:jc w:val="center"/>
                    <w:rPr>
                      <w:bCs/>
                      <w:color w:val="000000" w:themeColor="text1"/>
                      <w:szCs w:val="21"/>
                      <w14:textFill>
                        <w14:solidFill>
                          <w14:schemeClr w14:val="tx1"/>
                        </w14:solidFill>
                      </w14:textFill>
                    </w:rPr>
                  </w:pPr>
                </w:p>
              </w:tc>
              <w:tc>
                <w:tcPr>
                  <w:tcW w:w="2108" w:type="dxa"/>
                  <w:vMerge w:val="continue"/>
                  <w:vAlign w:val="center"/>
                </w:tcPr>
                <w:p>
                  <w:pPr>
                    <w:jc w:val="center"/>
                    <w:rPr>
                      <w:bCs/>
                      <w:color w:val="000000" w:themeColor="text1"/>
                      <w:szCs w:val="21"/>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综上所述，项目厂界颗粒物可以达到《大气污染物综合排放标准》（GB16297-1996）表2中无组织排放监控浓度限值，即颗粒物小于1.0mg/m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，厂界可达标排放。</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项目无组织排放的废气主要为堆场粉尘、原料混合和配料粉尘、包装粉尘，生产中采取喷水和雾炮机降尘，生产过程全部位于封闭的车间内进行。此外，</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发酵过程中产生少量的异味，通过生产中喷洒生物除臭剂进行控制。根据现场调查，项目位于金所工业园区云南建工云岭水泥有限公司，项目周边主要为工业园区企业，距离项目最近的居民为东侧257m的2户居民散户，位于项目区侧风向，距离较远，运行过程中粉尘、异味经大气扩散后对其影响不大。</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综上，项目无组织排放废气对周围环境及敏感目标影响较小。</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6、监测要求</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rFonts w:hint="eastAsia"/>
                <w:bCs/>
                <w:color w:val="000000" w:themeColor="text1"/>
                <w:spacing w:val="-10"/>
                <w:sz w:val="24"/>
                <w:szCs w:val="24"/>
                <w14:textFill>
                  <w14:solidFill>
                    <w14:schemeClr w14:val="tx1"/>
                  </w14:solidFill>
                </w14:textFill>
              </w:rPr>
              <w:t>根据《排污单位自行监测技术指南 总则》（HJ819-2017）及《排污许可证申请与核发技术规范 磷肥、钾肥、复混肥料、有机肥料及微生物肥料工业》（HJ864.2-2018），项目的监测计划如下表。</w:t>
            </w:r>
          </w:p>
          <w:p>
            <w:pPr>
              <w:pStyle w:val="55"/>
              <w:rPr>
                <w:color w:val="000000" w:themeColor="text1"/>
                <w14:textFill>
                  <w14:solidFill>
                    <w14:schemeClr w14:val="tx1"/>
                  </w14:solidFill>
                </w14:textFill>
              </w:rPr>
            </w:pPr>
            <w:r>
              <w:rPr>
                <w:rFonts w:hint="eastAsia"/>
                <w:color w:val="000000" w:themeColor="text1"/>
                <w14:textFill>
                  <w14:solidFill>
                    <w14:schemeClr w14:val="tx1"/>
                  </w14:solidFill>
                </w14:textFill>
              </w:rPr>
              <w:t>表4-5  自行监测计划</w:t>
            </w:r>
          </w:p>
          <w:tbl>
            <w:tblPr>
              <w:tblStyle w:val="24"/>
              <w:tblW w:w="8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25"/>
              <w:gridCol w:w="1214"/>
              <w:gridCol w:w="1789"/>
              <w:gridCol w:w="200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7"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项目</w:t>
                  </w:r>
                </w:p>
              </w:tc>
              <w:tc>
                <w:tcPr>
                  <w:tcW w:w="152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排放源</w:t>
                  </w:r>
                </w:p>
              </w:tc>
              <w:tc>
                <w:tcPr>
                  <w:tcW w:w="121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排放方式</w:t>
                  </w:r>
                </w:p>
              </w:tc>
              <w:tc>
                <w:tcPr>
                  <w:tcW w:w="178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监测点位</w:t>
                  </w:r>
                </w:p>
              </w:tc>
              <w:tc>
                <w:tcPr>
                  <w:tcW w:w="200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监测项目</w:t>
                  </w:r>
                </w:p>
              </w:tc>
              <w:tc>
                <w:tcPr>
                  <w:tcW w:w="120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727"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废气</w:t>
                  </w:r>
                </w:p>
              </w:tc>
              <w:tc>
                <w:tcPr>
                  <w:tcW w:w="1525" w:type="dxa"/>
                  <w:vAlign w:val="center"/>
                </w:tcPr>
                <w:p>
                  <w:pPr>
                    <w:pStyle w:val="71"/>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生产厂房</w:t>
                  </w:r>
                </w:p>
              </w:tc>
              <w:tc>
                <w:tcPr>
                  <w:tcW w:w="121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厂界无组织</w:t>
                  </w:r>
                </w:p>
              </w:tc>
              <w:tc>
                <w:tcPr>
                  <w:tcW w:w="1789"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厂址上风向设1个对照点、厂址下风向设</w:t>
                  </w:r>
                  <w:r>
                    <w:rPr>
                      <w:rFonts w:hint="eastAsia"/>
                      <w:b w:val="0"/>
                      <w:color w:val="000000" w:themeColor="text1"/>
                      <w14:textFill>
                        <w14:solidFill>
                          <w14:schemeClr w14:val="tx1"/>
                        </w14:solidFill>
                      </w14:textFill>
                    </w:rPr>
                    <w:t>3</w:t>
                  </w:r>
                  <w:r>
                    <w:rPr>
                      <w:b w:val="0"/>
                      <w:color w:val="000000" w:themeColor="text1"/>
                      <w14:textFill>
                        <w14:solidFill>
                          <w14:schemeClr w14:val="tx1"/>
                        </w14:solidFill>
                      </w14:textFill>
                    </w:rPr>
                    <w:t>个监控点</w:t>
                  </w:r>
                </w:p>
              </w:tc>
              <w:tc>
                <w:tcPr>
                  <w:tcW w:w="2004"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颗粒物、</w:t>
                  </w:r>
                  <w:r>
                    <w:rPr>
                      <w:rFonts w:hint="eastAsia"/>
                      <w:b w:val="0"/>
                      <w:color w:val="000000" w:themeColor="text1"/>
                      <w14:textFill>
                        <w14:solidFill>
                          <w14:schemeClr w14:val="tx1"/>
                        </w14:solidFill>
                      </w14:textFill>
                    </w:rPr>
                    <w:t>氨、硫化氢、臭气浓度</w:t>
                  </w:r>
                </w:p>
              </w:tc>
              <w:tc>
                <w:tcPr>
                  <w:tcW w:w="1205" w:type="dxa"/>
                  <w:vAlign w:val="center"/>
                </w:tcPr>
                <w:p>
                  <w:pPr>
                    <w:pStyle w:val="71"/>
                    <w:rPr>
                      <w:b w:val="0"/>
                      <w:color w:val="000000" w:themeColor="text1"/>
                      <w14:textFill>
                        <w14:solidFill>
                          <w14:schemeClr w14:val="tx1"/>
                        </w14:solidFill>
                      </w14:textFill>
                    </w:rPr>
                  </w:pPr>
                  <w:r>
                    <w:rPr>
                      <w:b w:val="0"/>
                      <w:color w:val="000000" w:themeColor="text1"/>
                      <w14:textFill>
                        <w14:solidFill>
                          <w14:schemeClr w14:val="tx1"/>
                        </w14:solidFill>
                      </w14:textFill>
                    </w:rPr>
                    <w:t>1次/</w:t>
                  </w:r>
                  <w:r>
                    <w:rPr>
                      <w:rFonts w:hint="eastAsia"/>
                      <w:b w:val="0"/>
                      <w:color w:val="000000" w:themeColor="text1"/>
                      <w14:textFill>
                        <w14:solidFill>
                          <w14:schemeClr w14:val="tx1"/>
                        </w14:solidFill>
                      </w14:textFill>
                    </w:rPr>
                    <w:t>半</w:t>
                  </w:r>
                  <w:r>
                    <w:rPr>
                      <w:b w:val="0"/>
                      <w:color w:val="000000" w:themeColor="text1"/>
                      <w14:textFill>
                        <w14:solidFill>
                          <w14:schemeClr w14:val="tx1"/>
                        </w14:solidFill>
                      </w14:textFill>
                    </w:rPr>
                    <w:t>年</w:t>
                  </w:r>
                </w:p>
              </w:tc>
            </w:tr>
          </w:tbl>
          <w:p>
            <w:pPr>
              <w:pStyle w:val="28"/>
              <w:spacing w:before="24" w:after="24"/>
              <w:rPr>
                <w:color w:val="000000" w:themeColor="text1"/>
                <w14:textFill>
                  <w14:solidFill>
                    <w14:schemeClr w14:val="tx1"/>
                  </w14:solidFill>
                </w14:textFill>
              </w:rPr>
            </w:pPr>
          </w:p>
          <w:p>
            <w:pPr>
              <w:pStyle w:val="17"/>
              <w:adjustRightInd w:val="0"/>
              <w:spacing w:line="360" w:lineRule="auto"/>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二、废水</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（1）污染源分析</w:t>
            </w:r>
          </w:p>
          <w:p>
            <w:pPr>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本项目生产用水主要为工艺用水、除臭剂喷淋稀释用水，均被原料吸收，不会产生渗滤液；车间洒水降尘用水蒸发损耗，不产生废水。</w:t>
            </w:r>
          </w:p>
          <w:p>
            <w:pPr>
              <w:adjustRightInd w:val="0"/>
              <w:snapToGrid w:val="0"/>
              <w:spacing w:line="360" w:lineRule="auto"/>
              <w:ind w:firstLine="480" w:firstLineChars="200"/>
              <w:rPr>
                <w:rFonts w:eastAsiaTheme="minorEastAsia"/>
                <w:bCs/>
                <w:color w:val="000000" w:themeColor="text1"/>
                <w:kern w:val="0"/>
                <w:sz w:val="24"/>
                <w:szCs w:val="22"/>
                <w14:textFill>
                  <w14:solidFill>
                    <w14:schemeClr w14:val="tx1"/>
                  </w14:solidFill>
                </w14:textFill>
              </w:rPr>
            </w:pPr>
            <w:r>
              <w:rPr>
                <w:rFonts w:eastAsiaTheme="minorEastAsia"/>
                <w:bCs/>
                <w:color w:val="000000" w:themeColor="text1"/>
                <w:kern w:val="0"/>
                <w:sz w:val="24"/>
                <w:szCs w:val="22"/>
                <w14:textFill>
                  <w14:solidFill>
                    <w14:schemeClr w14:val="tx1"/>
                  </w14:solidFill>
                </w14:textFill>
              </w:rPr>
              <w:t>本项目劳动定员</w:t>
            </w:r>
            <w:r>
              <w:rPr>
                <w:rFonts w:hint="eastAsia" w:eastAsiaTheme="minorEastAsia"/>
                <w:bCs/>
                <w:color w:val="000000" w:themeColor="text1"/>
                <w:kern w:val="0"/>
                <w:sz w:val="24"/>
                <w:szCs w:val="22"/>
                <w14:textFill>
                  <w14:solidFill>
                    <w14:schemeClr w14:val="tx1"/>
                  </w14:solidFill>
                </w14:textFill>
              </w:rPr>
              <w:t>10</w:t>
            </w:r>
            <w:r>
              <w:rPr>
                <w:rFonts w:eastAsiaTheme="minorEastAsia"/>
                <w:bCs/>
                <w:color w:val="000000" w:themeColor="text1"/>
                <w:kern w:val="0"/>
                <w:sz w:val="24"/>
                <w:szCs w:val="22"/>
                <w14:textFill>
                  <w14:solidFill>
                    <w14:schemeClr w14:val="tx1"/>
                  </w14:solidFill>
                </w14:textFill>
              </w:rPr>
              <w:t>人，</w:t>
            </w:r>
            <w:r>
              <w:rPr>
                <w:rFonts w:hint="eastAsia" w:eastAsiaTheme="minorEastAsia"/>
                <w:bCs/>
                <w:color w:val="000000" w:themeColor="text1"/>
                <w:kern w:val="0"/>
                <w:sz w:val="24"/>
                <w:szCs w:val="22"/>
                <w14:textFill>
                  <w14:solidFill>
                    <w14:schemeClr w14:val="tx1"/>
                  </w14:solidFill>
                </w14:textFill>
              </w:rPr>
              <w:t>管理人员2人，员工8人，员工均为当地的村民，不在项目区食宿；管理人员依托云南建工云岭水泥有限公司已建的配套宿舍和食堂，本项目</w:t>
            </w:r>
            <w:r>
              <w:rPr>
                <w:rFonts w:eastAsiaTheme="minorEastAsia"/>
                <w:bCs/>
                <w:color w:val="000000" w:themeColor="text1"/>
                <w:kern w:val="0"/>
                <w:sz w:val="24"/>
                <w:szCs w:val="22"/>
                <w14:textFill>
                  <w14:solidFill>
                    <w14:schemeClr w14:val="tx1"/>
                  </w14:solidFill>
                </w14:textFill>
              </w:rPr>
              <w:t>生活污水产生总量为</w:t>
            </w:r>
            <w:r>
              <w:rPr>
                <w:rFonts w:hint="eastAsia" w:eastAsiaTheme="minorEastAsia"/>
                <w:bCs/>
                <w:color w:val="000000" w:themeColor="text1"/>
                <w:kern w:val="0"/>
                <w:sz w:val="24"/>
                <w:szCs w:val="22"/>
                <w14:textFill>
                  <w14:solidFill>
                    <w14:schemeClr w14:val="tx1"/>
                  </w14:solidFill>
                </w14:textFill>
              </w:rPr>
              <w:t>0.304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91.2</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w:t>
            </w:r>
            <w:r>
              <w:rPr>
                <w:rFonts w:hint="eastAsia" w:eastAsiaTheme="minorEastAsia"/>
                <w:bCs/>
                <w:color w:val="000000" w:themeColor="text1"/>
                <w:kern w:val="0"/>
                <w:sz w:val="24"/>
                <w:szCs w:val="22"/>
                <w14:textFill>
                  <w14:solidFill>
                    <w14:schemeClr w14:val="tx1"/>
                  </w14:solidFill>
                </w14:textFill>
              </w:rPr>
              <w:t>生活污水</w:t>
            </w:r>
            <w:r>
              <w:rPr>
                <w:rFonts w:eastAsiaTheme="minorEastAsia"/>
                <w:bCs/>
                <w:color w:val="000000" w:themeColor="text1"/>
                <w:kern w:val="0"/>
                <w:sz w:val="24"/>
                <w:szCs w:val="22"/>
                <w14:textFill>
                  <w14:solidFill>
                    <w14:schemeClr w14:val="tx1"/>
                  </w14:solidFill>
                </w14:textFill>
              </w:rPr>
              <w:t>进入</w:t>
            </w:r>
            <w:r>
              <w:rPr>
                <w:rFonts w:hint="eastAsia" w:eastAsiaTheme="minorEastAsia"/>
                <w:bCs/>
                <w:color w:val="000000" w:themeColor="text1"/>
                <w:kern w:val="0"/>
                <w:sz w:val="24"/>
                <w:szCs w:val="22"/>
                <w14:textFill>
                  <w14:solidFill>
                    <w14:schemeClr w14:val="tx1"/>
                  </w14:solidFill>
                </w14:textFill>
              </w:rPr>
              <w:t>云南建工云岭水泥有限公司已建60</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化粪池处理，最终</w:t>
            </w:r>
            <w:r>
              <w:rPr>
                <w:rFonts w:hint="eastAsia" w:eastAsiaTheme="minorEastAsia"/>
                <w:bCs/>
                <w:color w:val="000000" w:themeColor="text1"/>
                <w:kern w:val="0"/>
                <w:sz w:val="24"/>
                <w:szCs w:val="22"/>
                <w14:textFill>
                  <w14:solidFill>
                    <w14:schemeClr w14:val="tx1"/>
                  </w14:solidFill>
                </w14:textFill>
              </w:rPr>
              <w:t>进入已建的一体化污水处理设备进行处理达标后，回用于绿化和洒水降尘</w:t>
            </w:r>
            <w:r>
              <w:rPr>
                <w:rFonts w:eastAsiaTheme="minorEastAsia"/>
                <w:bCs/>
                <w:color w:val="000000" w:themeColor="text1"/>
                <w:kern w:val="0"/>
                <w:sz w:val="24"/>
                <w:szCs w:val="22"/>
                <w14:textFill>
                  <w14:solidFill>
                    <w14:schemeClr w14:val="tx1"/>
                  </w14:solidFill>
                </w14:textFill>
              </w:rPr>
              <w:t>。</w:t>
            </w:r>
          </w:p>
          <w:p>
            <w:pPr>
              <w:pStyle w:val="17"/>
              <w:adjustRightInd w:val="0"/>
              <w:spacing w:before="120" w:beforeLines="50" w:line="360" w:lineRule="auto"/>
              <w:ind w:firstLine="442" w:firstLineChars="200"/>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（2）</w:t>
            </w:r>
            <w:r>
              <w:rPr>
                <w:rFonts w:hint="eastAsia"/>
                <w:b/>
                <w:color w:val="000000" w:themeColor="text1"/>
                <w:spacing w:val="-10"/>
                <w:sz w:val="24"/>
                <w:szCs w:val="24"/>
                <w14:textFill>
                  <w14:solidFill>
                    <w14:schemeClr w14:val="tx1"/>
                  </w14:solidFill>
                </w14:textFill>
              </w:rPr>
              <w:t>依托处置可行性分析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云南建工云岭水泥有限公司宿舍、食堂和办公楼目前正常使用，生活污水总产生量约为11m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/d，经</w:t>
            </w:r>
            <w:r>
              <w:rPr>
                <w:rFonts w:hint="eastAsia" w:eastAsiaTheme="minorEastAsia"/>
                <w:bCs/>
                <w:color w:val="000000" w:themeColor="text1"/>
                <w:kern w:val="0"/>
                <w:sz w:val="24"/>
                <w:szCs w:val="22"/>
                <w14:textFill>
                  <w14:solidFill>
                    <w14:schemeClr w14:val="tx1"/>
                  </w14:solidFill>
                </w14:textFill>
              </w:rPr>
              <w:t>60</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hint="eastAsia"/>
                <w:color w:val="000000" w:themeColor="text1"/>
                <w:sz w:val="24"/>
                <w14:textFill>
                  <w14:solidFill>
                    <w14:schemeClr w14:val="tx1"/>
                  </w14:solidFill>
                </w14:textFill>
              </w:rPr>
              <w:t>化粪池预处理后排入污水处理站（处理规模为120m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/d）处理，达标后排至200m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蓄水池储存，用于厂区的绿化和洒水降尘。根据《2000吨/天综合利用电石渣新型干法水泥熟料生产线竣工验收监测报告》、《云南建工云岭水泥有限公司2000吨/天新型干法水泥生产线烟气脱硝（SNCR）技术改造项目竣工验收调查表》，污水处理站出水水质满足回用的要求，且中水可以完全回用不外排。</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云南建工云岭水泥有限公司宿舍、食堂和办公楼目前正常使用，生活污水总产生量约为15m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/d，而本</w:t>
            </w:r>
            <w:r>
              <w:rPr>
                <w:rFonts w:hint="eastAsia" w:eastAsiaTheme="minorEastAsia"/>
                <w:bCs/>
                <w:color w:val="000000" w:themeColor="text1"/>
                <w:kern w:val="0"/>
                <w:sz w:val="24"/>
                <w:szCs w:val="22"/>
                <w14:textFill>
                  <w14:solidFill>
                    <w14:schemeClr w14:val="tx1"/>
                  </w14:solidFill>
                </w14:textFill>
              </w:rPr>
              <w:t>项目</w:t>
            </w:r>
            <w:r>
              <w:rPr>
                <w:rFonts w:eastAsiaTheme="minorEastAsia"/>
                <w:bCs/>
                <w:color w:val="000000" w:themeColor="text1"/>
                <w:kern w:val="0"/>
                <w:sz w:val="24"/>
                <w:szCs w:val="22"/>
                <w14:textFill>
                  <w14:solidFill>
                    <w14:schemeClr w14:val="tx1"/>
                  </w14:solidFill>
                </w14:textFill>
              </w:rPr>
              <w:t>生活污水产生总量为</w:t>
            </w:r>
            <w:r>
              <w:rPr>
                <w:rFonts w:hint="eastAsia" w:eastAsiaTheme="minorEastAsia"/>
                <w:bCs/>
                <w:color w:val="000000" w:themeColor="text1"/>
                <w:kern w:val="0"/>
                <w:sz w:val="24"/>
                <w:szCs w:val="22"/>
                <w14:textFill>
                  <w14:solidFill>
                    <w14:schemeClr w14:val="tx1"/>
                  </w14:solidFill>
                </w14:textFill>
              </w:rPr>
              <w:t>0.304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91.2</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w:t>
            </w:r>
            <w:r>
              <w:rPr>
                <w:rFonts w:hint="eastAsia" w:eastAsiaTheme="minorEastAsia"/>
                <w:bCs/>
                <w:color w:val="000000" w:themeColor="text1"/>
                <w:kern w:val="0"/>
                <w:sz w:val="24"/>
                <w:szCs w:val="22"/>
                <w14:textFill>
                  <w14:solidFill>
                    <w14:schemeClr w14:val="tx1"/>
                  </w14:solidFill>
                </w14:textFill>
              </w:rPr>
              <w:t>，剩余处理规模完全满足项目污水的处理的需求，且中水可以全部回用不外排。</w:t>
            </w:r>
          </w:p>
          <w:p>
            <w:pPr>
              <w:pStyle w:val="17"/>
              <w:adjustRightInd w:val="0"/>
              <w:spacing w:line="360" w:lineRule="auto"/>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三、噪声</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1、</w:t>
            </w:r>
            <w:r>
              <w:rPr>
                <w:b/>
                <w:color w:val="000000" w:themeColor="text1"/>
                <w:spacing w:val="-10"/>
                <w:sz w:val="24"/>
                <w:szCs w:val="24"/>
                <w14:textFill>
                  <w14:solidFill>
                    <w14:schemeClr w14:val="tx1"/>
                  </w14:solidFill>
                </w14:textFill>
              </w:rPr>
              <w:t>污染源</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本项目噪声源统计详见下表。</w:t>
            </w:r>
          </w:p>
          <w:p>
            <w:pPr>
              <w:pStyle w:val="8"/>
              <w:spacing w:before="0" w:after="0" w:line="240" w:lineRule="auto"/>
              <w:ind w:firstLine="1767" w:firstLineChars="800"/>
              <w:rPr>
                <w:b/>
                <w:bCs/>
                <w:color w:val="000000" w:themeColor="text1"/>
                <w:spacing w:val="5"/>
                <w:sz w:val="21"/>
                <w:szCs w:val="21"/>
                <w14:textFill>
                  <w14:solidFill>
                    <w14:schemeClr w14:val="tx1"/>
                  </w14:solidFill>
                </w14:textFill>
              </w:rPr>
            </w:pPr>
            <w:r>
              <w:rPr>
                <w:b/>
                <w:bCs/>
                <w:color w:val="000000" w:themeColor="text1"/>
                <w:spacing w:val="5"/>
                <w:sz w:val="21"/>
                <w:szCs w:val="21"/>
                <w14:textFill>
                  <w14:solidFill>
                    <w14:schemeClr w14:val="tx1"/>
                  </w14:solidFill>
                </w14:textFill>
              </w:rPr>
              <w:t>表</w:t>
            </w:r>
            <w:r>
              <w:rPr>
                <w:b/>
                <w:bCs/>
                <w:color w:val="000000" w:themeColor="text1"/>
                <w:spacing w:val="-22"/>
                <w:sz w:val="21"/>
                <w:szCs w:val="21"/>
                <w14:textFill>
                  <w14:solidFill>
                    <w14:schemeClr w14:val="tx1"/>
                  </w14:solidFill>
                </w14:textFill>
              </w:rPr>
              <w:t xml:space="preserve"> </w:t>
            </w:r>
            <w:r>
              <w:rPr>
                <w:rFonts w:hint="eastAsia"/>
                <w:b/>
                <w:bCs/>
                <w:color w:val="000000" w:themeColor="text1"/>
                <w:spacing w:val="5"/>
                <w:sz w:val="21"/>
                <w:szCs w:val="21"/>
                <w14:textFill>
                  <w14:solidFill>
                    <w14:schemeClr w14:val="tx1"/>
                  </w14:solidFill>
                </w14:textFill>
              </w:rPr>
              <w:t>4-6 工业噪声源调查清单（室内固定声源）</w:t>
            </w:r>
          </w:p>
          <w:tbl>
            <w:tblPr>
              <w:tblStyle w:val="23"/>
              <w:tblW w:w="8340" w:type="dxa"/>
              <w:tblInd w:w="0" w:type="dxa"/>
              <w:tblLayout w:type="fixed"/>
              <w:tblCellMar>
                <w:top w:w="0" w:type="dxa"/>
                <w:left w:w="23" w:type="dxa"/>
                <w:bottom w:w="0" w:type="dxa"/>
                <w:right w:w="23" w:type="dxa"/>
              </w:tblCellMar>
            </w:tblPr>
            <w:tblGrid>
              <w:gridCol w:w="309"/>
              <w:gridCol w:w="539"/>
              <w:gridCol w:w="442"/>
              <w:gridCol w:w="296"/>
              <w:gridCol w:w="447"/>
              <w:gridCol w:w="447"/>
              <w:gridCol w:w="306"/>
              <w:gridCol w:w="314"/>
              <w:gridCol w:w="336"/>
              <w:gridCol w:w="314"/>
              <w:gridCol w:w="356"/>
              <w:gridCol w:w="314"/>
              <w:gridCol w:w="296"/>
              <w:gridCol w:w="289"/>
              <w:gridCol w:w="366"/>
              <w:gridCol w:w="289"/>
              <w:gridCol w:w="240"/>
              <w:gridCol w:w="228"/>
              <w:gridCol w:w="173"/>
              <w:gridCol w:w="242"/>
              <w:gridCol w:w="313"/>
              <w:gridCol w:w="368"/>
              <w:gridCol w:w="300"/>
              <w:gridCol w:w="333"/>
              <w:gridCol w:w="483"/>
            </w:tblGrid>
            <w:tr>
              <w:tblPrEx>
                <w:tblLayout w:type="fixed"/>
                <w:tblCellMar>
                  <w:top w:w="0" w:type="dxa"/>
                  <w:left w:w="23" w:type="dxa"/>
                  <w:bottom w:w="0" w:type="dxa"/>
                  <w:right w:w="23" w:type="dxa"/>
                </w:tblCellMar>
              </w:tblPrEx>
              <w:trPr>
                <w:trHeight w:val="625" w:hRule="atLeast"/>
              </w:trPr>
              <w:tc>
                <w:tcPr>
                  <w:tcW w:w="309" w:type="dxa"/>
                  <w:vMerge w:val="restart"/>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厂房名称</w:t>
                  </w:r>
                </w:p>
              </w:tc>
              <w:tc>
                <w:tcPr>
                  <w:tcW w:w="539" w:type="dxa"/>
                  <w:vMerge w:val="restart"/>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声源名称</w:t>
                  </w:r>
                </w:p>
              </w:tc>
              <w:tc>
                <w:tcPr>
                  <w:tcW w:w="4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声源源强</w:t>
                  </w:r>
                </w:p>
              </w:tc>
              <w:tc>
                <w:tcPr>
                  <w:tcW w:w="29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声源控制措施</w:t>
                  </w:r>
                </w:p>
              </w:tc>
              <w:tc>
                <w:tcPr>
                  <w:tcW w:w="120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空间相对位置</w:t>
                  </w:r>
                  <w:r>
                    <w:rPr>
                      <w:rStyle w:val="68"/>
                      <w:rFonts w:hint="default"/>
                      <w:color w:val="000000" w:themeColor="text1"/>
                      <w:lang w:bidi="ar"/>
                      <w14:textFill>
                        <w14:solidFill>
                          <w14:schemeClr w14:val="tx1"/>
                        </w14:solidFill>
                      </w14:textFill>
                    </w:rPr>
                    <w:t>/m</w:t>
                  </w:r>
                </w:p>
              </w:tc>
              <w:tc>
                <w:tcPr>
                  <w:tcW w:w="1320"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距室内边界距离</w:t>
                  </w:r>
                  <w:r>
                    <w:rPr>
                      <w:rStyle w:val="68"/>
                      <w:rFonts w:hint="default"/>
                      <w:color w:val="000000" w:themeColor="text1"/>
                      <w:lang w:bidi="ar"/>
                      <w14:textFill>
                        <w14:solidFill>
                          <w14:schemeClr w14:val="tx1"/>
                        </w14:solidFill>
                      </w14:textFill>
                    </w:rPr>
                    <w:t>/m</w:t>
                  </w:r>
                </w:p>
              </w:tc>
              <w:tc>
                <w:tcPr>
                  <w:tcW w:w="126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室内边界声级</w:t>
                  </w:r>
                  <w:r>
                    <w:rPr>
                      <w:rStyle w:val="68"/>
                      <w:rFonts w:hint="default"/>
                      <w:color w:val="000000" w:themeColor="text1"/>
                      <w:lang w:bidi="ar"/>
                      <w14:textFill>
                        <w14:solidFill>
                          <w14:schemeClr w14:val="tx1"/>
                        </w14:solidFill>
                      </w14:textFill>
                    </w:rPr>
                    <w:t>/dB(A)</w:t>
                  </w:r>
                </w:p>
              </w:tc>
              <w:tc>
                <w:tcPr>
                  <w:tcW w:w="28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运行时段</w:t>
                  </w:r>
                </w:p>
              </w:tc>
              <w:tc>
                <w:tcPr>
                  <w:tcW w:w="883"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建筑物插入损失</w:t>
                  </w:r>
                  <w:r>
                    <w:rPr>
                      <w:rStyle w:val="68"/>
                      <w:rFonts w:hint="default"/>
                      <w:color w:val="000000" w:themeColor="text1"/>
                      <w:lang w:bidi="ar"/>
                      <w14:textFill>
                        <w14:solidFill>
                          <w14:schemeClr w14:val="tx1"/>
                        </w14:solidFill>
                      </w14:textFill>
                    </w:rPr>
                    <w:t>/dB(A)</w:t>
                  </w:r>
                </w:p>
              </w:tc>
              <w:tc>
                <w:tcPr>
                  <w:tcW w:w="1797"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建筑物外噪声声压级</w:t>
                  </w:r>
                  <w:r>
                    <w:rPr>
                      <w:rStyle w:val="68"/>
                      <w:rFonts w:hint="default"/>
                      <w:color w:val="000000" w:themeColor="text1"/>
                      <w:lang w:bidi="ar"/>
                      <w14:textFill>
                        <w14:solidFill>
                          <w14:schemeClr w14:val="tx1"/>
                        </w14:solidFill>
                      </w14:textFill>
                    </w:rPr>
                    <w:t>/dB(A)</w:t>
                  </w:r>
                </w:p>
              </w:tc>
            </w:tr>
            <w:tr>
              <w:tblPrEx>
                <w:tblLayout w:type="fixed"/>
                <w:tblCellMar>
                  <w:top w:w="0" w:type="dxa"/>
                  <w:left w:w="23" w:type="dxa"/>
                  <w:bottom w:w="0" w:type="dxa"/>
                  <w:right w:w="23" w:type="dxa"/>
                </w:tblCellMar>
              </w:tblPrEx>
              <w:trPr>
                <w:trHeight w:val="933" w:hRule="atLeast"/>
              </w:trPr>
              <w:tc>
                <w:tcPr>
                  <w:tcW w:w="30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宋体" w:hAnsi="宋体" w:cs="宋体"/>
                      <w:color w:val="000000" w:themeColor="text1"/>
                      <w:szCs w:val="21"/>
                      <w14:textFill>
                        <w14:solidFill>
                          <w14:schemeClr w14:val="tx1"/>
                        </w14:solidFill>
                      </w14:textFill>
                    </w:rPr>
                  </w:pPr>
                </w:p>
              </w:tc>
              <w:tc>
                <w:tcPr>
                  <w:tcW w:w="539" w:type="dxa"/>
                  <w:vMerge w:val="continue"/>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声功率级</w:t>
                  </w:r>
                  <w:r>
                    <w:rPr>
                      <w:rStyle w:val="68"/>
                      <w:rFonts w:hint="default"/>
                      <w:color w:val="000000" w:themeColor="text1"/>
                      <w:lang w:bidi="ar"/>
                      <w14:textFill>
                        <w14:solidFill>
                          <w14:schemeClr w14:val="tx1"/>
                        </w14:solidFill>
                      </w14:textFill>
                    </w:rPr>
                    <w:t>/dB(A)</w:t>
                  </w:r>
                </w:p>
              </w:tc>
              <w:tc>
                <w:tcPr>
                  <w:tcW w:w="29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rStyle w:val="68"/>
                      <w:rFonts w:hint="default"/>
                      <w:color w:val="000000" w:themeColor="text1"/>
                      <w:lang w:bidi="ar"/>
                      <w14:textFill>
                        <w14:solidFill>
                          <w14:schemeClr w14:val="tx1"/>
                        </w14:solidFill>
                      </w14:textFill>
                    </w:rPr>
                    <w:t>X</w:t>
                  </w:r>
                </w:p>
              </w:tc>
              <w:tc>
                <w:tcPr>
                  <w:tcW w:w="4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rStyle w:val="68"/>
                      <w:rFonts w:hint="default"/>
                      <w:color w:val="000000" w:themeColor="text1"/>
                      <w:lang w:bidi="ar"/>
                      <w14:textFill>
                        <w14:solidFill>
                          <w14:schemeClr w14:val="tx1"/>
                        </w14:solidFill>
                      </w14:textFill>
                    </w:rPr>
                    <w:t>Y</w:t>
                  </w:r>
                </w:p>
              </w:tc>
              <w:tc>
                <w:tcPr>
                  <w:tcW w:w="3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000000" w:themeColor="text1"/>
                      <w:szCs w:val="21"/>
                      <w14:textFill>
                        <w14:solidFill>
                          <w14:schemeClr w14:val="tx1"/>
                        </w14:solidFill>
                      </w14:textFill>
                    </w:rPr>
                  </w:pPr>
                  <w:r>
                    <w:rPr>
                      <w:rStyle w:val="68"/>
                      <w:rFonts w:hint="default"/>
                      <w:color w:val="000000" w:themeColor="text1"/>
                      <w:lang w:bidi="ar"/>
                      <w14:textFill>
                        <w14:solidFill>
                          <w14:schemeClr w14:val="tx1"/>
                        </w14:solidFill>
                      </w14:textFill>
                    </w:rPr>
                    <w:t>Z</w:t>
                  </w:r>
                </w:p>
              </w:tc>
              <w:tc>
                <w:tcPr>
                  <w:tcW w:w="3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东</w:t>
                  </w:r>
                </w:p>
              </w:tc>
              <w:tc>
                <w:tcPr>
                  <w:tcW w:w="3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南</w:t>
                  </w:r>
                </w:p>
              </w:tc>
              <w:tc>
                <w:tcPr>
                  <w:tcW w:w="3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西</w:t>
                  </w:r>
                </w:p>
              </w:tc>
              <w:tc>
                <w:tcPr>
                  <w:tcW w:w="3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北</w:t>
                  </w:r>
                </w:p>
              </w:tc>
              <w:tc>
                <w:tcPr>
                  <w:tcW w:w="3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东</w:t>
                  </w:r>
                </w:p>
              </w:tc>
              <w:tc>
                <w:tcPr>
                  <w:tcW w:w="2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南</w:t>
                  </w:r>
                </w:p>
              </w:tc>
              <w:tc>
                <w:tcPr>
                  <w:tcW w:w="2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西</w:t>
                  </w:r>
                </w:p>
              </w:tc>
              <w:tc>
                <w:tcPr>
                  <w:tcW w:w="3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北</w:t>
                  </w:r>
                </w:p>
              </w:tc>
              <w:tc>
                <w:tcPr>
                  <w:tcW w:w="28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2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东</w:t>
                  </w:r>
                </w:p>
              </w:tc>
              <w:tc>
                <w:tcPr>
                  <w:tcW w:w="2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南</w:t>
                  </w:r>
                </w:p>
              </w:tc>
              <w:tc>
                <w:tcPr>
                  <w:tcW w:w="1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西</w:t>
                  </w:r>
                </w:p>
              </w:tc>
              <w:tc>
                <w:tcPr>
                  <w:tcW w:w="2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北</w:t>
                  </w:r>
                </w:p>
              </w:tc>
              <w:tc>
                <w:tcPr>
                  <w:tcW w:w="3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东</w:t>
                  </w:r>
                </w:p>
              </w:tc>
              <w:tc>
                <w:tcPr>
                  <w:tcW w:w="3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南</w:t>
                  </w:r>
                </w:p>
              </w:tc>
              <w:tc>
                <w:tcPr>
                  <w:tcW w:w="3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西</w:t>
                  </w:r>
                </w:p>
              </w:tc>
              <w:tc>
                <w:tcPr>
                  <w:tcW w:w="33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北</w:t>
                  </w:r>
                </w:p>
              </w:tc>
              <w:tc>
                <w:tcPr>
                  <w:tcW w:w="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建筑物外距离</w:t>
                  </w:r>
                </w:p>
              </w:tc>
            </w:tr>
            <w:tr>
              <w:tblPrEx>
                <w:tblLayout w:type="fixed"/>
                <w:tblCellMar>
                  <w:top w:w="0" w:type="dxa"/>
                  <w:left w:w="23" w:type="dxa"/>
                  <w:bottom w:w="0" w:type="dxa"/>
                  <w:right w:w="23" w:type="dxa"/>
                </w:tblCellMar>
              </w:tblPrEx>
              <w:trPr>
                <w:trHeight w:val="318" w:hRule="atLeast"/>
              </w:trPr>
              <w:tc>
                <w:tcPr>
                  <w:tcW w:w="309"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西厂房</w:t>
                  </w:r>
                </w:p>
              </w:tc>
              <w:tc>
                <w:tcPr>
                  <w:tcW w:w="53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装载机</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85</w:t>
                  </w:r>
                </w:p>
              </w:tc>
              <w:tc>
                <w:tcPr>
                  <w:tcW w:w="29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建筑隔声、减振机座</w:t>
                  </w:r>
                </w:p>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210.128</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243.036</w:t>
                  </w:r>
                </w:p>
              </w:tc>
              <w:tc>
                <w:tcPr>
                  <w:tcW w:w="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24.3</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8.7</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93.4</w:t>
                  </w:r>
                </w:p>
              </w:tc>
              <w:tc>
                <w:tcPr>
                  <w:tcW w:w="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14.8</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57.55</w:t>
                  </w:r>
                </w:p>
              </w:tc>
              <w:tc>
                <w:tcPr>
                  <w:tcW w:w="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60.62</w:t>
                  </w:r>
                </w:p>
              </w:tc>
              <w:tc>
                <w:tcPr>
                  <w:tcW w:w="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56.89</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58.52</w:t>
                  </w:r>
                </w:p>
              </w:tc>
              <w:tc>
                <w:tcPr>
                  <w:tcW w:w="28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连续运行</w:t>
                  </w:r>
                  <w:r>
                    <w:rPr>
                      <w:rStyle w:val="68"/>
                      <w:rFonts w:hint="default"/>
                      <w:color w:val="000000" w:themeColor="text1"/>
                      <w:lang w:bidi="ar"/>
                      <w14:textFill>
                        <w14:solidFill>
                          <w14:schemeClr w14:val="tx1"/>
                        </w14:solidFill>
                      </w14:textFill>
                    </w:rPr>
                    <w:t>10h</w:t>
                  </w: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36.55</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39.62</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35.89</w:t>
                  </w:r>
                </w:p>
              </w:tc>
              <w:tc>
                <w:tcPr>
                  <w:tcW w:w="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37.52</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r>
            <w:tr>
              <w:tblPrEx>
                <w:tblLayout w:type="fixed"/>
                <w:tblCellMar>
                  <w:top w:w="0" w:type="dxa"/>
                  <w:left w:w="23" w:type="dxa"/>
                  <w:bottom w:w="0" w:type="dxa"/>
                  <w:right w:w="23" w:type="dxa"/>
                </w:tblCellMar>
              </w:tblPrEx>
              <w:trPr>
                <w:trHeight w:val="318" w:hRule="atLeast"/>
              </w:trPr>
              <w:tc>
                <w:tcPr>
                  <w:tcW w:w="309" w:type="dxa"/>
                  <w:vMerge w:val="continue"/>
                  <w:tcBorders>
                    <w:left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14:textFill>
                        <w14:solidFill>
                          <w14:schemeClr w14:val="tx1"/>
                        </w14:solidFill>
                      </w14:textFill>
                    </w:rPr>
                  </w:pPr>
                </w:p>
              </w:tc>
              <w:tc>
                <w:tcPr>
                  <w:tcW w:w="53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翻抛机</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80</w:t>
                  </w:r>
                </w:p>
              </w:tc>
              <w:tc>
                <w:tcPr>
                  <w:tcW w:w="296"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269.84</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220.014</w:t>
                  </w:r>
                </w:p>
              </w:tc>
              <w:tc>
                <w:tcPr>
                  <w:tcW w:w="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88.0</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12.5</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29.4</w:t>
                  </w:r>
                </w:p>
              </w:tc>
              <w:tc>
                <w:tcPr>
                  <w:tcW w:w="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14.6</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51.90</w:t>
                  </w:r>
                </w:p>
              </w:tc>
              <w:tc>
                <w:tcPr>
                  <w:tcW w:w="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54.05</w:t>
                  </w:r>
                </w:p>
              </w:tc>
              <w:tc>
                <w:tcPr>
                  <w:tcW w:w="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52.34</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53.56</w:t>
                  </w:r>
                </w:p>
              </w:tc>
              <w:tc>
                <w:tcPr>
                  <w:tcW w:w="289"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30.90</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33.05</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31.34</w:t>
                  </w:r>
                </w:p>
              </w:tc>
              <w:tc>
                <w:tcPr>
                  <w:tcW w:w="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32.56</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r>
            <w:tr>
              <w:tblPrEx>
                <w:tblLayout w:type="fixed"/>
                <w:tblCellMar>
                  <w:top w:w="0" w:type="dxa"/>
                  <w:left w:w="23" w:type="dxa"/>
                  <w:bottom w:w="0" w:type="dxa"/>
                  <w:right w:w="23" w:type="dxa"/>
                </w:tblCellMar>
              </w:tblPrEx>
              <w:trPr>
                <w:trHeight w:val="318" w:hRule="atLeast"/>
              </w:trPr>
              <w:tc>
                <w:tcPr>
                  <w:tcW w:w="309"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14:textFill>
                        <w14:solidFill>
                          <w14:schemeClr w14:val="tx1"/>
                        </w14:solidFill>
                      </w14:textFill>
                    </w:rPr>
                  </w:pPr>
                </w:p>
              </w:tc>
              <w:tc>
                <w:tcPr>
                  <w:tcW w:w="53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雾炮机1</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7</w:t>
                  </w:r>
                  <w:r>
                    <w:rPr>
                      <w:color w:val="000000" w:themeColor="text1"/>
                      <w:kern w:val="0"/>
                      <w:szCs w:val="21"/>
                      <w:lang w:bidi="ar"/>
                      <w14:textFill>
                        <w14:solidFill>
                          <w14:schemeClr w14:val="tx1"/>
                        </w14:solidFill>
                      </w14:textFill>
                    </w:rPr>
                    <w:t>0</w:t>
                  </w:r>
                </w:p>
              </w:tc>
              <w:tc>
                <w:tcPr>
                  <w:tcW w:w="296"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241.782</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231.525</w:t>
                  </w:r>
                </w:p>
              </w:tc>
              <w:tc>
                <w:tcPr>
                  <w:tcW w:w="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57.7</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11.4</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59.7</w:t>
                  </w:r>
                </w:p>
              </w:tc>
              <w:tc>
                <w:tcPr>
                  <w:tcW w:w="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14.1</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41.98</w:t>
                  </w:r>
                </w:p>
              </w:tc>
              <w:tc>
                <w:tcPr>
                  <w:tcW w:w="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44.41</w:t>
                  </w:r>
                </w:p>
              </w:tc>
              <w:tc>
                <w:tcPr>
                  <w:tcW w:w="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41.97</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43.67</w:t>
                  </w:r>
                </w:p>
              </w:tc>
              <w:tc>
                <w:tcPr>
                  <w:tcW w:w="289"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20.98</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23.41</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20.97</w:t>
                  </w:r>
                </w:p>
              </w:tc>
              <w:tc>
                <w:tcPr>
                  <w:tcW w:w="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22.67</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r>
            <w:tr>
              <w:tblPrEx>
                <w:tblLayout w:type="fixed"/>
                <w:tblCellMar>
                  <w:top w:w="0" w:type="dxa"/>
                  <w:left w:w="23" w:type="dxa"/>
                  <w:bottom w:w="0" w:type="dxa"/>
                  <w:right w:w="23" w:type="dxa"/>
                </w:tblCellMar>
              </w:tblPrEx>
              <w:trPr>
                <w:trHeight w:val="606" w:hRule="atLeast"/>
              </w:trPr>
              <w:tc>
                <w:tcPr>
                  <w:tcW w:w="309"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东厂房</w:t>
                  </w:r>
                </w:p>
              </w:tc>
              <w:tc>
                <w:tcPr>
                  <w:tcW w:w="53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包装机</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70</w:t>
                  </w:r>
                </w:p>
              </w:tc>
              <w:tc>
                <w:tcPr>
                  <w:tcW w:w="296"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351.48</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231.611</w:t>
                  </w:r>
                </w:p>
              </w:tc>
              <w:tc>
                <w:tcPr>
                  <w:tcW w:w="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7.3</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48.7</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7.7</w:t>
                  </w:r>
                </w:p>
              </w:tc>
              <w:tc>
                <w:tcPr>
                  <w:tcW w:w="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18.9</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48.00</w:t>
                  </w:r>
                </w:p>
              </w:tc>
              <w:tc>
                <w:tcPr>
                  <w:tcW w:w="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45.34</w:t>
                  </w:r>
                </w:p>
              </w:tc>
              <w:tc>
                <w:tcPr>
                  <w:tcW w:w="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47.79</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45.80</w:t>
                  </w:r>
                </w:p>
              </w:tc>
              <w:tc>
                <w:tcPr>
                  <w:tcW w:w="289"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27.00</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24.34</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26.79</w:t>
                  </w:r>
                </w:p>
              </w:tc>
              <w:tc>
                <w:tcPr>
                  <w:tcW w:w="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24.80</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r>
            <w:tr>
              <w:tblPrEx>
                <w:tblLayout w:type="fixed"/>
                <w:tblCellMar>
                  <w:top w:w="0" w:type="dxa"/>
                  <w:left w:w="23" w:type="dxa"/>
                  <w:bottom w:w="0" w:type="dxa"/>
                  <w:right w:w="23" w:type="dxa"/>
                </w:tblCellMar>
              </w:tblPrEx>
              <w:trPr>
                <w:trHeight w:val="606" w:hRule="atLeast"/>
              </w:trPr>
              <w:tc>
                <w:tcPr>
                  <w:tcW w:w="309"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p>
              </w:tc>
              <w:tc>
                <w:tcPr>
                  <w:tcW w:w="53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雾炮机2</w:t>
                  </w:r>
                </w:p>
              </w:tc>
              <w:tc>
                <w:tcPr>
                  <w:tcW w:w="4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70</w:t>
                  </w:r>
                </w:p>
              </w:tc>
              <w:tc>
                <w:tcPr>
                  <w:tcW w:w="296"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 w:val="20"/>
                      <w:szCs w:val="20"/>
                      <w:lang w:bidi="ar"/>
                      <w14:textFill>
                        <w14:solidFill>
                          <w14:schemeClr w14:val="tx1"/>
                        </w14:solidFill>
                      </w14:textFill>
                    </w:rPr>
                  </w:pPr>
                  <w:r>
                    <w:rPr>
                      <w:rFonts w:hint="eastAsia"/>
                      <w:color w:val="000000" w:themeColor="text1"/>
                      <w14:textFill>
                        <w14:solidFill>
                          <w14:schemeClr w14:val="tx1"/>
                        </w14:solidFill>
                      </w14:textFill>
                    </w:rPr>
                    <w:t>335.867</w:t>
                  </w:r>
                </w:p>
              </w:tc>
              <w:tc>
                <w:tcPr>
                  <w:tcW w:w="4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 w:val="20"/>
                      <w:szCs w:val="20"/>
                      <w:lang w:bidi="ar"/>
                      <w14:textFill>
                        <w14:solidFill>
                          <w14:schemeClr w14:val="tx1"/>
                        </w14:solidFill>
                      </w14:textFill>
                    </w:rPr>
                  </w:pPr>
                  <w:r>
                    <w:rPr>
                      <w:rFonts w:hint="eastAsia"/>
                      <w:color w:val="000000" w:themeColor="text1"/>
                      <w14:textFill>
                        <w14:solidFill>
                          <w14:schemeClr w14:val="tx1"/>
                        </w14:solidFill>
                      </w14:textFill>
                    </w:rPr>
                    <w:t>202.198</w:t>
                  </w:r>
                </w:p>
              </w:tc>
              <w:tc>
                <w:tcPr>
                  <w:tcW w:w="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 w:val="20"/>
                      <w:szCs w:val="20"/>
                      <w:lang w:bidi="ar"/>
                      <w14:textFill>
                        <w14:solidFill>
                          <w14:schemeClr w14:val="tx1"/>
                        </w14:solidFill>
                      </w14:textFill>
                    </w:rPr>
                  </w:pPr>
                  <w:r>
                    <w:rPr>
                      <w:rFonts w:hint="eastAsia"/>
                      <w:color w:val="000000" w:themeColor="text1"/>
                      <w14:textFill>
                        <w14:solidFill>
                          <w14:schemeClr w14:val="tx1"/>
                        </w14:solidFill>
                      </w14:textFill>
                    </w:rPr>
                    <w:t>1.2</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8.5</w:t>
                  </w:r>
                </w:p>
              </w:tc>
              <w:tc>
                <w:tcPr>
                  <w:tcW w:w="3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15.4</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8.1</w:t>
                  </w:r>
                </w:p>
              </w:tc>
              <w:tc>
                <w:tcPr>
                  <w:tcW w:w="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51.6</w:t>
                  </w:r>
                </w:p>
              </w:tc>
              <w:tc>
                <w:tcPr>
                  <w:tcW w:w="3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47.45</w:t>
                  </w:r>
                </w:p>
              </w:tc>
              <w:tc>
                <w:tcPr>
                  <w:tcW w:w="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46.05</w:t>
                  </w:r>
                </w:p>
              </w:tc>
              <w:tc>
                <w:tcPr>
                  <w:tcW w:w="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47.64</w:t>
                  </w:r>
                </w:p>
              </w:tc>
              <w:tc>
                <w:tcPr>
                  <w:tcW w:w="3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45.33</w:t>
                  </w:r>
                </w:p>
              </w:tc>
              <w:tc>
                <w:tcPr>
                  <w:tcW w:w="289" w:type="dxa"/>
                  <w:tcBorders>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26.45</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25.05</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26.64</w:t>
                  </w:r>
                </w:p>
              </w:tc>
              <w:tc>
                <w:tcPr>
                  <w:tcW w:w="3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14:textFill>
                        <w14:solidFill>
                          <w14:schemeClr w14:val="tx1"/>
                        </w14:solidFill>
                      </w14:textFill>
                    </w:rPr>
                    <w:t>24.33</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r>
          </w:tbl>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2、预测范围、点位与评价因子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①噪声预测范围为：厂界外1m。</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②预测点位：噪声分别预测东、西厂房厂界东西南北4个厂界处贡献值。</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③噪声预测因子：昼夜等效连续A声级。</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声环境影响预测</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（1）建筑物插入损失计算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w:t>
            </w:r>
            <w:r>
              <w:rPr>
                <w:color w:val="000000" w:themeColor="text1"/>
                <w:kern w:val="0"/>
                <w:sz w:val="24"/>
                <w:lang w:bidi="ar"/>
                <w14:textFill>
                  <w14:solidFill>
                    <w14:schemeClr w14:val="tx1"/>
                  </w14:solidFill>
                </w14:textFill>
              </w:rPr>
              <w:t>价技术导则 声环境》（HJ2.4-2021）</w:t>
            </w:r>
            <w:r>
              <w:rPr>
                <w:color w:val="000000" w:themeColor="text1"/>
                <w:sz w:val="24"/>
                <w14:textFill>
                  <w14:solidFill>
                    <w14:schemeClr w14:val="tx1"/>
                  </w14:solidFill>
                </w14:textFill>
              </w:rPr>
              <w:t>附录B可知，室内声源可采用等效室外声源声功率级法进行计算。设靠近开口处（或窗户）室内、室外某倍频带的声压级分别为L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和L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。若声源所在室内声场为近似扩散声场，则室外的倍频带声压级可按以下公式近似求出：</w:t>
            </w:r>
          </w:p>
          <w:p>
            <w:pPr>
              <w:snapToGrid w:val="0"/>
              <w:spacing w:line="360" w:lineRule="auto"/>
              <w:ind w:firstLine="480" w:firstLineChars="2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-（TL+6）</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式中：TL—隔墙（或窗户）倍频带的隔声量，dB。</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综上可知，建筑物插入损失等于建筑物隔音量+6。根据《环境工程手册 环境噪声控制卷》表4-14可知，单层板平均隔声量为20.5dB（A），本项目设备设置减振装置，</w:t>
            </w:r>
            <w:r>
              <w:rPr>
                <w:rFonts w:hint="eastAsia"/>
                <w:color w:val="000000" w:themeColor="text1"/>
                <w:sz w:val="24"/>
                <w14:textFill>
                  <w14:solidFill>
                    <w14:schemeClr w14:val="tx1"/>
                  </w14:solidFill>
                </w14:textFill>
              </w:rPr>
              <w:t>厂房为</w:t>
            </w:r>
            <w:r>
              <w:rPr>
                <w:color w:val="000000" w:themeColor="text1"/>
                <w:sz w:val="24"/>
                <w14:textFill>
                  <w14:solidFill>
                    <w14:schemeClr w14:val="tx1"/>
                  </w14:solidFill>
                </w14:textFill>
              </w:rPr>
              <w:t>钢架结构厂房，综合考虑，本项目建筑物隔音量选取</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dB（A），则建筑物插入损失即为</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dB（A）。</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sz w:val="24"/>
                <w14:textFill>
                  <w14:solidFill>
                    <w14:schemeClr w14:val="tx1"/>
                  </w14:solidFill>
                </w14:textFill>
              </w:rPr>
              <w:t>（2）</w:t>
            </w:r>
            <w:r>
              <w:rPr>
                <w:b/>
                <w:bCs/>
                <w:color w:val="000000" w:themeColor="text1"/>
                <w:kern w:val="0"/>
                <w:sz w:val="24"/>
                <w:lang w:bidi="ar"/>
                <w14:textFill>
                  <w14:solidFill>
                    <w14:schemeClr w14:val="tx1"/>
                  </w14:solidFill>
                </w14:textFill>
              </w:rPr>
              <w:t>噪声预测模式及方法</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根据《环境影响评价技术导则 声环境》（HJ2.4-2021）中规定，本项目选用导则中附录A、B中给定的噪声预测模型，在不能取得声源倍频带声功率级或倍频带声压级，只能获得A声功率级或某点的A声级时，可用A声功率级或某点的A声级计算。</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1）基本公式</w:t>
            </w:r>
          </w:p>
          <w:p>
            <w:pPr>
              <w:widowControl/>
              <w:spacing w:line="360" w:lineRule="auto"/>
              <w:jc w:val="center"/>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Lp(r)=Lw+DC-(Adiv++Aatm+Agr+Abar+Amisc)</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式中Lp(r)——预测点处声压级，dB；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Lw——由点声源产生的声功率级（A计权或倍频带），dB；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DC——指向性校正，它描述点声源的等效连续声压级与产生声功率级Lw的全向点声源在规定方向的声级的偏差程度，dB；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Adiv——几何发散引起的衰减，dB；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Aatm——大气吸收引起的衰减，dB；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Agr——地面效应引起的衰减，dB；</w:t>
            </w:r>
          </w:p>
          <w:p>
            <w:pPr>
              <w:widowControl/>
              <w:spacing w:line="360" w:lineRule="auto"/>
              <w:ind w:firstLine="960" w:firstLineChars="4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Abar——障碍物屏蔽引起的衰减，dB；</w:t>
            </w:r>
          </w:p>
          <w:p>
            <w:pPr>
              <w:spacing w:line="360" w:lineRule="auto"/>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Amisc——其他多方面效应引起的衰减，dB。</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2）预测条件假设</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①所有产噪设备均在正常工况条件下运行；</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②考虑室内声源所在厂房围护结构的隔声、吸声作用；</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③衰减仅考虑几何发散衰减。</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3）室内声源</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室内声源由室内向室外传播示意图见下图。</w:t>
            </w:r>
          </w:p>
          <w:p>
            <w:pPr>
              <w:widowControl/>
              <w:spacing w:line="360" w:lineRule="auto"/>
              <w:jc w:val="center"/>
              <w:rPr>
                <w:color w:val="000000" w:themeColor="text1"/>
                <w:kern w:val="0"/>
                <w:sz w:val="24"/>
                <w:lang w:bidi="ar"/>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3716655" cy="1722120"/>
                  <wp:effectExtent l="0" t="0" r="171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3716655" cy="1722120"/>
                          </a:xfrm>
                          <a:prstGeom prst="rect">
                            <a:avLst/>
                          </a:prstGeom>
                          <a:noFill/>
                          <a:ln>
                            <a:noFill/>
                          </a:ln>
                        </pic:spPr>
                      </pic:pic>
                    </a:graphicData>
                  </a:graphic>
                </wp:inline>
              </w:drawing>
            </w:r>
          </w:p>
          <w:p>
            <w:pPr>
              <w:widowControl/>
              <w:spacing w:line="360" w:lineRule="auto"/>
              <w:jc w:val="center"/>
              <w:rPr>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室内声源由室内向室外传播示意图</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①如果已知声源的声压级L(r0)，且声源位于地面上，则</w:t>
            </w:r>
          </w:p>
          <w:p>
            <w:pPr>
              <w:widowControl/>
              <w:spacing w:line="360" w:lineRule="auto"/>
              <w:jc w:val="center"/>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L</w:t>
            </w:r>
            <w:r>
              <w:rPr>
                <w:color w:val="000000" w:themeColor="text1"/>
                <w:kern w:val="0"/>
                <w:sz w:val="24"/>
                <w:vertAlign w:val="subscript"/>
                <w:lang w:bidi="ar"/>
                <w14:textFill>
                  <w14:solidFill>
                    <w14:schemeClr w14:val="tx1"/>
                  </w14:solidFill>
                </w14:textFill>
              </w:rPr>
              <w:t>w</w:t>
            </w:r>
            <w:r>
              <w:rPr>
                <w:color w:val="000000" w:themeColor="text1"/>
                <w:kern w:val="0"/>
                <w:sz w:val="24"/>
                <w:lang w:bidi="ar"/>
                <w14:textFill>
                  <w14:solidFill>
                    <w14:schemeClr w14:val="tx1"/>
                  </w14:solidFill>
                </w14:textFill>
              </w:rPr>
              <w:t>=L(r0)+20lgr</w:t>
            </w:r>
            <w:r>
              <w:rPr>
                <w:color w:val="000000" w:themeColor="text1"/>
                <w:kern w:val="0"/>
                <w:sz w:val="24"/>
                <w:vertAlign w:val="subscript"/>
                <w:lang w:bidi="ar"/>
                <w14:textFill>
                  <w14:solidFill>
                    <w14:schemeClr w14:val="tx1"/>
                  </w14:solidFill>
                </w14:textFill>
              </w:rPr>
              <w:t>0</w:t>
            </w:r>
            <w:r>
              <w:rPr>
                <w:color w:val="000000" w:themeColor="text1"/>
                <w:kern w:val="0"/>
                <w:sz w:val="24"/>
                <w:lang w:bidi="ar"/>
                <w14:textFill>
                  <w14:solidFill>
                    <w14:schemeClr w14:val="tx1"/>
                  </w14:solidFill>
                </w14:textFill>
              </w:rPr>
              <w:t>+8</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②首先计算出某个室内声源靠近围护结构处的声压级：</w:t>
            </w:r>
          </w:p>
          <w:p>
            <w:pPr>
              <w:widowControl/>
              <w:spacing w:line="360" w:lineRule="auto"/>
              <w:jc w:val="center"/>
              <w:rPr>
                <w:color w:val="000000" w:themeColor="text1"/>
                <w:kern w:val="0"/>
                <w:sz w:val="24"/>
                <w:lang w:bidi="ar"/>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840355" cy="676275"/>
                  <wp:effectExtent l="0" t="0" r="171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840355" cy="676275"/>
                          </a:xfrm>
                          <a:prstGeom prst="rect">
                            <a:avLst/>
                          </a:prstGeom>
                          <a:noFill/>
                          <a:ln>
                            <a:noFill/>
                          </a:ln>
                        </pic:spPr>
                      </pic:pic>
                    </a:graphicData>
                  </a:graphic>
                </wp:inline>
              </w:drawing>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式中：L</w:t>
            </w:r>
            <w:r>
              <w:rPr>
                <w:color w:val="000000" w:themeColor="text1"/>
                <w:kern w:val="0"/>
                <w:sz w:val="24"/>
                <w:vertAlign w:val="subscript"/>
                <w:lang w:bidi="ar"/>
                <w14:textFill>
                  <w14:solidFill>
                    <w14:schemeClr w14:val="tx1"/>
                  </w14:solidFill>
                </w14:textFill>
              </w:rPr>
              <w:t>p1</w:t>
            </w:r>
            <w:r>
              <w:rPr>
                <w:color w:val="000000" w:themeColor="text1"/>
                <w:kern w:val="0"/>
                <w:sz w:val="24"/>
                <w:lang w:bidi="ar"/>
                <w14:textFill>
                  <w14:solidFill>
                    <w14:schemeClr w14:val="tx1"/>
                  </w14:solidFill>
                </w14:textFill>
              </w:rPr>
              <w:t>——某个室内声源靠近围护结构处的声压级。</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Lw——某个室内声源靠近围护结构处产生的声功率级。</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Q——指向性因数；通常对无指向性声源，当声源放在房间中心时，Q=1；当放在一面墙的中心时，Q=2；当放在两面墙夹角处时，Q=4；当放在三面墙夹角处时，Q=8。</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R——房间常数；R=Sa/(1-a)，S为房间内表面面积，m²；a为平均吸声系数，本评价a取0.15。</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r——声源到靠近围护结构某点处的距离，m。</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③计算出所有室内声源在围护结构处产生的总声压级：</w:t>
            </w:r>
          </w:p>
          <w:p>
            <w:pPr>
              <w:adjustRightInd w:val="0"/>
              <w:snapToGrid w:val="0"/>
              <w:spacing w:line="360" w:lineRule="auto"/>
              <w:jc w:val="center"/>
              <w:rPr>
                <w:color w:val="000000" w:themeColor="text1"/>
                <w:sz w:val="24"/>
                <w:vertAlign w:val="subscript"/>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3279140" cy="823595"/>
                  <wp:effectExtent l="0" t="0" r="16510"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a:stretch>
                            <a:fillRect/>
                          </a:stretch>
                        </pic:blipFill>
                        <pic:spPr>
                          <a:xfrm>
                            <a:off x="0" y="0"/>
                            <a:ext cx="3279140" cy="823595"/>
                          </a:xfrm>
                          <a:prstGeom prst="rect">
                            <a:avLst/>
                          </a:prstGeom>
                          <a:noFill/>
                          <a:ln>
                            <a:noFill/>
                          </a:ln>
                        </pic:spPr>
                      </pic:pic>
                    </a:graphicData>
                  </a:graphic>
                </wp:inline>
              </w:drawing>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式中：L</w:t>
            </w:r>
            <w:r>
              <w:rPr>
                <w:color w:val="000000" w:themeColor="text1"/>
                <w:kern w:val="0"/>
                <w:sz w:val="24"/>
                <w:vertAlign w:val="subscript"/>
                <w:lang w:bidi="ar"/>
                <w14:textFill>
                  <w14:solidFill>
                    <w14:schemeClr w14:val="tx1"/>
                  </w14:solidFill>
                </w14:textFill>
              </w:rPr>
              <w:t>p1i</w:t>
            </w:r>
            <w:r>
              <w:rPr>
                <w:color w:val="000000" w:themeColor="text1"/>
                <w:kern w:val="0"/>
                <w:sz w:val="24"/>
                <w:lang w:bidi="ar"/>
                <w14:textFill>
                  <w14:solidFill>
                    <w14:schemeClr w14:val="tx1"/>
                  </w14:solidFill>
                </w14:textFill>
              </w:rPr>
              <w:t>（T）——靠近围护结构处室内N个声源i倍频带的叠加声压级，dB；</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L</w:t>
            </w:r>
            <w:r>
              <w:rPr>
                <w:color w:val="000000" w:themeColor="text1"/>
                <w:kern w:val="0"/>
                <w:sz w:val="24"/>
                <w:vertAlign w:val="subscript"/>
                <w:lang w:bidi="ar"/>
                <w14:textFill>
                  <w14:solidFill>
                    <w14:schemeClr w14:val="tx1"/>
                  </w14:solidFill>
                </w14:textFill>
              </w:rPr>
              <w:t>plij</w:t>
            </w:r>
            <w:r>
              <w:rPr>
                <w:color w:val="000000" w:themeColor="text1"/>
                <w:kern w:val="0"/>
                <w:sz w:val="24"/>
                <w:lang w:bidi="ar"/>
                <w14:textFill>
                  <w14:solidFill>
                    <w14:schemeClr w14:val="tx1"/>
                  </w14:solidFill>
                </w14:textFill>
              </w:rPr>
              <w:t>——室内j声源i倍频带的声压级，dB；</w:t>
            </w:r>
          </w:p>
          <w:p>
            <w:pPr>
              <w:widowControl/>
              <w:spacing w:line="360" w:lineRule="auto"/>
              <w:ind w:firstLine="1200" w:firstLineChars="5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N——室内声源总数。</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④计算出室外靠近围护结构处的声压级：</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p1</w:t>
            </w:r>
            <w:r>
              <w:rPr>
                <w:color w:val="000000" w:themeColor="text1"/>
                <w:sz w:val="24"/>
                <w14:textFill>
                  <w14:solidFill>
                    <w14:schemeClr w14:val="tx1"/>
                  </w14:solidFill>
                </w14:textFill>
              </w:rPr>
              <w:t>-(TL+6)</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p1</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靠近开口处（或窗户）室内某倍频带的声压级或 A 声级，dB；</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靠近开口处（或窗户）室外某倍频带的声压级或 A 声级，dB；</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TL</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隔墙（或窗户）倍频带或 A 声级的隔声量，dB。</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⑤将室外声级</w:t>
            </w: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T）和透声面积换算成等效的室外声源，计算出等效声源的声功率级Lw；</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L=L</w:t>
            </w:r>
            <w:r>
              <w:rPr>
                <w:color w:val="000000" w:themeColor="text1"/>
                <w:sz w:val="24"/>
                <w:vertAlign w:val="subscript"/>
                <w14:textFill>
                  <w14:solidFill>
                    <w14:schemeClr w14:val="tx1"/>
                  </w14:solidFill>
                </w14:textFill>
              </w:rPr>
              <w:t>p2</w:t>
            </w:r>
            <w:r>
              <w:rPr>
                <w:color w:val="000000" w:themeColor="text1"/>
                <w:sz w:val="24"/>
                <w14:textFill>
                  <w14:solidFill>
                    <w14:schemeClr w14:val="tx1"/>
                  </w14:solidFill>
                </w14:textFill>
              </w:rPr>
              <w:t>(T)+101gS</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式中：S为透声面积，m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⑥等效室外声源的位置为围护结构的位置，其声功率级为Lw，由此按室外声源方法计算等效室外声源在预测点产生的A声级。</w:t>
            </w:r>
          </w:p>
          <w:p>
            <w:pPr>
              <w:widowControl/>
              <w:spacing w:line="360" w:lineRule="auto"/>
              <w:ind w:firstLine="482" w:firstLineChars="200"/>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4</w:t>
            </w:r>
            <w:r>
              <w:rPr>
                <w:b/>
                <w:bCs/>
                <w:color w:val="000000" w:themeColor="text1"/>
                <w:kern w:val="0"/>
                <w:sz w:val="24"/>
                <w:lang w:bidi="ar"/>
                <w14:textFill>
                  <w14:solidFill>
                    <w14:schemeClr w14:val="tx1"/>
                  </w14:solidFill>
                </w14:textFill>
              </w:rPr>
              <w:t>）计算总声压级</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设第i个室外声源在预测点产生的A声级为LAi，在T时间内该声源工作时间为ti；第j个等效室外声源在预测点产生的A声级为LAj，在T时间内该声源工作时间为tj，则工程声源对预测点产生的贡献值（Leqg）为：</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4331970" cy="802005"/>
                  <wp:effectExtent l="0" t="0" r="1143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6"/>
                          <a:srcRect r="3082"/>
                          <a:stretch>
                            <a:fillRect/>
                          </a:stretch>
                        </pic:blipFill>
                        <pic:spPr>
                          <a:xfrm>
                            <a:off x="0" y="0"/>
                            <a:ext cx="4331970" cy="802005"/>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式中：Leqg——建设项目声源在预测点产生的噪声贡献值，dB；</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T——用于计算等效声级的时间，s；</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N——室外声源个数；</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t i——在T时间内i声源工作时间，s；</w:t>
            </w:r>
          </w:p>
          <w:p>
            <w:pPr>
              <w:adjustRightInd w:val="0"/>
              <w:snapToGrid w:val="0"/>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M——等效室外声源个数；</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t j——在T时间内j声源工作时间，s。</w:t>
            </w:r>
          </w:p>
          <w:p>
            <w:pPr>
              <w:keepNext/>
              <w:keepLines/>
              <w:spacing w:line="360" w:lineRule="auto"/>
              <w:ind w:firstLine="482" w:firstLineChars="200"/>
              <w:outlineLvl w:val="3"/>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预测模式及结果</w:t>
            </w:r>
          </w:p>
          <w:p>
            <w:pPr>
              <w:spacing w:line="360" w:lineRule="auto"/>
              <w:ind w:firstLine="448" w:firstLineChars="200"/>
              <w:rPr>
                <w:color w:val="000000" w:themeColor="text1"/>
                <w:spacing w:val="-8"/>
                <w:kern w:val="0"/>
                <w:sz w:val="24"/>
                <w14:textFill>
                  <w14:solidFill>
                    <w14:schemeClr w14:val="tx1"/>
                  </w14:solidFill>
                </w14:textFill>
              </w:rPr>
            </w:pPr>
            <w:r>
              <w:rPr>
                <w:color w:val="000000" w:themeColor="text1"/>
                <w:spacing w:val="-8"/>
                <w:kern w:val="0"/>
                <w:sz w:val="24"/>
                <w14:textFill>
                  <w14:solidFill>
                    <w14:schemeClr w14:val="tx1"/>
                  </w14:solidFill>
                </w14:textFill>
              </w:rPr>
              <w:t>本</w:t>
            </w:r>
            <w:r>
              <w:rPr>
                <w:rFonts w:hint="eastAsia"/>
                <w:color w:val="000000" w:themeColor="text1"/>
                <w:spacing w:val="-8"/>
                <w:kern w:val="0"/>
                <w:sz w:val="24"/>
                <w14:textFill>
                  <w14:solidFill>
                    <w14:schemeClr w14:val="tx1"/>
                  </w14:solidFill>
                </w14:textFill>
              </w:rPr>
              <w:t>次</w:t>
            </w:r>
            <w:r>
              <w:rPr>
                <w:color w:val="000000" w:themeColor="text1"/>
                <w:spacing w:val="-8"/>
                <w:kern w:val="0"/>
                <w:sz w:val="24"/>
                <w14:textFill>
                  <w14:solidFill>
                    <w14:schemeClr w14:val="tx1"/>
                  </w14:solidFill>
                </w14:textFill>
              </w:rPr>
              <w:t>评价采用</w:t>
            </w:r>
            <w:r>
              <w:rPr>
                <w:rFonts w:hint="eastAsia"/>
                <w:color w:val="000000" w:themeColor="text1"/>
                <w:spacing w:val="-8"/>
                <w:kern w:val="0"/>
                <w:sz w:val="24"/>
                <w14:textFill>
                  <w14:solidFill>
                    <w14:schemeClr w14:val="tx1"/>
                  </w14:solidFill>
                </w14:textFill>
              </w:rPr>
              <w:t>“</w:t>
            </w:r>
            <w:r>
              <w:rPr>
                <w:color w:val="000000" w:themeColor="text1"/>
                <w:spacing w:val="-8"/>
                <w:kern w:val="0"/>
                <w:sz w:val="24"/>
                <w14:textFill>
                  <w14:solidFill>
                    <w14:schemeClr w14:val="tx1"/>
                  </w14:solidFill>
                </w14:textFill>
              </w:rPr>
              <w:t>环安科技-NoiseSystem4.0</w:t>
            </w:r>
            <w:r>
              <w:rPr>
                <w:rFonts w:hint="eastAsia"/>
                <w:color w:val="000000" w:themeColor="text1"/>
                <w:spacing w:val="-8"/>
                <w:kern w:val="0"/>
                <w:sz w:val="24"/>
                <w14:textFill>
                  <w14:solidFill>
                    <w14:schemeClr w14:val="tx1"/>
                  </w14:solidFill>
                </w14:textFill>
              </w:rPr>
              <w:t>”</w:t>
            </w:r>
            <w:r>
              <w:rPr>
                <w:color w:val="000000" w:themeColor="text1"/>
                <w:spacing w:val="-8"/>
                <w:kern w:val="0"/>
                <w:sz w:val="24"/>
                <w14:textFill>
                  <w14:solidFill>
                    <w14:schemeClr w14:val="tx1"/>
                  </w14:solidFill>
                </w14:textFill>
              </w:rPr>
              <w:t>进行预测。</w:t>
            </w:r>
          </w:p>
          <w:p>
            <w:pPr>
              <w:spacing w:line="360" w:lineRule="auto"/>
              <w:ind w:firstLine="448" w:firstLineChars="200"/>
              <w:rPr>
                <w:color w:val="000000" w:themeColor="text1"/>
                <w14:textFill>
                  <w14:solidFill>
                    <w14:schemeClr w14:val="tx1"/>
                  </w14:solidFill>
                </w14:textFill>
              </w:rPr>
            </w:pPr>
            <w:r>
              <w:rPr>
                <w:color w:val="000000" w:themeColor="text1"/>
                <w:spacing w:val="-8"/>
                <w:kern w:val="0"/>
                <w:sz w:val="24"/>
                <w14:textFill>
                  <w14:solidFill>
                    <w14:schemeClr w14:val="tx1"/>
                  </w14:solidFill>
                </w14:textFill>
              </w:rPr>
              <w:t>项目在采取各种隔声降噪措施后，项目建设完成投入运行后设备噪声对厂界声环境贡献值预测结果如</w:t>
            </w:r>
            <w:r>
              <w:rPr>
                <w:color w:val="000000" w:themeColor="text1"/>
                <w:spacing w:val="-2"/>
                <w:kern w:val="0"/>
                <w:sz w:val="24"/>
                <w14:textFill>
                  <w14:solidFill>
                    <w14:schemeClr w14:val="tx1"/>
                  </w14:solidFill>
                </w14:textFill>
              </w:rPr>
              <w:t>下表</w:t>
            </w:r>
            <w:r>
              <w:rPr>
                <w:color w:val="000000" w:themeColor="text1"/>
                <w:spacing w:val="-8"/>
                <w:kern w:val="0"/>
                <w:sz w:val="24"/>
                <w14:textFill>
                  <w14:solidFill>
                    <w14:schemeClr w14:val="tx1"/>
                  </w14:solidFill>
                </w14:textFill>
              </w:rPr>
              <w:t>所示：</w:t>
            </w:r>
          </w:p>
          <w:p>
            <w:pPr>
              <w:pStyle w:val="55"/>
              <w:rPr>
                <w:color w:val="000000" w:themeColor="text1"/>
                <w14:textFill>
                  <w14:solidFill>
                    <w14:schemeClr w14:val="tx1"/>
                  </w14:solidFill>
                </w14:textFill>
              </w:rPr>
            </w:pPr>
            <w:r>
              <w:rPr>
                <w:rFonts w:hint="eastAsia"/>
                <w:color w:val="000000" w:themeColor="text1"/>
                <w14:textFill>
                  <w14:solidFill>
                    <w14:schemeClr w14:val="tx1"/>
                  </w14:solidFill>
                </w14:textFill>
              </w:rPr>
              <w:t>表4-7 本项目运营期厂界噪声贡献值预测结果（单位：dB（A））</w:t>
            </w:r>
          </w:p>
          <w:tbl>
            <w:tblPr>
              <w:tblStyle w:val="23"/>
              <w:tblW w:w="83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997"/>
              <w:gridCol w:w="793"/>
              <w:gridCol w:w="946"/>
              <w:gridCol w:w="1000"/>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厂房名称</w:t>
                  </w:r>
                </w:p>
              </w:tc>
              <w:tc>
                <w:tcPr>
                  <w:tcW w:w="9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预测方位</w:t>
                  </w:r>
                </w:p>
              </w:tc>
              <w:tc>
                <w:tcPr>
                  <w:tcW w:w="2985" w:type="dxa"/>
                  <w:gridSpan w:val="3"/>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最大值点空间相对位置/m</w:t>
                  </w:r>
                </w:p>
              </w:tc>
              <w:tc>
                <w:tcPr>
                  <w:tcW w:w="793"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时段</w:t>
                  </w:r>
                </w:p>
              </w:tc>
              <w:tc>
                <w:tcPr>
                  <w:tcW w:w="946"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贡献值（dB(A)）</w:t>
                  </w:r>
                </w:p>
              </w:tc>
              <w:tc>
                <w:tcPr>
                  <w:tcW w:w="1000"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标准限值（dB(A)）</w:t>
                  </w:r>
                </w:p>
              </w:tc>
              <w:tc>
                <w:tcPr>
                  <w:tcW w:w="63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X</w:t>
                  </w: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Y</w:t>
                  </w:r>
                </w:p>
              </w:tc>
              <w:tc>
                <w:tcPr>
                  <w:tcW w:w="997"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Z</w:t>
                  </w:r>
                </w:p>
              </w:tc>
              <w:tc>
                <w:tcPr>
                  <w:tcW w:w="793" w:type="dxa"/>
                  <w:vMerge w:val="continue"/>
                  <w:vAlign w:val="center"/>
                </w:tcPr>
                <w:p>
                  <w:pPr>
                    <w:jc w:val="center"/>
                    <w:rPr>
                      <w:color w:val="000000" w:themeColor="text1"/>
                      <w14:textFill>
                        <w14:solidFill>
                          <w14:schemeClr w14:val="tx1"/>
                        </w14:solidFill>
                      </w14:textFill>
                    </w:rPr>
                  </w:pPr>
                </w:p>
              </w:tc>
              <w:tc>
                <w:tcPr>
                  <w:tcW w:w="946" w:type="dxa"/>
                  <w:vMerge w:val="continue"/>
                  <w:vAlign w:val="center"/>
                </w:tcPr>
                <w:p>
                  <w:pPr>
                    <w:jc w:val="center"/>
                    <w:rPr>
                      <w:color w:val="000000" w:themeColor="text1"/>
                      <w14:textFill>
                        <w14:solidFill>
                          <w14:schemeClr w14:val="tx1"/>
                        </w14:solidFill>
                      </w14:textFill>
                    </w:rPr>
                  </w:pPr>
                </w:p>
              </w:tc>
              <w:tc>
                <w:tcPr>
                  <w:tcW w:w="1000" w:type="dxa"/>
                  <w:vMerge w:val="continue"/>
                  <w:vAlign w:val="center"/>
                </w:tcPr>
                <w:p>
                  <w:pPr>
                    <w:jc w:val="center"/>
                    <w:rPr>
                      <w:color w:val="000000" w:themeColor="text1"/>
                      <w14:textFill>
                        <w14:solidFill>
                          <w14:schemeClr w14:val="tx1"/>
                        </w14:solidFill>
                      </w14:textFill>
                    </w:rPr>
                  </w:pPr>
                </w:p>
              </w:tc>
              <w:tc>
                <w:tcPr>
                  <w:tcW w:w="634" w:type="dxa"/>
                  <w:vMerge w:val="continue"/>
                  <w:vAlign w:val="center"/>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西厂房</w:t>
                  </w: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115.63</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-52.99</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59.84</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-0.68</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-0.80</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57.53</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-1.43</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-0.06</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56.01</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122.33</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-26.36</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56.87</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东厂房</w:t>
                  </w: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167.68</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-51.04</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46.03</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148.78</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-65.84</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44.84</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158.21</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-38.96</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48.41</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94" w:type="dxa"/>
                  <w:vMerge w:val="continue"/>
                  <w:vAlign w:val="center"/>
                </w:tcPr>
                <w:p>
                  <w:pPr>
                    <w:jc w:val="center"/>
                    <w:rPr>
                      <w:color w:val="000000" w:themeColor="text1"/>
                      <w14:textFill>
                        <w14:solidFill>
                          <w14:schemeClr w14:val="tx1"/>
                        </w14:solidFill>
                      </w14:textFill>
                    </w:rPr>
                  </w:pPr>
                </w:p>
              </w:tc>
              <w:tc>
                <w:tcPr>
                  <w:tcW w:w="99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北侧</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188.67</w:t>
                  </w:r>
                </w:p>
              </w:tc>
              <w:tc>
                <w:tcPr>
                  <w:tcW w:w="994"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3.34</w:t>
                  </w:r>
                </w:p>
              </w:tc>
              <w:tc>
                <w:tcPr>
                  <w:tcW w:w="997" w:type="dxa"/>
                  <w:vAlign w:val="center"/>
                </w:tcPr>
                <w:p>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793"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4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47.07</w:t>
                  </w:r>
                </w:p>
              </w:tc>
              <w:tc>
                <w:tcPr>
                  <w:tcW w:w="100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634"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rFonts w:hint="eastAsia"/>
                <w:bCs/>
                <w:color w:val="000000" w:themeColor="text1"/>
                <w:spacing w:val="-10"/>
                <w:sz w:val="24"/>
                <w:szCs w:val="24"/>
                <w14:textFill>
                  <w14:solidFill>
                    <w14:schemeClr w14:val="tx1"/>
                  </w14:solidFill>
                </w14:textFill>
              </w:rPr>
              <w:t>根据上表可知，上述设备运行产生的噪声在经过阻隔、减振降噪及距离衰减后，项目西厂房和东厂房的东、南、西、北面厂界昼间噪声（夜间不运行）贡献值符合《工业企业厂界环境噪声排放标准》(GB12348-2008)3类标准[昼间≤65 dB(A)]的要求，项目运营期噪声对周边环境影响不大。</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厂区噪声贡献等值线分布情况见下图：</w:t>
            </w:r>
          </w:p>
          <w:p>
            <w:pPr>
              <w:pStyle w:val="28"/>
              <w:spacing w:before="24" w:after="24"/>
              <w:ind w:firstLine="0"/>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drawing>
                <wp:inline distT="0" distB="0" distL="114300" distR="114300">
                  <wp:extent cx="5380355" cy="4695825"/>
                  <wp:effectExtent l="0" t="0" r="10795" b="9525"/>
                  <wp:docPr id="5" name="图片 5" descr="ac27e08a-6fa7-4ece-beab-05c8c5274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27e08a-6fa7-4ece-beab-05c8c527469c"/>
                          <pic:cNvPicPr>
                            <a:picLocks noChangeAspect="1"/>
                          </pic:cNvPicPr>
                        </pic:nvPicPr>
                        <pic:blipFill>
                          <a:blip r:embed="rId27"/>
                          <a:stretch>
                            <a:fillRect/>
                          </a:stretch>
                        </pic:blipFill>
                        <pic:spPr>
                          <a:xfrm>
                            <a:off x="0" y="0"/>
                            <a:ext cx="5380355" cy="4695825"/>
                          </a:xfrm>
                          <a:prstGeom prst="rect">
                            <a:avLst/>
                          </a:prstGeom>
                        </pic:spPr>
                      </pic:pic>
                    </a:graphicData>
                  </a:graphic>
                </wp:inline>
              </w:drawing>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 xml:space="preserve">                    图4-1  本项目噪声贡献等值线图</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5、控制措施</w:t>
            </w:r>
          </w:p>
          <w:p>
            <w:pPr>
              <w:adjustRightInd w:val="0"/>
              <w:snapToGri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sz w:val="24"/>
                <w:lang w:val="zh-CN"/>
                <w14:textFill>
                  <w14:solidFill>
                    <w14:schemeClr w14:val="tx1"/>
                  </w14:solidFill>
                </w14:textFill>
              </w:rPr>
              <w:t>为减小运营期噪声对周边环境的影响，本环评提出如下措施：</w:t>
            </w:r>
          </w:p>
          <w:p>
            <w:pPr>
              <w:adjustRightInd w:val="0"/>
              <w:snapToGri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①选用低噪声生产设备；</w:t>
            </w:r>
          </w:p>
          <w:p>
            <w:pPr>
              <w:adjustRightInd w:val="0"/>
              <w:snapToGri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④对操作员工影响加强个人防护意识，工作人员应佩戴防噪用品，如防声耳塞或耳罩等。</w:t>
            </w:r>
          </w:p>
          <w:p>
            <w:pPr>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⑤加强管理培训，确保工人文明操作，装卸货物时轻拿轻放，避免因野蛮操作产生的突发性</w:t>
            </w:r>
            <w:r>
              <w:rPr>
                <w:color w:val="000000" w:themeColor="text1"/>
                <w:sz w:val="24"/>
                <w14:textFill>
                  <w14:solidFill>
                    <w14:schemeClr w14:val="tx1"/>
                  </w14:solidFill>
                </w14:textFill>
              </w:rPr>
              <w:t>噪声；</w:t>
            </w:r>
            <w:r>
              <w:rPr>
                <w:color w:val="000000" w:themeColor="text1"/>
                <w:sz w:val="24"/>
                <w:lang w:val="zh-CN"/>
                <w14:textFill>
                  <w14:solidFill>
                    <w14:schemeClr w14:val="tx1"/>
                  </w14:solidFill>
                </w14:textFill>
              </w:rPr>
              <w:t>以上处理措施在各行业噪声防治中广泛应用，处理效果好。</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6、</w:t>
            </w:r>
            <w:r>
              <w:rPr>
                <w:b/>
                <w:color w:val="000000" w:themeColor="text1"/>
                <w:spacing w:val="-10"/>
                <w:sz w:val="24"/>
                <w:szCs w:val="24"/>
                <w14:textFill>
                  <w14:solidFill>
                    <w14:schemeClr w14:val="tx1"/>
                  </w14:solidFill>
                </w14:textFill>
              </w:rPr>
              <w:t>监测要求</w:t>
            </w:r>
          </w:p>
          <w:p>
            <w:pPr>
              <w:tabs>
                <w:tab w:val="left" w:pos="6153"/>
              </w:tabs>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根据《排污单位自行监测技术指南 磷肥、钾肥、复混肥料、有机肥料和微生物肥料》（HJ 1088-2020）等</w:t>
            </w:r>
            <w:r>
              <w:rPr>
                <w:color w:val="000000" w:themeColor="text1"/>
                <w:kern w:val="0"/>
                <w:sz w:val="24"/>
                <w14:textFill>
                  <w14:solidFill>
                    <w14:schemeClr w14:val="tx1"/>
                  </w14:solidFill>
                </w14:textFill>
              </w:rPr>
              <w:t>相关</w:t>
            </w:r>
            <w:r>
              <w:rPr>
                <w:bCs/>
                <w:color w:val="000000" w:themeColor="text1"/>
                <w:sz w:val="24"/>
                <w14:textFill>
                  <w14:solidFill>
                    <w14:schemeClr w14:val="tx1"/>
                  </w14:solidFill>
                </w14:textFill>
              </w:rPr>
              <w:t>要求，项目运营期噪声监测计划见下表：</w:t>
            </w:r>
          </w:p>
          <w:p>
            <w:pPr>
              <w:pStyle w:val="17"/>
              <w:adjustRightInd w:val="0"/>
              <w:ind w:firstLine="382" w:firstLineChars="200"/>
              <w:jc w:val="center"/>
              <w:rPr>
                <w:b/>
                <w:color w:val="000000" w:themeColor="text1"/>
                <w:spacing w:val="-10"/>
                <w:sz w:val="21"/>
                <w:szCs w:val="21"/>
                <w14:textFill>
                  <w14:solidFill>
                    <w14:schemeClr w14:val="tx1"/>
                  </w14:solidFill>
                </w14:textFill>
              </w:rPr>
            </w:pPr>
            <w:r>
              <w:rPr>
                <w:b/>
                <w:color w:val="000000" w:themeColor="text1"/>
                <w:spacing w:val="-10"/>
                <w:sz w:val="21"/>
                <w:szCs w:val="21"/>
                <w14:textFill>
                  <w14:solidFill>
                    <w14:schemeClr w14:val="tx1"/>
                  </w14:solidFill>
                </w14:textFill>
              </w:rPr>
              <w:t>表4-</w:t>
            </w:r>
            <w:r>
              <w:rPr>
                <w:rFonts w:hint="eastAsia"/>
                <w:b/>
                <w:color w:val="000000" w:themeColor="text1"/>
                <w:spacing w:val="-10"/>
                <w:sz w:val="21"/>
                <w:szCs w:val="21"/>
                <w14:textFill>
                  <w14:solidFill>
                    <w14:schemeClr w14:val="tx1"/>
                  </w14:solidFill>
                </w14:textFill>
              </w:rPr>
              <w:t>8</w:t>
            </w:r>
            <w:r>
              <w:rPr>
                <w:b/>
                <w:color w:val="000000" w:themeColor="text1"/>
                <w:spacing w:val="-10"/>
                <w:sz w:val="21"/>
                <w:szCs w:val="21"/>
                <w14:textFill>
                  <w14:solidFill>
                    <w14:schemeClr w14:val="tx1"/>
                  </w14:solidFill>
                </w14:textFill>
              </w:rPr>
              <w:t xml:space="preserve"> 噪声监测计划一览表</w:t>
            </w:r>
          </w:p>
          <w:tbl>
            <w:tblPr>
              <w:tblStyle w:val="24"/>
              <w:tblW w:w="84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82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2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监测点位</w:t>
                  </w:r>
                </w:p>
              </w:tc>
              <w:tc>
                <w:tcPr>
                  <w:tcW w:w="282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监测项目</w:t>
                  </w:r>
                </w:p>
              </w:tc>
              <w:tc>
                <w:tcPr>
                  <w:tcW w:w="282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22"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西厂房</w:t>
                  </w:r>
                  <w:r>
                    <w:rPr>
                      <w:color w:val="000000" w:themeColor="text1"/>
                      <w:sz w:val="21"/>
                      <w:szCs w:val="21"/>
                      <w14:textFill>
                        <w14:solidFill>
                          <w14:schemeClr w14:val="tx1"/>
                        </w14:solidFill>
                      </w14:textFill>
                    </w:rPr>
                    <w:t>沿项目区场界东、南、西、北界外1m处布点监测</w:t>
                  </w:r>
                </w:p>
              </w:tc>
              <w:tc>
                <w:tcPr>
                  <w:tcW w:w="2822" w:type="dxa"/>
                  <w:vAlign w:val="center"/>
                </w:tcPr>
                <w:p>
                  <w:pPr>
                    <w:pStyle w:val="17"/>
                    <w:adjustRightInd w:val="0"/>
                    <w:jc w:val="center"/>
                    <w:rPr>
                      <w:bCs/>
                      <w:color w:val="000000" w:themeColor="text1"/>
                      <w:spacing w:val="-10"/>
                      <w:sz w:val="21"/>
                      <w:szCs w:val="21"/>
                      <w14:textFill>
                        <w14:solidFill>
                          <w14:schemeClr w14:val="tx1"/>
                        </w14:solidFill>
                      </w14:textFill>
                    </w:rPr>
                  </w:pPr>
                  <w:r>
                    <w:rPr>
                      <w:color w:val="000000" w:themeColor="text1"/>
                      <w:sz w:val="21"/>
                      <w:szCs w:val="21"/>
                      <w14:textFill>
                        <w14:solidFill>
                          <w14:schemeClr w14:val="tx1"/>
                        </w14:solidFill>
                      </w14:textFill>
                    </w:rPr>
                    <w:t>等效声级Leq(dB (A))</w:t>
                  </w:r>
                </w:p>
              </w:tc>
              <w:tc>
                <w:tcPr>
                  <w:tcW w:w="2823" w:type="dxa"/>
                  <w:vAlign w:val="center"/>
                </w:tcPr>
                <w:p>
                  <w:pPr>
                    <w:pStyle w:val="17"/>
                    <w:adjustRightInd w:val="0"/>
                    <w:jc w:val="center"/>
                    <w:rPr>
                      <w:bCs/>
                      <w:color w:val="000000" w:themeColor="text1"/>
                      <w:spacing w:val="-10"/>
                      <w:sz w:val="21"/>
                      <w:szCs w:val="21"/>
                      <w14:textFill>
                        <w14:solidFill>
                          <w14:schemeClr w14:val="tx1"/>
                        </w14:solidFill>
                      </w14:textFill>
                    </w:rPr>
                  </w:pPr>
                  <w:r>
                    <w:rPr>
                      <w:color w:val="000000" w:themeColor="text1"/>
                      <w:sz w:val="21"/>
                      <w:szCs w:val="21"/>
                      <w14:textFill>
                        <w14:solidFill>
                          <w14:schemeClr w14:val="tx1"/>
                        </w14:solidFill>
                      </w14:textFill>
                    </w:rPr>
                    <w:t>每</w:t>
                  </w:r>
                  <w:r>
                    <w:rPr>
                      <w:rFonts w:hint="eastAsia"/>
                      <w:color w:val="000000" w:themeColor="text1"/>
                      <w:sz w:val="21"/>
                      <w:szCs w:val="21"/>
                      <w14:textFill>
                        <w14:solidFill>
                          <w14:schemeClr w14:val="tx1"/>
                        </w14:solidFill>
                      </w14:textFill>
                    </w:rPr>
                    <w:t>季度</w:t>
                  </w:r>
                  <w:r>
                    <w:rPr>
                      <w:color w:val="000000" w:themeColor="text1"/>
                      <w:sz w:val="21"/>
                      <w:szCs w:val="21"/>
                      <w14:textFill>
                        <w14:solidFill>
                          <w14:schemeClr w14:val="tx1"/>
                        </w14:solidFill>
                      </w14:textFill>
                    </w:rPr>
                    <w:t>至少开展一次监测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22" w:type="dxa"/>
                  <w:vAlign w:val="center"/>
                </w:tcPr>
                <w:p>
                  <w:pPr>
                    <w:pStyle w:val="17"/>
                    <w:adjustRightIn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东厂房</w:t>
                  </w:r>
                  <w:r>
                    <w:rPr>
                      <w:color w:val="000000" w:themeColor="text1"/>
                      <w:sz w:val="21"/>
                      <w:szCs w:val="21"/>
                      <w14:textFill>
                        <w14:solidFill>
                          <w14:schemeClr w14:val="tx1"/>
                        </w14:solidFill>
                      </w14:textFill>
                    </w:rPr>
                    <w:t>沿项目区场界东、南、西、北界外1m处布点监测</w:t>
                  </w:r>
                </w:p>
              </w:tc>
              <w:tc>
                <w:tcPr>
                  <w:tcW w:w="2822" w:type="dxa"/>
                  <w:vAlign w:val="center"/>
                </w:tcPr>
                <w:p>
                  <w:pPr>
                    <w:pStyle w:val="17"/>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等效声级Leq(dB (A))</w:t>
                  </w:r>
                </w:p>
              </w:tc>
              <w:tc>
                <w:tcPr>
                  <w:tcW w:w="2823" w:type="dxa"/>
                  <w:vAlign w:val="center"/>
                </w:tcPr>
                <w:p>
                  <w:pPr>
                    <w:pStyle w:val="17"/>
                    <w:adjustRightIn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每</w:t>
                  </w:r>
                  <w:r>
                    <w:rPr>
                      <w:rFonts w:hint="eastAsia"/>
                      <w:color w:val="000000" w:themeColor="text1"/>
                      <w:sz w:val="21"/>
                      <w:szCs w:val="21"/>
                      <w14:textFill>
                        <w14:solidFill>
                          <w14:schemeClr w14:val="tx1"/>
                        </w14:solidFill>
                      </w14:textFill>
                    </w:rPr>
                    <w:t>季度</w:t>
                  </w:r>
                  <w:r>
                    <w:rPr>
                      <w:color w:val="000000" w:themeColor="text1"/>
                      <w:sz w:val="21"/>
                      <w:szCs w:val="21"/>
                      <w14:textFill>
                        <w14:solidFill>
                          <w14:schemeClr w14:val="tx1"/>
                        </w14:solidFill>
                      </w14:textFill>
                    </w:rPr>
                    <w:t>至少开展一次监测</w:t>
                  </w:r>
                </w:p>
              </w:tc>
            </w:tr>
          </w:tbl>
          <w:p>
            <w:pPr>
              <w:pStyle w:val="17"/>
              <w:adjustRightInd w:val="0"/>
              <w:spacing w:before="120" w:beforeLines="50" w:line="360" w:lineRule="auto"/>
              <w:ind w:firstLine="442" w:firstLineChars="200"/>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四、固体废物</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本项目产生的固体废物有一般固废和危险废物，一般固废包含废包装材料、</w:t>
            </w:r>
            <w:r>
              <w:rPr>
                <w:rFonts w:hint="eastAsia"/>
                <w:bCs/>
                <w:color w:val="000000" w:themeColor="text1"/>
                <w:spacing w:val="-10"/>
                <w:sz w:val="24"/>
                <w:szCs w:val="24"/>
                <w14:textFill>
                  <w14:solidFill>
                    <w14:schemeClr w14:val="tx1"/>
                  </w14:solidFill>
                </w14:textFill>
              </w:rPr>
              <w:t>车间</w:t>
            </w:r>
            <w:r>
              <w:rPr>
                <w:bCs/>
                <w:color w:val="000000" w:themeColor="text1"/>
                <w:spacing w:val="-10"/>
                <w:sz w:val="24"/>
                <w:szCs w:val="24"/>
                <w14:textFill>
                  <w14:solidFill>
                    <w14:schemeClr w14:val="tx1"/>
                  </w14:solidFill>
                </w14:textFill>
              </w:rPr>
              <w:t>收尘</w:t>
            </w:r>
            <w:r>
              <w:rPr>
                <w:rFonts w:hint="eastAsia"/>
                <w:bCs/>
                <w:color w:val="000000" w:themeColor="text1"/>
                <w:spacing w:val="-10"/>
                <w:sz w:val="24"/>
                <w:szCs w:val="24"/>
                <w14:textFill>
                  <w14:solidFill>
                    <w14:schemeClr w14:val="tx1"/>
                  </w14:solidFill>
                </w14:textFill>
              </w:rPr>
              <w:t>灰</w:t>
            </w:r>
            <w:r>
              <w:rPr>
                <w:bCs/>
                <w:color w:val="000000" w:themeColor="text1"/>
                <w:spacing w:val="-10"/>
                <w:sz w:val="24"/>
                <w:szCs w:val="24"/>
                <w14:textFill>
                  <w14:solidFill>
                    <w14:schemeClr w14:val="tx1"/>
                  </w14:solidFill>
                </w14:textFill>
              </w:rPr>
              <w:t>、生活垃圾，危险废物为废机油。</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1、固废产生量及措施</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（1）废包装材料</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项目在生产工序中会产生原料和产品的废包装材料，根据建设单位提供资料，废包装材料产生量约为0.2t/a，属于一般固废，集中收集后暂存于一般固废收集桶内，定期外售资源回收公司。</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根据生态环境部办公厅2024年1月22日印发的《固体废物分类与代码目录》，</w:t>
            </w:r>
            <w:r>
              <w:rPr>
                <w:rFonts w:hint="eastAsia"/>
                <w:color w:val="000000" w:themeColor="text1"/>
                <w:sz w:val="24"/>
                <w14:textFill>
                  <w14:solidFill>
                    <w14:schemeClr w14:val="tx1"/>
                  </w14:solidFill>
                </w14:textFill>
              </w:rPr>
              <w:t>废包装材料</w:t>
            </w:r>
            <w:r>
              <w:rPr>
                <w:color w:val="000000" w:themeColor="text1"/>
                <w:sz w:val="24"/>
                <w14:textFill>
                  <w14:solidFill>
                    <w14:schemeClr w14:val="tx1"/>
                  </w14:solidFill>
                </w14:textFill>
              </w:rPr>
              <w:t>废物代码为900-099-S</w:t>
            </w:r>
            <w:r>
              <w:rPr>
                <w:rFonts w:hint="eastAsia"/>
                <w:color w:val="000000" w:themeColor="text1"/>
                <w:sz w:val="24"/>
                <w14:textFill>
                  <w14:solidFill>
                    <w14:schemeClr w14:val="tx1"/>
                  </w14:solidFill>
                </w14:textFill>
              </w:rPr>
              <w:t>59</w:t>
            </w:r>
            <w:r>
              <w:rPr>
                <w:color w:val="000000" w:themeColor="text1"/>
                <w:sz w:val="24"/>
                <w14:textFill>
                  <w14:solidFill>
                    <w14:schemeClr w14:val="tx1"/>
                  </w14:solidFill>
                </w14:textFill>
              </w:rPr>
              <w:t xml:space="preserve">。 </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（2）</w:t>
            </w:r>
            <w:r>
              <w:rPr>
                <w:rFonts w:hint="eastAsia"/>
                <w:bCs/>
                <w:color w:val="000000" w:themeColor="text1"/>
                <w:spacing w:val="-10"/>
                <w:sz w:val="24"/>
                <w:szCs w:val="24"/>
                <w14:textFill>
                  <w14:solidFill>
                    <w14:schemeClr w14:val="tx1"/>
                  </w14:solidFill>
                </w14:textFill>
              </w:rPr>
              <w:t>车间降尘</w:t>
            </w:r>
          </w:p>
          <w:p>
            <w:pPr>
              <w:spacing w:line="360" w:lineRule="auto"/>
              <w:ind w:firstLine="440" w:firstLineChars="200"/>
              <w:rPr>
                <w:color w:val="000000" w:themeColor="text1"/>
                <w:sz w:val="24"/>
                <w14:textFill>
                  <w14:solidFill>
                    <w14:schemeClr w14:val="tx1"/>
                  </w14:solidFill>
                </w14:textFill>
              </w:rPr>
            </w:pPr>
            <w:r>
              <w:rPr>
                <w:bCs/>
                <w:color w:val="000000" w:themeColor="text1"/>
                <w:spacing w:val="-10"/>
                <w:sz w:val="24"/>
                <w14:textFill>
                  <w14:solidFill>
                    <w14:schemeClr w14:val="tx1"/>
                  </w14:solidFill>
                </w14:textFill>
              </w:rPr>
              <w:t>根据物料平衡分析，</w:t>
            </w:r>
            <w:r>
              <w:rPr>
                <w:rFonts w:hint="eastAsia"/>
                <w:bCs/>
                <w:color w:val="000000" w:themeColor="text1"/>
                <w:spacing w:val="-10"/>
                <w:sz w:val="24"/>
                <w14:textFill>
                  <w14:solidFill>
                    <w14:schemeClr w14:val="tx1"/>
                  </w14:solidFill>
                </w14:textFill>
              </w:rPr>
              <w:t>车间</w:t>
            </w:r>
            <w:r>
              <w:rPr>
                <w:bCs/>
                <w:color w:val="000000" w:themeColor="text1"/>
                <w:spacing w:val="-10"/>
                <w:sz w:val="24"/>
                <w14:textFill>
                  <w14:solidFill>
                    <w14:schemeClr w14:val="tx1"/>
                  </w14:solidFill>
                </w14:textFill>
              </w:rPr>
              <w:t>收尘产生量为</w:t>
            </w:r>
            <w:r>
              <w:rPr>
                <w:rFonts w:hint="eastAsia"/>
                <w:bCs/>
                <w:color w:val="000000" w:themeColor="text1"/>
                <w:spacing w:val="-10"/>
                <w:sz w:val="24"/>
                <w14:textFill>
                  <w14:solidFill>
                    <w14:schemeClr w14:val="tx1"/>
                  </w14:solidFill>
                </w14:textFill>
              </w:rPr>
              <w:t>0.659</w:t>
            </w:r>
            <w:r>
              <w:rPr>
                <w:bCs/>
                <w:color w:val="000000" w:themeColor="text1"/>
                <w:spacing w:val="-10"/>
                <w:sz w:val="24"/>
                <w14:textFill>
                  <w14:solidFill>
                    <w14:schemeClr w14:val="tx1"/>
                  </w14:solidFill>
                </w14:textFill>
              </w:rPr>
              <w:t>t/a，</w:t>
            </w:r>
            <w:r>
              <w:rPr>
                <w:color w:val="000000" w:themeColor="text1"/>
                <w:sz w:val="24"/>
                <w14:textFill>
                  <w14:solidFill>
                    <w14:schemeClr w14:val="tx1"/>
                  </w14:solidFill>
                </w14:textFill>
              </w:rPr>
              <w:t>经收集后回用于生产。</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根据生态环境部办公厅2024年1月22日印发的《固体废物分类与代码目录》，收尘废物代码为900-099-S59。</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w:t>
            </w:r>
            <w:r>
              <w:rPr>
                <w:rFonts w:hint="eastAsia"/>
                <w:bCs/>
                <w:color w:val="000000" w:themeColor="text1"/>
                <w:spacing w:val="-10"/>
                <w:sz w:val="24"/>
                <w:szCs w:val="24"/>
                <w14:textFill>
                  <w14:solidFill>
                    <w14:schemeClr w14:val="tx1"/>
                  </w14:solidFill>
                </w14:textFill>
              </w:rPr>
              <w:t>3</w:t>
            </w:r>
            <w:r>
              <w:rPr>
                <w:bCs/>
                <w:color w:val="000000" w:themeColor="text1"/>
                <w:spacing w:val="-10"/>
                <w:sz w:val="24"/>
                <w:szCs w:val="24"/>
                <w14:textFill>
                  <w14:solidFill>
                    <w14:schemeClr w14:val="tx1"/>
                  </w14:solidFill>
                </w14:textFill>
              </w:rPr>
              <w:t>）生活垃圾</w:t>
            </w:r>
          </w:p>
          <w:p>
            <w:pPr>
              <w:adjustRightInd w:val="0"/>
              <w:snapToGrid w:val="0"/>
              <w:spacing w:line="360" w:lineRule="auto"/>
              <w:ind w:firstLine="440" w:firstLineChars="200"/>
              <w:rPr>
                <w:color w:val="000000" w:themeColor="text1"/>
                <w:sz w:val="24"/>
                <w14:textFill>
                  <w14:solidFill>
                    <w14:schemeClr w14:val="tx1"/>
                  </w14:solidFill>
                </w14:textFill>
              </w:rPr>
            </w:pPr>
            <w:r>
              <w:rPr>
                <w:bCs/>
                <w:color w:val="000000" w:themeColor="text1"/>
                <w:spacing w:val="-10"/>
                <w:sz w:val="24"/>
                <w14:textFill>
                  <w14:solidFill>
                    <w14:schemeClr w14:val="tx1"/>
                  </w14:solidFill>
                </w14:textFill>
              </w:rPr>
              <w:t>本项目</w:t>
            </w:r>
            <w:r>
              <w:rPr>
                <w:bCs/>
                <w:color w:val="000000" w:themeColor="text1"/>
                <w:sz w:val="24"/>
                <w14:textFill>
                  <w14:solidFill>
                    <w14:schemeClr w14:val="tx1"/>
                  </w14:solidFill>
                </w14:textFill>
              </w:rPr>
              <w:t>劳动定员</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人</w:t>
            </w:r>
            <w:r>
              <w:rPr>
                <w:rFonts w:hint="eastAsia"/>
                <w:bCs/>
                <w:color w:val="000000" w:themeColor="text1"/>
                <w:sz w:val="24"/>
                <w14:textFill>
                  <w14:solidFill>
                    <w14:schemeClr w14:val="tx1"/>
                  </w14:solidFill>
                </w14:textFill>
              </w:rPr>
              <w:t>，</w:t>
            </w:r>
            <w:r>
              <w:rPr>
                <w:color w:val="000000" w:themeColor="text1"/>
                <w:sz w:val="24"/>
                <w14:textFill>
                  <w14:solidFill>
                    <w14:schemeClr w14:val="tx1"/>
                  </w14:solidFill>
                </w14:textFill>
              </w:rPr>
              <w:t>生活垃圾产生量按0.5kg/（d·人）考虑，则生活垃圾产生量约为</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t/a，设置有若干生活垃圾收集桶，分类收集后，定期清运至环卫部门指定垃圾收集点处置。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根据生态环境部办公厅2024年1月22日印发的《固体废物分类与代码目录》，生活垃圾废物代码为900-002-S64。 </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w:t>
            </w:r>
            <w:r>
              <w:rPr>
                <w:rFonts w:hint="eastAsia"/>
                <w:bCs/>
                <w:color w:val="000000" w:themeColor="text1"/>
                <w:spacing w:val="-10"/>
                <w:sz w:val="24"/>
                <w:szCs w:val="24"/>
                <w14:textFill>
                  <w14:solidFill>
                    <w14:schemeClr w14:val="tx1"/>
                  </w14:solidFill>
                </w14:textFill>
              </w:rPr>
              <w:t>4</w:t>
            </w:r>
            <w:r>
              <w:rPr>
                <w:bCs/>
                <w:color w:val="000000" w:themeColor="text1"/>
                <w:spacing w:val="-10"/>
                <w:sz w:val="24"/>
                <w:szCs w:val="24"/>
                <w14:textFill>
                  <w14:solidFill>
                    <w14:schemeClr w14:val="tx1"/>
                  </w14:solidFill>
                </w14:textFill>
              </w:rPr>
              <w:t>）废机油</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设备维护会产生废机油，产生量约0.5t/a，根据《国家危险废物名录》（202</w:t>
            </w:r>
            <w:r>
              <w:rPr>
                <w:rFonts w:hint="eastAsia"/>
                <w:bCs/>
                <w:color w:val="000000" w:themeColor="text1"/>
                <w:spacing w:val="-10"/>
                <w:sz w:val="24"/>
                <w:szCs w:val="24"/>
                <w14:textFill>
                  <w14:solidFill>
                    <w14:schemeClr w14:val="tx1"/>
                  </w14:solidFill>
                </w14:textFill>
              </w:rPr>
              <w:t>5</w:t>
            </w:r>
            <w:r>
              <w:rPr>
                <w:bCs/>
                <w:color w:val="000000" w:themeColor="text1"/>
                <w:spacing w:val="-10"/>
                <w:sz w:val="24"/>
                <w:szCs w:val="24"/>
                <w14:textFill>
                  <w14:solidFill>
                    <w14:schemeClr w14:val="tx1"/>
                  </w14:solidFill>
                </w14:textFill>
              </w:rPr>
              <w:t>年版），废机油属于危险废物，废物代码：HW08 900-214-08 车辆、轮船及其它机械维修过程中产生的废发动机油、制动器油、自动变速器油、齿轮油等废润滑油，统一收集暂存于危险废物暂存</w:t>
            </w:r>
            <w:r>
              <w:rPr>
                <w:rFonts w:hint="eastAsia"/>
                <w:bCs/>
                <w:color w:val="000000" w:themeColor="text1"/>
                <w:spacing w:val="-10"/>
                <w:sz w:val="24"/>
                <w:szCs w:val="24"/>
                <w14:textFill>
                  <w14:solidFill>
                    <w14:schemeClr w14:val="tx1"/>
                  </w14:solidFill>
                </w14:textFill>
              </w:rPr>
              <w:t>库</w:t>
            </w:r>
            <w:r>
              <w:rPr>
                <w:bCs/>
                <w:color w:val="000000" w:themeColor="text1"/>
                <w:spacing w:val="-10"/>
                <w:sz w:val="24"/>
                <w:szCs w:val="24"/>
                <w14:textFill>
                  <w14:solidFill>
                    <w14:schemeClr w14:val="tx1"/>
                  </w14:solidFill>
                </w14:textFill>
              </w:rPr>
              <w:t>，</w:t>
            </w:r>
            <w:r>
              <w:rPr>
                <w:rFonts w:hint="eastAsia"/>
                <w:bCs/>
                <w:color w:val="000000" w:themeColor="text1"/>
                <w:spacing w:val="-10"/>
                <w:sz w:val="24"/>
                <w:szCs w:val="24"/>
                <w14:textFill>
                  <w14:solidFill>
                    <w14:schemeClr w14:val="tx1"/>
                  </w14:solidFill>
                </w14:textFill>
              </w:rPr>
              <w:t>定期委托有资质单位进行</w:t>
            </w:r>
            <w:r>
              <w:rPr>
                <w:bCs/>
                <w:color w:val="000000" w:themeColor="text1"/>
                <w:spacing w:val="-10"/>
                <w:sz w:val="24"/>
                <w:szCs w:val="24"/>
                <w14:textFill>
                  <w14:solidFill>
                    <w14:schemeClr w14:val="tx1"/>
                  </w14:solidFill>
                </w14:textFill>
              </w:rPr>
              <w:t>处置。</w:t>
            </w:r>
          </w:p>
          <w:p>
            <w:pPr>
              <w:pStyle w:val="17"/>
              <w:adjustRightInd w:val="0"/>
              <w:spacing w:line="360" w:lineRule="auto"/>
              <w:ind w:firstLine="440" w:firstLineChars="200"/>
              <w:rPr>
                <w:bCs/>
                <w:color w:val="000000" w:themeColor="text1"/>
                <w:spacing w:val="-10"/>
                <w:sz w:val="24"/>
                <w:szCs w:val="24"/>
                <w14:textFill>
                  <w14:solidFill>
                    <w14:schemeClr w14:val="tx1"/>
                  </w14:solidFill>
                </w14:textFill>
              </w:rPr>
            </w:pPr>
            <w:r>
              <w:rPr>
                <w:bCs/>
                <w:color w:val="000000" w:themeColor="text1"/>
                <w:spacing w:val="-10"/>
                <w:sz w:val="24"/>
                <w:szCs w:val="24"/>
                <w14:textFill>
                  <w14:solidFill>
                    <w14:schemeClr w14:val="tx1"/>
                  </w14:solidFill>
                </w14:textFill>
              </w:rPr>
              <w:t>固废产排情况统计详见下表。</w:t>
            </w:r>
          </w:p>
          <w:p>
            <w:pPr>
              <w:pStyle w:val="17"/>
              <w:adjustRightInd w:val="0"/>
              <w:ind w:firstLine="382" w:firstLineChars="200"/>
              <w:jc w:val="center"/>
              <w:rPr>
                <w:b/>
                <w:color w:val="000000" w:themeColor="text1"/>
                <w:spacing w:val="-10"/>
                <w:sz w:val="21"/>
                <w:szCs w:val="21"/>
                <w14:textFill>
                  <w14:solidFill>
                    <w14:schemeClr w14:val="tx1"/>
                  </w14:solidFill>
                </w14:textFill>
              </w:rPr>
            </w:pPr>
            <w:r>
              <w:rPr>
                <w:b/>
                <w:color w:val="000000" w:themeColor="text1"/>
                <w:spacing w:val="-10"/>
                <w:sz w:val="21"/>
                <w:szCs w:val="21"/>
                <w14:textFill>
                  <w14:solidFill>
                    <w14:schemeClr w14:val="tx1"/>
                  </w14:solidFill>
                </w14:textFill>
              </w:rPr>
              <w:t>表4-</w:t>
            </w:r>
            <w:r>
              <w:rPr>
                <w:rFonts w:hint="eastAsia"/>
                <w:b/>
                <w:color w:val="000000" w:themeColor="text1"/>
                <w:spacing w:val="-10"/>
                <w:sz w:val="21"/>
                <w:szCs w:val="21"/>
                <w14:textFill>
                  <w14:solidFill>
                    <w14:schemeClr w14:val="tx1"/>
                  </w14:solidFill>
                </w14:textFill>
              </w:rPr>
              <w:t>9</w:t>
            </w:r>
            <w:r>
              <w:rPr>
                <w:b/>
                <w:color w:val="000000" w:themeColor="text1"/>
                <w:spacing w:val="-10"/>
                <w:sz w:val="21"/>
                <w:szCs w:val="21"/>
                <w14:textFill>
                  <w14:solidFill>
                    <w14:schemeClr w14:val="tx1"/>
                  </w14:solidFill>
                </w14:textFill>
              </w:rPr>
              <w:t xml:space="preserve">  固废产排情况统计表</w:t>
            </w:r>
          </w:p>
          <w:tbl>
            <w:tblPr>
              <w:tblStyle w:val="24"/>
              <w:tblW w:w="8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62"/>
              <w:gridCol w:w="1838"/>
              <w:gridCol w:w="1583"/>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567" w:type="dxa"/>
                  <w:vAlign w:val="center"/>
                </w:tcPr>
                <w:p>
                  <w:pPr>
                    <w:pStyle w:val="17"/>
                    <w:adjustRightInd w:val="0"/>
                    <w:jc w:val="both"/>
                    <w:rPr>
                      <w:bCs/>
                      <w:color w:val="000000" w:themeColor="text1"/>
                      <w:spacing w:val="-10"/>
                      <w:sz w:val="21"/>
                      <w:szCs w:val="21"/>
                      <w14:textFill>
                        <w14:solidFill>
                          <w14:schemeClr w14:val="tx1"/>
                        </w14:solidFill>
                      </w14:textFill>
                    </w:rPr>
                  </w:pPr>
                </w:p>
                <w:p>
                  <w:pPr>
                    <w:pStyle w:val="17"/>
                    <w:adjustRightInd w:val="0"/>
                    <w:jc w:val="both"/>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项目</w:t>
                  </w:r>
                </w:p>
                <w:p>
                  <w:pPr>
                    <w:pStyle w:val="17"/>
                    <w:adjustRightInd w:val="0"/>
                    <w:jc w:val="both"/>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种类</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废包装材料</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收尘</w:t>
                  </w:r>
                  <w:r>
                    <w:rPr>
                      <w:rFonts w:hint="eastAsia"/>
                      <w:bCs/>
                      <w:color w:val="000000" w:themeColor="text1"/>
                      <w:spacing w:val="-10"/>
                      <w:sz w:val="21"/>
                      <w:szCs w:val="21"/>
                      <w14:textFill>
                        <w14:solidFill>
                          <w14:schemeClr w14:val="tx1"/>
                        </w14:solidFill>
                      </w14:textFill>
                    </w:rPr>
                    <w:t>灰</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生活垃圾</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固体废物属性</w:t>
                  </w:r>
                </w:p>
              </w:tc>
              <w:tc>
                <w:tcPr>
                  <w:tcW w:w="4983" w:type="dxa"/>
                  <w:gridSpan w:val="3"/>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一般固废</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产生环节</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原料及产品包装</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生产过程</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员工生活</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设备维护、维修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废物类别及代码</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900-099-S59</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900-099-S59</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900-002-S64</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900-214-08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主要有毒有害物质</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p>
                  <w:pPr>
                    <w:pStyle w:val="17"/>
                    <w:adjustRightInd w:val="0"/>
                    <w:jc w:val="center"/>
                    <w:rPr>
                      <w:bCs/>
                      <w:color w:val="000000" w:themeColor="text1"/>
                      <w:spacing w:val="-10"/>
                      <w:sz w:val="21"/>
                      <w:szCs w:val="21"/>
                      <w14:textFill>
                        <w14:solidFill>
                          <w14:schemeClr w14:val="tx1"/>
                        </w14:solidFill>
                      </w14:textFill>
                    </w:rPr>
                  </w:pP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物理性状</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固态编织袋</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粉末</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生活垃圾</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环境危险特性</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年度产生量/t</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0.</w:t>
                  </w:r>
                  <w:r>
                    <w:rPr>
                      <w:rFonts w:hint="eastAsia"/>
                      <w:bCs/>
                      <w:color w:val="000000" w:themeColor="text1"/>
                      <w:spacing w:val="-10"/>
                      <w:sz w:val="21"/>
                      <w:szCs w:val="21"/>
                      <w14:textFill>
                        <w14:solidFill>
                          <w14:schemeClr w14:val="tx1"/>
                        </w14:solidFill>
                      </w14:textFill>
                    </w:rPr>
                    <w:t>2</w:t>
                  </w:r>
                </w:p>
              </w:tc>
              <w:tc>
                <w:tcPr>
                  <w:tcW w:w="1838"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0.659</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1.5</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贮存方式</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一般固废收集桶收集暂存</w:t>
                  </w:r>
                </w:p>
              </w:tc>
              <w:tc>
                <w:tcPr>
                  <w:tcW w:w="1838" w:type="dxa"/>
                  <w:vMerge w:val="restart"/>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回用于有机肥生产</w:t>
                  </w: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垃圾桶收集</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统一收集后暂存于危险废物暂存</w:t>
                  </w:r>
                  <w:r>
                    <w:rPr>
                      <w:rFonts w:hint="eastAsia"/>
                      <w:bCs/>
                      <w:color w:val="000000" w:themeColor="text1"/>
                      <w:spacing w:val="-10"/>
                      <w:sz w:val="21"/>
                      <w:szCs w:val="21"/>
                      <w14:textFill>
                        <w14:solidFill>
                          <w14:schemeClr w14:val="tx1"/>
                        </w14:solidFill>
                      </w14:textFill>
                    </w:rPr>
                    <w:t>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利用处置方式和去向</w:t>
                  </w:r>
                </w:p>
              </w:tc>
              <w:tc>
                <w:tcPr>
                  <w:tcW w:w="1562"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定期外售资源回收公司</w:t>
                  </w:r>
                </w:p>
              </w:tc>
              <w:tc>
                <w:tcPr>
                  <w:tcW w:w="1838" w:type="dxa"/>
                  <w:vMerge w:val="continue"/>
                  <w:vAlign w:val="center"/>
                </w:tcPr>
                <w:p>
                  <w:pPr>
                    <w:pStyle w:val="17"/>
                    <w:adjustRightInd w:val="0"/>
                    <w:jc w:val="center"/>
                    <w:rPr>
                      <w:bCs/>
                      <w:color w:val="000000" w:themeColor="text1"/>
                      <w:spacing w:val="-10"/>
                      <w:sz w:val="21"/>
                      <w:szCs w:val="21"/>
                      <w14:textFill>
                        <w14:solidFill>
                          <w14:schemeClr w14:val="tx1"/>
                        </w14:solidFill>
                      </w14:textFill>
                    </w:rPr>
                  </w:pPr>
                </w:p>
              </w:tc>
              <w:tc>
                <w:tcPr>
                  <w:tcW w:w="1583"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统一收集后委托环卫部门清运</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委托资质单位处置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6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环境管理要求</w:t>
                  </w:r>
                </w:p>
              </w:tc>
              <w:tc>
                <w:tcPr>
                  <w:tcW w:w="4983" w:type="dxa"/>
                  <w:gridSpan w:val="3"/>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处置率100%</w:t>
                  </w:r>
                </w:p>
              </w:tc>
              <w:tc>
                <w:tcPr>
                  <w:tcW w:w="1907" w:type="dxa"/>
                  <w:vAlign w:val="center"/>
                </w:tcPr>
                <w:p>
                  <w:pPr>
                    <w:pStyle w:val="17"/>
                    <w:adjustRightInd w:val="0"/>
                    <w:jc w:val="center"/>
                    <w:rPr>
                      <w:bCs/>
                      <w:color w:val="000000" w:themeColor="text1"/>
                      <w:spacing w:val="-10"/>
                      <w:sz w:val="21"/>
                      <w:szCs w:val="21"/>
                      <w14:textFill>
                        <w14:solidFill>
                          <w14:schemeClr w14:val="tx1"/>
                        </w14:solidFill>
                      </w14:textFill>
                    </w:rPr>
                  </w:pPr>
                  <w:r>
                    <w:rPr>
                      <w:bCs/>
                      <w:color w:val="000000" w:themeColor="text1"/>
                      <w:spacing w:val="-10"/>
                      <w:sz w:val="21"/>
                      <w:szCs w:val="21"/>
                      <w14:textFill>
                        <w14:solidFill>
                          <w14:schemeClr w14:val="tx1"/>
                        </w14:solidFill>
                      </w14:textFill>
                    </w:rPr>
                    <w:t>暂存于危险废物暂存间，危险废物暂存间应防风、防雨、防盗，地面及裙角应防渗，安装显眼合规的标识标志，危废的出库入库应做详尽的台账记录，转运需填写转移联单</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、环境管理要求</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.1、一般固体废物暂存、处置环境管理要求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产生的一般固体废物应按《一般工业固体废物贮存与填埋污染控制标准》（GB18599-2020）中规定设置一般工业固体废物临时贮存场所，并专人负责固体废物的收集、贮存，同时配合地方要求进行集中处置。一般固废暂存库的固废管理方面的具体要求如下：</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应进行简单的防渗处理，并做到防风、防雨；</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（1）为防止雨水径流进入贮存、处置场内，贮存、处置场周边应设置导流渠；</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（2）应按GB l5562.2设置环境保护图形标志；</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（3）一般工业固体废物贮存、处置场，禁止危险废物和生活垃圾混入；</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（4）应建立检查维护制度，定期检查维护导流渠等设施，发现有损坏可能或异常，应及时采取必要措施，以保障正常运行；</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（5）建立档案制度，应将入场的一般工业固体废物的种类和数量以及下列资料，详细记录在案，长期保存，供随时查阅。</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.2、危险废物环境管理要求</w:t>
            </w:r>
            <w:r>
              <w:rPr>
                <w:rFonts w:hint="eastAsia"/>
                <w:b/>
                <w:bCs/>
                <w:color w:val="000000" w:themeColor="text1"/>
                <w:kern w:val="0"/>
                <w:sz w:val="24"/>
                <w14:textFill>
                  <w14:solidFill>
                    <w14:schemeClr w14:val="tx1"/>
                  </w14:solidFill>
                </w14:textFill>
              </w:rPr>
              <w:t>（危险废物的收集、贮存、转运、处置要求）</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本项目设置1间约5m</w:t>
            </w:r>
            <w:r>
              <w:rPr>
                <w:color w:val="000000" w:themeColor="text1"/>
                <w:kern w:val="0"/>
                <w:sz w:val="24"/>
                <w:vertAlign w:val="superscript"/>
                <w14:textFill>
                  <w14:solidFill>
                    <w14:schemeClr w14:val="tx1"/>
                  </w14:solidFill>
                </w14:textFill>
              </w:rPr>
              <w:t>2</w:t>
            </w:r>
            <w:r>
              <w:rPr>
                <w:color w:val="000000" w:themeColor="text1"/>
                <w:kern w:val="0"/>
                <w:sz w:val="24"/>
                <w14:textFill>
                  <w14:solidFill>
                    <w14:schemeClr w14:val="tx1"/>
                  </w14:solidFill>
                </w14:textFill>
              </w:rPr>
              <w:t>的</w:t>
            </w:r>
            <w:r>
              <w:rPr>
                <w:rFonts w:hint="eastAsia"/>
                <w:color w:val="000000" w:themeColor="text1"/>
                <w:kern w:val="0"/>
                <w:sz w:val="24"/>
                <w14:textFill>
                  <w14:solidFill>
                    <w14:schemeClr w14:val="tx1"/>
                  </w14:solidFill>
                </w14:textFill>
              </w:rPr>
              <w:t>危废暂存库</w:t>
            </w:r>
            <w:r>
              <w:rPr>
                <w:color w:val="000000" w:themeColor="text1"/>
                <w:kern w:val="0"/>
                <w:sz w:val="24"/>
                <w14:textFill>
                  <w14:solidFill>
                    <w14:schemeClr w14:val="tx1"/>
                  </w14:solidFill>
                </w14:textFill>
              </w:rPr>
              <w:t>，用于暂存项目产生的危险废物。</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2.2.1</w:t>
            </w:r>
            <w:r>
              <w:rPr>
                <w:b/>
                <w:bCs/>
                <w:color w:val="000000" w:themeColor="text1"/>
                <w:kern w:val="0"/>
                <w:sz w:val="24"/>
                <w14:textFill>
                  <w14:solidFill>
                    <w14:schemeClr w14:val="tx1"/>
                  </w14:solidFill>
                </w14:textFill>
              </w:rPr>
              <w:t>危险废物暂存规范要求</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①</w:t>
            </w:r>
            <w:r>
              <w:rPr>
                <w:rFonts w:hint="eastAsia"/>
                <w:bCs/>
                <w:color w:val="000000" w:themeColor="text1"/>
                <w:sz w:val="24"/>
                <w:szCs w:val="24"/>
                <w14:textFill>
                  <w14:solidFill>
                    <w14:schemeClr w14:val="tx1"/>
                  </w14:solidFill>
                </w14:textFill>
              </w:rPr>
              <w:t>危废暂存库</w:t>
            </w:r>
            <w:r>
              <w:rPr>
                <w:bCs/>
                <w:color w:val="000000" w:themeColor="text1"/>
                <w:sz w:val="24"/>
                <w:szCs w:val="24"/>
                <w14:textFill>
                  <w14:solidFill>
                    <w14:schemeClr w14:val="tx1"/>
                  </w14:solidFill>
                </w14:textFill>
              </w:rPr>
              <w:t>要独立、密闭，上锁防盗，仓库内要有安全照明设施和观察窗口，</w:t>
            </w:r>
            <w:r>
              <w:rPr>
                <w:rFonts w:hint="eastAsia"/>
                <w:bCs/>
                <w:color w:val="000000" w:themeColor="text1"/>
                <w:sz w:val="24"/>
                <w:szCs w:val="24"/>
                <w14:textFill>
                  <w14:solidFill>
                    <w14:schemeClr w14:val="tx1"/>
                  </w14:solidFill>
                </w14:textFill>
              </w:rPr>
              <w:t>危废暂存库</w:t>
            </w:r>
            <w:r>
              <w:rPr>
                <w:bCs/>
                <w:color w:val="000000" w:themeColor="text1"/>
                <w:sz w:val="24"/>
                <w:szCs w:val="24"/>
                <w14:textFill>
                  <w14:solidFill>
                    <w14:schemeClr w14:val="tx1"/>
                  </w14:solidFill>
                </w14:textFill>
              </w:rPr>
              <w:t>管理责任制要上墙；</w:t>
            </w:r>
          </w:p>
          <w:p>
            <w:pPr>
              <w:pStyle w:val="82"/>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②</w:t>
            </w:r>
            <w:r>
              <w:rPr>
                <w:rFonts w:hint="eastAsia"/>
                <w:color w:val="000000" w:themeColor="text1"/>
                <w:kern w:val="0"/>
                <w:sz w:val="24"/>
                <w:szCs w:val="24"/>
                <w14:textFill>
                  <w14:solidFill>
                    <w14:schemeClr w14:val="tx1"/>
                  </w14:solidFill>
                </w14:textFill>
              </w:rPr>
              <w:t>危废暂存库</w:t>
            </w:r>
            <w:r>
              <w:rPr>
                <w:color w:val="000000" w:themeColor="text1"/>
                <w:kern w:val="0"/>
                <w:sz w:val="24"/>
                <w:szCs w:val="24"/>
                <w14:textFill>
                  <w14:solidFill>
                    <w14:schemeClr w14:val="tx1"/>
                  </w14:solidFill>
                </w14:textFill>
              </w:rPr>
              <w:t>地面要防渗，顶部防水、防晒；地面与裙脚要用坚固、防渗的材料建造，建筑材料必须与危险废物相容，门口要设置围堰；</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③存放危废为液体的仓库内必须有泄漏液体收集装置（例如托盘、导流沟、收集池），存放危废为具有挥发性气体的仓库内必须有导出口及气体净化装置；</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④仓库门上要张贴包含所有危废的标识、标牌，仓库内对应墙上有标识，无法装入常用容器的危险废物可用防漏胶袋等盛装，包装上应有标签；</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⑤危废和一般固废不能混存，不同危废分开存放并设置隔断隔离；</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⑥仓库现场要有危废产生台账和转移联单，在危险废物回取后应继续保留三年；</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⑦装载液体、半固体危险废物的容器内须留足够空间，容器顶部与液体表面之间保留100毫米以上的空间。用以存放装载液体、半固体危险废物容器的地方，必须有耐腐蚀的硬化地面，且表面无裂隙；</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⑧</w:t>
            </w:r>
            <w:r>
              <w:rPr>
                <w:rFonts w:hint="eastAsia"/>
                <w:bCs/>
                <w:color w:val="000000" w:themeColor="text1"/>
                <w:sz w:val="24"/>
                <w:szCs w:val="24"/>
                <w14:textFill>
                  <w14:solidFill>
                    <w14:schemeClr w14:val="tx1"/>
                  </w14:solidFill>
                </w14:textFill>
              </w:rPr>
              <w:t>危废暂存库</w:t>
            </w:r>
            <w:r>
              <w:rPr>
                <w:bCs/>
                <w:color w:val="000000" w:themeColor="text1"/>
                <w:sz w:val="24"/>
                <w:szCs w:val="24"/>
                <w14:textFill>
                  <w14:solidFill>
                    <w14:schemeClr w14:val="tx1"/>
                  </w14:solidFill>
                </w14:textFill>
              </w:rPr>
              <w:t>需按照“双人双锁”制度管理（两把钥匙分别由两个危废负责人管理，不得一人管理）。</w:t>
            </w:r>
          </w:p>
          <w:p>
            <w:pPr>
              <w:pStyle w:val="82"/>
              <w:spacing w:line="360" w:lineRule="auto"/>
              <w:ind w:firstLine="480" w:firstLineChars="200"/>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⑨根据</w:t>
            </w:r>
            <w:r>
              <w:rPr>
                <w:rFonts w:hint="eastAsia"/>
                <w:bCs/>
                <w:color w:val="000000" w:themeColor="text1"/>
                <w:sz w:val="24"/>
                <w:szCs w:val="24"/>
                <w14:textFill>
                  <w14:solidFill>
                    <w14:schemeClr w14:val="tx1"/>
                  </w14:solidFill>
                </w14:textFill>
              </w:rPr>
              <w:t>《中华人民共和国固体废物污染环境防治法》</w:t>
            </w:r>
            <w:r>
              <w:rPr>
                <w:bCs/>
                <w:color w:val="000000" w:themeColor="text1"/>
                <w:sz w:val="24"/>
                <w:szCs w:val="24"/>
                <w14:textFill>
                  <w14:solidFill>
                    <w14:schemeClr w14:val="tx1"/>
                  </w14:solidFill>
                </w14:textFill>
              </w:rPr>
              <w:t>相关条款的规定：不设置危险废物识别标志的，处1-10万</w:t>
            </w:r>
            <w:r>
              <w:rPr>
                <w:rFonts w:hint="eastAsia"/>
                <w:bCs/>
                <w:color w:val="000000" w:themeColor="text1"/>
                <w:sz w:val="24"/>
                <w:szCs w:val="24"/>
                <w:lang w:eastAsia="zh-CN"/>
                <w14:textFill>
                  <w14:solidFill>
                    <w14:schemeClr w14:val="tx1"/>
                  </w14:solidFill>
                </w14:textFill>
              </w:rPr>
              <w:t>元</w:t>
            </w:r>
            <w:r>
              <w:rPr>
                <w:bCs/>
                <w:color w:val="000000" w:themeColor="text1"/>
                <w:sz w:val="24"/>
                <w:szCs w:val="24"/>
                <w14:textFill>
                  <w14:solidFill>
                    <w14:schemeClr w14:val="tx1"/>
                  </w14:solidFill>
                </w14:textFill>
              </w:rPr>
              <w:t>罚款；不正常使用污染处理设施，或未经环保部门批准拆除、闲置污染治理设施的，处2-20万元罚款；将危废提供或者委托给无经营许可证的单位从事经营活动的，处2-20万元处罚；不按规定填写危废转移联单或未经批准擅自转移危废的，处5-20万元处罚；将危废混入非危险废物中储存的，处3-10万元处罚；未经安全性处置，混合收集、储存、运输、处置具有不相容性质的危废的，处3-10万元处罚；为采取相应防范措施，造成危废扬散、流失、渗漏或造成其他环境污染的，处3-10万元处罚；在运输过程中沿途丢弃、以三维非得，处3-10万元处罚；未制定危废意外事故防范措施和应急预案的，处3-10万元处罚。</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2.2.2危废暂存库</w:t>
            </w:r>
            <w:r>
              <w:rPr>
                <w:b/>
                <w:bCs/>
                <w:color w:val="000000" w:themeColor="text1"/>
                <w:kern w:val="0"/>
                <w:sz w:val="24"/>
                <w14:textFill>
                  <w14:solidFill>
                    <w14:schemeClr w14:val="tx1"/>
                  </w14:solidFill>
                </w14:textFill>
              </w:rPr>
              <w:t>标志标牌：</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标识如下：</w:t>
            </w:r>
          </w:p>
          <w:tbl>
            <w:tblPr>
              <w:tblStyle w:val="24"/>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3013"/>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INCLUDEPICTURE "C:\\Users\\ADMINI~1\\AppData\\Local\\Temp\\ksohtml2660\\wps2.png" \* MERGEFORMATINET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drawing>
                      <wp:inline distT="0" distB="0" distL="114300" distR="114300">
                        <wp:extent cx="2114550" cy="2557145"/>
                        <wp:effectExtent l="0" t="0" r="0" b="14605"/>
                        <wp:docPr id="12" name="图片 6"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wps2"/>
                                <pic:cNvPicPr>
                                  <a:picLocks noChangeAspect="1"/>
                                </pic:cNvPicPr>
                              </pic:nvPicPr>
                              <pic:blipFill>
                                <a:blip r:embed="rId28"/>
                                <a:stretch>
                                  <a:fillRect/>
                                </a:stretch>
                              </pic:blipFill>
                              <pic:spPr>
                                <a:xfrm>
                                  <a:off x="0" y="0"/>
                                  <a:ext cx="2114550" cy="2557145"/>
                                </a:xfrm>
                                <a:prstGeom prst="rect">
                                  <a:avLst/>
                                </a:prstGeom>
                                <a:noFill/>
                                <a:ln>
                                  <a:noFill/>
                                </a:ln>
                              </pic:spPr>
                            </pic:pic>
                          </a:graphicData>
                        </a:graphic>
                      </wp:inline>
                    </w:drawing>
                  </w:r>
                  <w:r>
                    <w:rPr>
                      <w:color w:val="000000" w:themeColor="text1"/>
                      <w:sz w:val="28"/>
                      <w:szCs w:val="28"/>
                      <w14:textFill>
                        <w14:solidFill>
                          <w14:schemeClr w14:val="tx1"/>
                        </w14:solidFill>
                      </w14:textFill>
                    </w:rPr>
                    <w:fldChar w:fldCharType="end"/>
                  </w:r>
                </w:p>
              </w:tc>
              <w:tc>
                <w:tcPr>
                  <w:tcW w:w="30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895475" cy="2163445"/>
                        <wp:effectExtent l="0" t="0" r="952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9"/>
                                <a:stretch>
                                  <a:fillRect/>
                                </a:stretch>
                              </pic:blipFill>
                              <pic:spPr>
                                <a:xfrm>
                                  <a:off x="0" y="0"/>
                                  <a:ext cx="1895475" cy="2163445"/>
                                </a:xfrm>
                                <a:prstGeom prst="rect">
                                  <a:avLst/>
                                </a:prstGeom>
                                <a:noFill/>
                                <a:ln>
                                  <a:noFill/>
                                </a:ln>
                              </pic:spPr>
                            </pic:pic>
                          </a:graphicData>
                        </a:graphic>
                      </wp:inline>
                    </w:drawing>
                  </w:r>
                </w:p>
              </w:tc>
              <w:tc>
                <w:tcPr>
                  <w:tcW w:w="3013"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696720" cy="2548255"/>
                        <wp:effectExtent l="0" t="0" r="1778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0"/>
                                <a:srcRect l="5328" r="2432"/>
                                <a:stretch>
                                  <a:fillRect/>
                                </a:stretch>
                              </pic:blipFill>
                              <pic:spPr>
                                <a:xfrm>
                                  <a:off x="0" y="0"/>
                                  <a:ext cx="1696720" cy="2548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13" w:type="dxa"/>
                  <w:vAlign w:val="center"/>
                </w:tcPr>
                <w:p>
                  <w:pPr>
                    <w:adjustRightInd w:val="0"/>
                    <w:snapToGrid w:val="0"/>
                    <w:jc w:val="center"/>
                    <w:rPr>
                      <w:b/>
                      <w:bCs/>
                      <w:color w:val="000000" w:themeColor="text1"/>
                      <w:kern w:val="0"/>
                      <w:sz w:val="22"/>
                      <w:szCs w:val="22"/>
                      <w14:textFill>
                        <w14:solidFill>
                          <w14:schemeClr w14:val="tx1"/>
                        </w14:solidFill>
                      </w14:textFill>
                    </w:rPr>
                  </w:pPr>
                  <w:r>
                    <w:rPr>
                      <w:b/>
                      <w:bCs/>
                      <w:color w:val="000000" w:themeColor="text1"/>
                      <w:kern w:val="0"/>
                      <w:sz w:val="22"/>
                      <w:szCs w:val="22"/>
                      <w14:textFill>
                        <w14:solidFill>
                          <w14:schemeClr w14:val="tx1"/>
                        </w14:solidFill>
                      </w14:textFill>
                    </w:rPr>
                    <w:t>废矿物油标签</w:t>
                  </w:r>
                  <w:r>
                    <w:rPr>
                      <w:rFonts w:hint="eastAsia"/>
                      <w:b/>
                      <w:bCs/>
                      <w:color w:val="000000" w:themeColor="text1"/>
                      <w:kern w:val="0"/>
                      <w:sz w:val="22"/>
                      <w:szCs w:val="22"/>
                      <w14:textFill>
                        <w14:solidFill>
                          <w14:schemeClr w14:val="tx1"/>
                        </w14:solidFill>
                      </w14:textFill>
                    </w:rPr>
                    <w:t>（适合于室内粘贴的危险废物标签）</w:t>
                  </w:r>
                </w:p>
              </w:tc>
              <w:tc>
                <w:tcPr>
                  <w:tcW w:w="3013" w:type="dxa"/>
                  <w:vAlign w:val="center"/>
                </w:tcPr>
                <w:p>
                  <w:pPr>
                    <w:adjustRightInd w:val="0"/>
                    <w:snapToGrid w:val="0"/>
                    <w:jc w:val="center"/>
                    <w:rPr>
                      <w:b/>
                      <w:bCs/>
                      <w:color w:val="000000" w:themeColor="text1"/>
                      <w:kern w:val="0"/>
                      <w:sz w:val="22"/>
                      <w:szCs w:val="22"/>
                      <w14:textFill>
                        <w14:solidFill>
                          <w14:schemeClr w14:val="tx1"/>
                        </w14:solidFill>
                      </w14:textFill>
                    </w:rPr>
                  </w:pPr>
                  <w:r>
                    <w:rPr>
                      <w:b/>
                      <w:bCs/>
                      <w:color w:val="000000" w:themeColor="text1"/>
                      <w:kern w:val="0"/>
                      <w:sz w:val="22"/>
                      <w:szCs w:val="22"/>
                      <w14:textFill>
                        <w14:solidFill>
                          <w14:schemeClr w14:val="tx1"/>
                        </w14:solidFill>
                      </w14:textFill>
                    </w:rPr>
                    <w:t>危险废物贮存分区标志</w:t>
                  </w:r>
                </w:p>
              </w:tc>
              <w:tc>
                <w:tcPr>
                  <w:tcW w:w="3013" w:type="dxa"/>
                  <w:vAlign w:val="center"/>
                </w:tcPr>
                <w:p>
                  <w:pPr>
                    <w:adjustRightInd w:val="0"/>
                    <w:snapToGrid w:val="0"/>
                    <w:jc w:val="center"/>
                    <w:rPr>
                      <w:b/>
                      <w:bCs/>
                      <w:color w:val="000000" w:themeColor="text1"/>
                      <w:kern w:val="0"/>
                      <w:sz w:val="22"/>
                      <w:szCs w:val="22"/>
                      <w14:textFill>
                        <w14:solidFill>
                          <w14:schemeClr w14:val="tx1"/>
                        </w14:solidFill>
                      </w14:textFill>
                    </w:rPr>
                  </w:pPr>
                  <w:r>
                    <w:rPr>
                      <w:rFonts w:hint="eastAsia"/>
                      <w:b/>
                      <w:bCs/>
                      <w:color w:val="000000" w:themeColor="text1"/>
                      <w:kern w:val="0"/>
                      <w:sz w:val="22"/>
                      <w:szCs w:val="22"/>
                      <w14:textFill>
                        <w14:solidFill>
                          <w14:schemeClr w14:val="tx1"/>
                        </w14:solidFill>
                      </w14:textFill>
                    </w:rPr>
                    <w:t>危废暂存库</w:t>
                  </w:r>
                  <w:r>
                    <w:rPr>
                      <w:b/>
                      <w:bCs/>
                      <w:color w:val="000000" w:themeColor="text1"/>
                      <w:kern w:val="0"/>
                      <w:sz w:val="22"/>
                      <w:szCs w:val="22"/>
                      <w14:textFill>
                        <w14:solidFill>
                          <w14:schemeClr w14:val="tx1"/>
                        </w14:solidFill>
                      </w14:textFill>
                    </w:rPr>
                    <w:t>标志标牌</w:t>
                  </w:r>
                  <w:r>
                    <w:rPr>
                      <w:rFonts w:hint="eastAsia"/>
                      <w:b/>
                      <w:bCs/>
                      <w:color w:val="000000" w:themeColor="text1"/>
                      <w:kern w:val="0"/>
                      <w:sz w:val="22"/>
                      <w:szCs w:val="22"/>
                      <w14:textFill>
                        <w14:solidFill>
                          <w14:schemeClr w14:val="tx1"/>
                        </w14:solidFill>
                      </w14:textFill>
                    </w:rPr>
                    <w:t>（门外）</w:t>
                  </w:r>
                </w:p>
              </w:tc>
            </w:tr>
          </w:tbl>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2.2.3危废暂存库</w:t>
            </w:r>
            <w:r>
              <w:rPr>
                <w:b/>
                <w:bCs/>
                <w:color w:val="000000" w:themeColor="text1"/>
                <w:kern w:val="0"/>
                <w:sz w:val="24"/>
                <w14:textFill>
                  <w14:solidFill>
                    <w14:schemeClr w14:val="tx1"/>
                  </w14:solidFill>
                </w14:textFill>
              </w:rPr>
              <w:t>防渗要求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项目重点污染防治区主要是</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，按照《危险废物贮存污染控制标准》（GB18597-2023）进行防渗设计。重点污染区防渗要求：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操作条件下的单位面积渗透量不大于厚度为6m、饱和渗透系数&lt;l0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cm/s层的渗透量，防渗能力与《危险废物贮存污染控制标准》(GB18597-2023)第6.1.4条等效。防渗可参照一下规定进行防渗：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A、地面防渗层可采用黏土、抗渗混凝土、高密度聚乙烯（HDPE）膜、钠基膨润土防水毯或其他防渗性能等效的材料。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B、当建设场地具有符合要求的黏土时，地面防渗宜采用黏土防渗层，防渗层顶面宜采用混凝土地面或设置厚度不小于200mm的砂石层。</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C、混凝土防渗层可采用抗渗钢纤维混凝土、抗渗合成纤维混凝土、抗渗钢筋混凝土和抗渗素混凝土。</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2.2.4危废暂存库</w:t>
            </w:r>
            <w:r>
              <w:rPr>
                <w:b/>
                <w:bCs/>
                <w:color w:val="000000" w:themeColor="text1"/>
                <w:sz w:val="24"/>
                <w14:textFill>
                  <w14:solidFill>
                    <w14:schemeClr w14:val="tx1"/>
                  </w14:solidFill>
                </w14:textFill>
              </w:rPr>
              <w:t>内张贴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①危险废物污染环境防治责任制度（见下面）；</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②危险废物环境污染应急预案（各个企业根据本企业制定的应急预案粘贴）。</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2.2.5</w:t>
            </w:r>
            <w:r>
              <w:rPr>
                <w:b/>
                <w:bCs/>
                <w:color w:val="000000" w:themeColor="text1"/>
                <w:sz w:val="24"/>
                <w14:textFill>
                  <w14:solidFill>
                    <w14:schemeClr w14:val="tx1"/>
                  </w14:solidFill>
                </w14:textFill>
              </w:rPr>
              <w:t>危险废物污染环境防治责任制度模板</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（一）遵循环境保护“预防为主、防治结合”的工作方针，做到生产建设与保护环境同步规划、同步实施、同步发展，实现经济效益、社会效益与环境效益的有机统一。</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（二）公司法人是危险废物环境污染防治工作第一责任人，对全公司环境保护工作负</w:t>
            </w:r>
            <w:r>
              <w:rPr>
                <w:rFonts w:hint="eastAsia"/>
                <w:color w:val="000000" w:themeColor="text1"/>
                <w:sz w:val="24"/>
                <w:lang w:eastAsia="zh-CN"/>
                <w14:textFill>
                  <w14:solidFill>
                    <w14:schemeClr w14:val="tx1"/>
                  </w14:solidFill>
                </w14:textFill>
              </w:rPr>
              <w:t>有</w:t>
            </w:r>
            <w:r>
              <w:rPr>
                <w:color w:val="000000" w:themeColor="text1"/>
                <w:sz w:val="24"/>
                <w14:textFill>
                  <w14:solidFill>
                    <w14:schemeClr w14:val="tx1"/>
                  </w14:solidFill>
                </w14:textFill>
              </w:rPr>
              <w:t>全面的领导责任，并领导其稳步向前发展。</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（三）公司设立危险废物污染环境防治工作领导小组，对公司的各项环境保护工作进行决策、监督和协调。</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组长：企业负责人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副组长：企业环保分管负责人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组员：相关科室负责人和应急救援负责人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（四）在组长的领导下，落实各项环境污染防治与保护工作。</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2.2.6</w:t>
            </w:r>
            <w:r>
              <w:rPr>
                <w:b/>
                <w:bCs/>
                <w:color w:val="000000" w:themeColor="text1"/>
                <w:sz w:val="24"/>
                <w14:textFill>
                  <w14:solidFill>
                    <w14:schemeClr w14:val="tx1"/>
                  </w14:solidFill>
                </w14:textFill>
              </w:rPr>
              <w:t>危险废物的收集、贮存、转移、利用、处置工作，必须遵守国家规定。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①禁止向环境中倾倒、堆放危险废物。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②禁止将危险废物混入非危险废物中贮存、转移或处置。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③危险废物的收集容器、转移工具等要有明显的标志。</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2.2.7</w:t>
            </w:r>
            <w:r>
              <w:rPr>
                <w:b/>
                <w:bCs/>
                <w:color w:val="000000" w:themeColor="text1"/>
                <w:sz w:val="24"/>
                <w14:textFill>
                  <w14:solidFill>
                    <w14:schemeClr w14:val="tx1"/>
                  </w14:solidFill>
                </w14:textFill>
              </w:rPr>
              <w:t>危险废物收集、贮存及环境管理要求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危险废物在厂内收集、贮存应该按照国家环境保护总局令第5号《危险废物转移联单管理办法》及《危险废物收集贮存运输技术规范》（HJ 2025-2012）相关要求严格执行，具体要求如下：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①危险废物收集时应根据危险废物的数量、危险特性、物理形态等因素确定包装形式，包装材料要与危险废物相容。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②装载液体、半固体危险废物的容器内须留足够空间，容器顶部与液体表面之间保留100mm以上的空间；盛装危险废物的容器上必须粘贴危险废物标签。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③必须定期对所贮存的危险废物包装容器及贮存设施进行检查，发现破损，应及时采取措施清理更换。</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④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 </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⑤按要求在省固废平台网上申报备案。</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2.2.8</w:t>
            </w:r>
            <w:r>
              <w:rPr>
                <w:b/>
                <w:color w:val="000000" w:themeColor="text1"/>
                <w:sz w:val="24"/>
                <w14:textFill>
                  <w14:solidFill>
                    <w14:schemeClr w14:val="tx1"/>
                  </w14:solidFill>
                </w14:textFill>
              </w:rPr>
              <w:t>危险废物的转运要求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项目固体废物转运过程中采取篷布遮盖、防滴漏等措施，减少固体废物运输过程给环境带来污染。危险废物的转运还按照《危险废物收集贮存运输技术规范》（HJ2025-2012）的要求进行，具体如下：</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①危险废物的运输由持有危险废物经营许可证的单位组织实施，并按照相关危险货物运输管理规定执行；</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②项目危险废物运输采用公路运输方式，应按照《道路危险货物运输管理规定》（交通运输部令2013年第2号）执行。</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w:t>
            </w:r>
            <w:r>
              <w:rPr>
                <w:rFonts w:hint="eastAsia"/>
                <w:bCs/>
                <w:color w:val="000000" w:themeColor="text1"/>
                <w:sz w:val="24"/>
                <w:lang w:eastAsia="zh-CN"/>
                <w14:textFill>
                  <w14:solidFill>
                    <w14:schemeClr w14:val="tx1"/>
                  </w14:solidFill>
                </w14:textFill>
              </w:rPr>
              <w:t>给</w:t>
            </w:r>
            <w:r>
              <w:rPr>
                <w:bCs/>
                <w:color w:val="000000" w:themeColor="text1"/>
                <w:sz w:val="24"/>
                <w14:textFill>
                  <w14:solidFill>
                    <w14:schemeClr w14:val="tx1"/>
                  </w14:solidFill>
                </w14:textFill>
              </w:rPr>
              <w:t>地</w:t>
            </w:r>
            <w:r>
              <w:rPr>
                <w:rFonts w:hint="eastAsia"/>
                <w:bCs/>
                <w:color w:val="000000" w:themeColor="text1"/>
                <w:sz w:val="24"/>
                <w:lang w:eastAsia="zh-CN"/>
                <w14:textFill>
                  <w14:solidFill>
                    <w14:schemeClr w14:val="tx1"/>
                  </w14:solidFill>
                </w14:textFill>
              </w:rPr>
              <w:t>方</w:t>
            </w:r>
            <w:r>
              <w:rPr>
                <w:bCs/>
                <w:color w:val="000000" w:themeColor="text1"/>
                <w:sz w:val="24"/>
                <w14:textFill>
                  <w14:solidFill>
                    <w14:schemeClr w14:val="tx1"/>
                  </w14:solidFill>
                </w14:textFill>
              </w:rPr>
              <w:t>环保局。</w:t>
            </w:r>
          </w:p>
          <w:p>
            <w:pPr>
              <w:pStyle w:val="5"/>
              <w:spacing w:line="360" w:lineRule="auto"/>
              <w:rPr>
                <w:b/>
                <w:color w:val="000000" w:themeColor="text1"/>
                <w:sz w:val="24"/>
                <w14:textFill>
                  <w14:solidFill>
                    <w14:schemeClr w14:val="tx1"/>
                  </w14:solidFill>
                </w14:textFill>
              </w:rPr>
            </w:pPr>
            <w:r>
              <w:rPr>
                <w:bCs/>
                <w:color w:val="000000" w:themeColor="text1"/>
                <w:sz w:val="24"/>
                <w14:textFill>
                  <w14:solidFill>
                    <w14:schemeClr w14:val="tx1"/>
                  </w14:solidFill>
                </w14:textFill>
              </w:rPr>
              <w:t>⑤废物处置单位的运输人员必须掌握危险废物运输的安全知识，了解所运载的危险废物的性质、危害特性、包装容器的使用特性和发生意外时的应急措施。运输车辆必须具有车辆危险货物运输许可证。</w:t>
            </w:r>
          </w:p>
          <w:p>
            <w:pPr>
              <w:pStyle w:val="82"/>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2.3</w:t>
            </w:r>
            <w:r>
              <w:rPr>
                <w:b/>
                <w:color w:val="000000" w:themeColor="text1"/>
                <w:sz w:val="24"/>
                <w:szCs w:val="24"/>
                <w14:textFill>
                  <w14:solidFill>
                    <w14:schemeClr w14:val="tx1"/>
                  </w14:solidFill>
                </w14:textFill>
              </w:rPr>
              <w:t>危废贮存场所环境影响分析</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项目拟在</w:t>
            </w:r>
            <w:r>
              <w:rPr>
                <w:rFonts w:hint="eastAsia"/>
                <w:bCs/>
                <w:color w:val="000000" w:themeColor="text1"/>
                <w:sz w:val="24"/>
                <w:szCs w:val="24"/>
                <w14:textFill>
                  <w14:solidFill>
                    <w14:schemeClr w14:val="tx1"/>
                  </w14:solidFill>
                </w14:textFill>
              </w:rPr>
              <w:t>项目区东厂房的东南</w:t>
            </w:r>
            <w:r>
              <w:rPr>
                <w:bCs/>
                <w:color w:val="000000" w:themeColor="text1"/>
                <w:sz w:val="24"/>
                <w:szCs w:val="24"/>
                <w14:textFill>
                  <w14:solidFill>
                    <w14:schemeClr w14:val="tx1"/>
                  </w14:solidFill>
                </w14:textFill>
              </w:rPr>
              <w:t>侧建设1间</w:t>
            </w:r>
            <w:r>
              <w:rPr>
                <w:rFonts w:hint="eastAsia"/>
                <w:bCs/>
                <w:color w:val="000000" w:themeColor="text1"/>
                <w:sz w:val="24"/>
                <w:szCs w:val="24"/>
                <w14:textFill>
                  <w14:solidFill>
                    <w14:schemeClr w14:val="tx1"/>
                  </w14:solidFill>
                </w14:textFill>
              </w:rPr>
              <w:t>危废暂存库</w:t>
            </w:r>
            <w:r>
              <w:rPr>
                <w:bCs/>
                <w:color w:val="000000" w:themeColor="text1"/>
                <w:sz w:val="24"/>
                <w:szCs w:val="24"/>
                <w14:textFill>
                  <w14:solidFill>
                    <w14:schemeClr w14:val="tx1"/>
                  </w14:solidFill>
                </w14:textFill>
              </w:rPr>
              <w:t>，环评要求：地面作防腐防渗处理，必须符合“防风、防雨、防晒、防渗漏”要求，建设单位在运行过程中，应指派专人负责危险废物的管理，并对危险废物的转运实行联单管理制度。在采取上述措施处理后，项目危险废物对周围环境影响不大。</w:t>
            </w:r>
          </w:p>
          <w:p>
            <w:pPr>
              <w:pStyle w:val="82"/>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综上，本环评提出建设单位要按照《危险废物贮存污染控制标准》（GB18597-2023）相关要求规范设置</w:t>
            </w:r>
            <w:r>
              <w:rPr>
                <w:rFonts w:hint="eastAsia"/>
                <w:bCs/>
                <w:color w:val="000000" w:themeColor="text1"/>
                <w:sz w:val="24"/>
                <w:szCs w:val="24"/>
                <w14:textFill>
                  <w14:solidFill>
                    <w14:schemeClr w14:val="tx1"/>
                  </w14:solidFill>
                </w14:textFill>
              </w:rPr>
              <w:t>危废暂存库</w:t>
            </w:r>
            <w:r>
              <w:rPr>
                <w:bCs/>
                <w:color w:val="000000" w:themeColor="text1"/>
                <w:sz w:val="24"/>
                <w:szCs w:val="24"/>
                <w14:textFill>
                  <w14:solidFill>
                    <w14:schemeClr w14:val="tx1"/>
                  </w14:solidFill>
                </w14:textFill>
              </w:rPr>
              <w:t>，采取防风、防雨、防晒、防渗漏等措施，以“减量化、资源化、无害化”为基本原则，确保所有固废最终得以综合利用或安全处置。项目所产生的危险废物能够满足《危险废物贮存污染控制标准》（GB 18597-</w:t>
            </w:r>
            <w:r>
              <w:rPr>
                <w:rFonts w:hint="eastAsia"/>
                <w:bCs/>
                <w:color w:val="000000" w:themeColor="text1"/>
                <w:sz w:val="24"/>
                <w:szCs w:val="24"/>
                <w14:textFill>
                  <w14:solidFill>
                    <w14:schemeClr w14:val="tx1"/>
                  </w14:solidFill>
                </w14:textFill>
              </w:rPr>
              <w:t>2023</w:t>
            </w:r>
            <w:r>
              <w:rPr>
                <w:bCs/>
                <w:color w:val="000000" w:themeColor="text1"/>
                <w:sz w:val="24"/>
                <w:szCs w:val="24"/>
                <w14:textFill>
                  <w14:solidFill>
                    <w14:schemeClr w14:val="tx1"/>
                  </w14:solidFill>
                </w14:textFill>
              </w:rPr>
              <w:t>）中的相关规定，项目所产生的固体废弃物能够得到合理、有效的处置，各固体废弃物去向明确，处置率达到100%，对环境的影响较小。</w:t>
            </w:r>
          </w:p>
          <w:p>
            <w:pPr>
              <w:pStyle w:val="17"/>
              <w:adjustRightInd w:val="0"/>
              <w:spacing w:line="360" w:lineRule="auto"/>
              <w:ind w:firstLine="442" w:firstLineChars="200"/>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五、</w:t>
            </w:r>
            <w:r>
              <w:rPr>
                <w:rFonts w:hint="eastAsia"/>
                <w:b/>
                <w:color w:val="000000" w:themeColor="text1"/>
                <w:spacing w:val="-10"/>
                <w:sz w:val="24"/>
                <w:szCs w:val="24"/>
                <w14:textFill>
                  <w14:solidFill>
                    <w14:schemeClr w14:val="tx1"/>
                  </w14:solidFill>
                </w14:textFill>
              </w:rPr>
              <w:t>土壤、</w:t>
            </w:r>
            <w:r>
              <w:rPr>
                <w:b/>
                <w:color w:val="000000" w:themeColor="text1"/>
                <w:spacing w:val="-10"/>
                <w:sz w:val="24"/>
                <w:szCs w:val="24"/>
                <w14:textFill>
                  <w14:solidFill>
                    <w14:schemeClr w14:val="tx1"/>
                  </w14:solidFill>
                </w14:textFill>
              </w:rPr>
              <w:t>地下水</w:t>
            </w:r>
            <w:r>
              <w:rPr>
                <w:rFonts w:hint="eastAsia"/>
                <w:b/>
                <w:color w:val="000000" w:themeColor="text1"/>
                <w:spacing w:val="-10"/>
                <w:sz w:val="24"/>
                <w:szCs w:val="24"/>
                <w14:textFill>
                  <w14:solidFill>
                    <w14:schemeClr w14:val="tx1"/>
                  </w14:solidFill>
                </w14:textFill>
              </w:rPr>
              <w:t>环境影响分析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土壤环境（试行）》（HJ964-2018）和《环境影响评价技术导则 地下水环境》（HJ 610-2016），本项目土壤、地下水环境影响评价项目类型均属于Ⅳ类，不需开展土壤、地下水环境影响评价，但本着生态环境保护的原则，提出如下环境管理措施要求：</w:t>
            </w:r>
          </w:p>
          <w:p>
            <w:pPr>
              <w:adjustRightInd w:val="0"/>
              <w:snapToGrid w:val="0"/>
              <w:spacing w:line="360" w:lineRule="auto"/>
              <w:ind w:firstLine="482" w:firstLineChars="200"/>
              <w:rPr>
                <w:b/>
                <w:bCs/>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污染源</w:t>
            </w:r>
            <w:r>
              <w:rPr>
                <w:b/>
                <w:bCs/>
                <w:color w:val="000000" w:themeColor="text1"/>
                <w:sz w:val="24"/>
                <w14:textFill>
                  <w14:solidFill>
                    <w14:schemeClr w14:val="tx1"/>
                  </w14:solidFill>
                </w14:textFill>
              </w:rPr>
              <w:t>、</w:t>
            </w:r>
            <w:r>
              <w:rPr>
                <w:b/>
                <w:bCs/>
                <w:color w:val="000000" w:themeColor="text1"/>
                <w:sz w:val="24"/>
                <w:lang w:val="zh-CN"/>
                <w14:textFill>
                  <w14:solidFill>
                    <w14:schemeClr w14:val="tx1"/>
                  </w14:solidFill>
                </w14:textFill>
              </w:rPr>
              <w:t>污染物类型和污染途径识别</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本项目正常工况下，不会产生土壤、地下水污染，只有在事故状态下，项目</w:t>
            </w:r>
            <w:r>
              <w:rPr>
                <w:color w:val="000000" w:themeColor="text1"/>
                <w:sz w:val="24"/>
                <w14:textFill>
                  <w14:solidFill>
                    <w14:schemeClr w14:val="tx1"/>
                  </w14:solidFill>
                </w14:textFill>
              </w:rPr>
              <w:t>区</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废机油桶</w:t>
            </w:r>
            <w:r>
              <w:rPr>
                <w:color w:val="000000" w:themeColor="text1"/>
                <w:sz w:val="24"/>
                <w:lang w:val="zh-CN"/>
                <w14:textFill>
                  <w14:solidFill>
                    <w14:schemeClr w14:val="tx1"/>
                  </w14:solidFill>
                </w14:textFill>
              </w:rPr>
              <w:t>可能会发生</w:t>
            </w:r>
            <w:r>
              <w:rPr>
                <w:color w:val="000000" w:themeColor="text1"/>
                <w:sz w:val="24"/>
                <w14:textFill>
                  <w14:solidFill>
                    <w14:schemeClr w14:val="tx1"/>
                  </w14:solidFill>
                </w14:textFill>
              </w:rPr>
              <w:t>泄漏</w:t>
            </w:r>
            <w:r>
              <w:rPr>
                <w:color w:val="000000" w:themeColor="text1"/>
                <w:sz w:val="24"/>
                <w:lang w:val="zh-CN"/>
                <w14:textFill>
                  <w14:solidFill>
                    <w14:schemeClr w14:val="tx1"/>
                  </w14:solidFill>
                </w14:textFill>
              </w:rPr>
              <w:t>等情况，地面防渗层发生破损，会导致废机油通过地面缝隙渗漏进入土壤，对周边土壤造成污染，长时间</w:t>
            </w:r>
            <w:r>
              <w:rPr>
                <w:color w:val="000000" w:themeColor="text1"/>
                <w:sz w:val="24"/>
                <w14:textFill>
                  <w14:solidFill>
                    <w14:schemeClr w14:val="tx1"/>
                  </w14:solidFill>
                </w14:textFill>
              </w:rPr>
              <w:t>泄漏</w:t>
            </w:r>
            <w:r>
              <w:rPr>
                <w:color w:val="000000" w:themeColor="text1"/>
                <w:sz w:val="24"/>
                <w:lang w:val="zh-CN"/>
                <w14:textFill>
                  <w14:solidFill>
                    <w14:schemeClr w14:val="tx1"/>
                  </w14:solidFill>
                </w14:textFill>
              </w:rPr>
              <w:t>可能深入地下对地下水造成污染</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本项目对土壤、地下水的污染源、污染物类型及污染途径详见下表：</w:t>
            </w:r>
          </w:p>
          <w:p>
            <w:pPr>
              <w:pStyle w:val="48"/>
              <w:adjustRightInd w:val="0"/>
              <w:snapToGrid w:val="0"/>
              <w:rPr>
                <w:rStyle w:val="83"/>
                <w:b/>
                <w:color w:val="000000" w:themeColor="text1"/>
                <w:szCs w:val="21"/>
                <w14:textFill>
                  <w14:solidFill>
                    <w14:schemeClr w14:val="tx1"/>
                  </w14:solidFill>
                </w14:textFill>
              </w:rPr>
            </w:pPr>
            <w:r>
              <w:rPr>
                <w:rStyle w:val="83"/>
                <w:b/>
                <w:color w:val="000000" w:themeColor="text1"/>
                <w:szCs w:val="21"/>
                <w14:textFill>
                  <w14:solidFill>
                    <w14:schemeClr w14:val="tx1"/>
                  </w14:solidFill>
                </w14:textFill>
              </w:rPr>
              <w:t>表4-1</w:t>
            </w:r>
            <w:r>
              <w:rPr>
                <w:rStyle w:val="83"/>
                <w:rFonts w:hint="eastAsia"/>
                <w:b/>
                <w:color w:val="000000" w:themeColor="text1"/>
                <w:szCs w:val="21"/>
                <w14:textFill>
                  <w14:solidFill>
                    <w14:schemeClr w14:val="tx1"/>
                  </w14:solidFill>
                </w14:textFill>
              </w:rPr>
              <w:t>0</w:t>
            </w:r>
            <w:r>
              <w:rPr>
                <w:rStyle w:val="83"/>
                <w:b/>
                <w:color w:val="000000" w:themeColor="text1"/>
                <w:szCs w:val="21"/>
                <w14:textFill>
                  <w14:solidFill>
                    <w14:schemeClr w14:val="tx1"/>
                  </w14:solidFill>
                </w14:textFill>
              </w:rPr>
              <w:t xml:space="preserve">  项目土壤、地下水环境污染源、污染物类型和污染途径识别表</w:t>
            </w:r>
          </w:p>
          <w:tbl>
            <w:tblPr>
              <w:tblStyle w:val="24"/>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3293"/>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05" w:type="dxa"/>
                  <w:vAlign w:val="center"/>
                </w:tcPr>
                <w:p>
                  <w:pPr>
                    <w:pStyle w:val="48"/>
                    <w:adjustRightInd w:val="0"/>
                    <w:snapToGrid w:val="0"/>
                    <w:rPr>
                      <w:rStyle w:val="83"/>
                      <w:b/>
                      <w:color w:val="000000" w:themeColor="text1"/>
                      <w:szCs w:val="21"/>
                      <w14:textFill>
                        <w14:solidFill>
                          <w14:schemeClr w14:val="tx1"/>
                        </w14:solidFill>
                      </w14:textFill>
                    </w:rPr>
                  </w:pPr>
                  <w:r>
                    <w:rPr>
                      <w:rStyle w:val="83"/>
                      <w:b/>
                      <w:color w:val="000000" w:themeColor="text1"/>
                      <w:szCs w:val="21"/>
                      <w14:textFill>
                        <w14:solidFill>
                          <w14:schemeClr w14:val="tx1"/>
                        </w14:solidFill>
                      </w14:textFill>
                    </w:rPr>
                    <w:t>污染源</w:t>
                  </w:r>
                </w:p>
              </w:tc>
              <w:tc>
                <w:tcPr>
                  <w:tcW w:w="3293" w:type="dxa"/>
                  <w:vAlign w:val="center"/>
                </w:tcPr>
                <w:p>
                  <w:pPr>
                    <w:pStyle w:val="48"/>
                    <w:adjustRightInd w:val="0"/>
                    <w:snapToGrid w:val="0"/>
                    <w:rPr>
                      <w:rStyle w:val="83"/>
                      <w:b/>
                      <w:color w:val="000000" w:themeColor="text1"/>
                      <w:szCs w:val="21"/>
                      <w14:textFill>
                        <w14:solidFill>
                          <w14:schemeClr w14:val="tx1"/>
                        </w14:solidFill>
                      </w14:textFill>
                    </w:rPr>
                  </w:pPr>
                  <w:r>
                    <w:rPr>
                      <w:rStyle w:val="83"/>
                      <w:b/>
                      <w:color w:val="000000" w:themeColor="text1"/>
                      <w:szCs w:val="21"/>
                      <w14:textFill>
                        <w14:solidFill>
                          <w14:schemeClr w14:val="tx1"/>
                        </w14:solidFill>
                      </w14:textFill>
                    </w:rPr>
                    <w:t>污染物类型</w:t>
                  </w:r>
                </w:p>
              </w:tc>
              <w:tc>
                <w:tcPr>
                  <w:tcW w:w="2464" w:type="dxa"/>
                  <w:vAlign w:val="center"/>
                </w:tcPr>
                <w:p>
                  <w:pPr>
                    <w:pStyle w:val="48"/>
                    <w:adjustRightInd w:val="0"/>
                    <w:snapToGrid w:val="0"/>
                    <w:rPr>
                      <w:rStyle w:val="83"/>
                      <w:b/>
                      <w:color w:val="000000" w:themeColor="text1"/>
                      <w:szCs w:val="21"/>
                      <w14:textFill>
                        <w14:solidFill>
                          <w14:schemeClr w14:val="tx1"/>
                        </w14:solidFill>
                      </w14:textFill>
                    </w:rPr>
                  </w:pPr>
                  <w:r>
                    <w:rPr>
                      <w:rStyle w:val="83"/>
                      <w:b/>
                      <w:color w:val="000000" w:themeColor="text1"/>
                      <w:szCs w:val="21"/>
                      <w14:textFill>
                        <w14:solidFill>
                          <w14:schemeClr w14:val="tx1"/>
                        </w14:solidFill>
                      </w14:textFill>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05" w:type="dxa"/>
                  <w:vAlign w:val="center"/>
                </w:tcPr>
                <w:p>
                  <w:pPr>
                    <w:pStyle w:val="48"/>
                    <w:adjustRightInd w:val="0"/>
                    <w:snapToGrid w:val="0"/>
                    <w:rPr>
                      <w:rStyle w:val="83"/>
                      <w:bCs/>
                      <w:color w:val="000000" w:themeColor="text1"/>
                      <w:szCs w:val="21"/>
                      <w14:textFill>
                        <w14:solidFill>
                          <w14:schemeClr w14:val="tx1"/>
                        </w14:solidFill>
                      </w14:textFill>
                    </w:rPr>
                  </w:pPr>
                  <w:r>
                    <w:rPr>
                      <w:rStyle w:val="83"/>
                      <w:rFonts w:hint="eastAsia"/>
                      <w:bCs/>
                      <w:color w:val="000000" w:themeColor="text1"/>
                      <w:szCs w:val="21"/>
                      <w14:textFill>
                        <w14:solidFill>
                          <w14:schemeClr w14:val="tx1"/>
                        </w14:solidFill>
                      </w14:textFill>
                    </w:rPr>
                    <w:t>危废暂存库</w:t>
                  </w:r>
                </w:p>
              </w:tc>
              <w:tc>
                <w:tcPr>
                  <w:tcW w:w="3293" w:type="dxa"/>
                  <w:vAlign w:val="center"/>
                </w:tcPr>
                <w:p>
                  <w:pPr>
                    <w:pStyle w:val="48"/>
                    <w:adjustRightInd w:val="0"/>
                    <w:snapToGrid w:val="0"/>
                    <w:rPr>
                      <w:rStyle w:val="83"/>
                      <w:bCs/>
                      <w:color w:val="000000" w:themeColor="text1"/>
                      <w:szCs w:val="21"/>
                      <w14:textFill>
                        <w14:solidFill>
                          <w14:schemeClr w14:val="tx1"/>
                        </w14:solidFill>
                      </w14:textFill>
                    </w:rPr>
                  </w:pPr>
                  <w:r>
                    <w:rPr>
                      <w:rStyle w:val="83"/>
                      <w:bCs/>
                      <w:color w:val="000000" w:themeColor="text1"/>
                      <w:szCs w:val="21"/>
                      <w14:textFill>
                        <w14:solidFill>
                          <w14:schemeClr w14:val="tx1"/>
                        </w14:solidFill>
                      </w14:textFill>
                    </w:rPr>
                    <w:t>废机油</w:t>
                  </w:r>
                </w:p>
              </w:tc>
              <w:tc>
                <w:tcPr>
                  <w:tcW w:w="2464" w:type="dxa"/>
                  <w:vAlign w:val="center"/>
                </w:tcPr>
                <w:p>
                  <w:pPr>
                    <w:pStyle w:val="48"/>
                    <w:adjustRightInd w:val="0"/>
                    <w:snapToGrid w:val="0"/>
                    <w:rPr>
                      <w:rStyle w:val="83"/>
                      <w:bCs/>
                      <w:color w:val="000000" w:themeColor="text1"/>
                      <w:szCs w:val="21"/>
                      <w14:textFill>
                        <w14:solidFill>
                          <w14:schemeClr w14:val="tx1"/>
                        </w14:solidFill>
                      </w14:textFill>
                    </w:rPr>
                  </w:pPr>
                  <w:r>
                    <w:rPr>
                      <w:rStyle w:val="83"/>
                      <w:bCs/>
                      <w:color w:val="000000" w:themeColor="text1"/>
                      <w:szCs w:val="21"/>
                      <w14:textFill>
                        <w14:solidFill>
                          <w14:schemeClr w14:val="tx1"/>
                        </w14:solidFill>
                      </w14:textFill>
                    </w:rPr>
                    <w:t>垂直入渗</w:t>
                  </w:r>
                </w:p>
              </w:tc>
            </w:tr>
          </w:tbl>
          <w:p>
            <w:pPr>
              <w:adjustRightInd w:val="0"/>
              <w:snapToGrid w:val="0"/>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2、保护措施</w:t>
            </w:r>
          </w:p>
          <w:p>
            <w:pPr>
              <w:adjustRightInd w:val="0"/>
              <w:snapToGrid w:val="0"/>
              <w:spacing w:line="360" w:lineRule="auto"/>
              <w:ind w:firstLine="480" w:firstLineChars="200"/>
              <w:rPr>
                <w:color w:val="000000" w:themeColor="text1"/>
                <w:sz w:val="24"/>
                <w14:textFill>
                  <w14:solidFill>
                    <w14:schemeClr w14:val="tx1"/>
                  </w14:solidFill>
                </w14:textFill>
              </w:rPr>
            </w:pPr>
            <w:bookmarkStart w:id="33" w:name="_Toc23775"/>
            <w:r>
              <w:rPr>
                <w:color w:val="000000" w:themeColor="text1"/>
                <w:sz w:val="24"/>
                <w14:textFill>
                  <w14:solidFill>
                    <w14:schemeClr w14:val="tx1"/>
                  </w14:solidFill>
                </w14:textFill>
              </w:rPr>
              <w:t>（1）源头控制措施</w:t>
            </w:r>
            <w:bookmarkEnd w:id="33"/>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●项目应严格按照国家相关规范要求，对管道、设备、各工作间和处理构筑物采取相应措施，以防止和降低污染物的跑、冒、滴、漏，将污染物泄漏的环境风险事故降到最低程度。</w:t>
            </w:r>
          </w:p>
          <w:p>
            <w:pPr>
              <w:adjustRightInd w:val="0"/>
              <w:snapToGrid w:val="0"/>
              <w:spacing w:line="360" w:lineRule="auto"/>
              <w:ind w:firstLine="480" w:firstLineChars="200"/>
              <w:rPr>
                <w:color w:val="000000" w:themeColor="text1"/>
                <w:sz w:val="24"/>
                <w14:textFill>
                  <w14:solidFill>
                    <w14:schemeClr w14:val="tx1"/>
                  </w14:solidFill>
                </w14:textFill>
              </w:rPr>
            </w:pPr>
            <w:bookmarkStart w:id="34" w:name="_Toc18671"/>
            <w:r>
              <w:rPr>
                <w:color w:val="000000" w:themeColor="text1"/>
                <w:sz w:val="24"/>
                <w14:textFill>
                  <w14:solidFill>
                    <w14:schemeClr w14:val="tx1"/>
                  </w14:solidFill>
                </w14:textFill>
              </w:rPr>
              <w:t>（2）分区防控措施</w:t>
            </w:r>
            <w:bookmarkEnd w:id="34"/>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重点防渗区：本项目的重点防渗区主要为</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针对本项目，建议对</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按《危险废物贮存污染控制标准》（GB18597-2023）要求进行建设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针对重点防渗区，可通过下述措施使重点污染区各单元防渗层渗透系数</w:t>
            </w:r>
            <w:r>
              <w:rPr>
                <w:rFonts w:hint="eastAsia"/>
                <w:color w:val="000000" w:themeColor="text1"/>
                <w:sz w:val="24"/>
                <w14:textFill>
                  <w14:solidFill>
                    <w14:schemeClr w14:val="tx1"/>
                  </w14:solidFill>
                </w14:textFill>
              </w:rPr>
              <w:t>达到防渗要求</w:t>
            </w:r>
            <w:r>
              <w:rPr>
                <w:color w:val="000000" w:themeColor="text1"/>
                <w:sz w:val="24"/>
                <w14:textFill>
                  <w14:solidFill>
                    <w14:schemeClr w14:val="tx1"/>
                  </w14:solidFill>
                </w14:textFill>
              </w:rPr>
              <w:t>，主要采取措施（自上而下）：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A、采用铁桶或其它容器盛装液体原材料，以杜绝渗漏；建议</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设底部铝合金托盘，将危废与地面彻底隔绝。</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B、</w:t>
            </w:r>
            <w:r>
              <w:rPr>
                <w:rFonts w:hint="eastAsia"/>
                <w:color w:val="000000" w:themeColor="text1"/>
                <w:sz w:val="24"/>
                <w:lang w:val="zh-CN"/>
                <w14:textFill>
                  <w14:solidFill>
                    <w14:schemeClr w14:val="tx1"/>
                  </w14:solidFill>
                </w14:textFill>
              </w:rPr>
              <w:t>危废暂存库</w:t>
            </w:r>
            <w:r>
              <w:rPr>
                <w:color w:val="000000" w:themeColor="text1"/>
                <w:sz w:val="24"/>
                <w:lang w:val="zh-CN"/>
                <w14:textFill>
                  <w14:solidFill>
                    <w14:schemeClr w14:val="tx1"/>
                  </w14:solidFill>
                </w14:textFill>
              </w:rPr>
              <w:t>地面的表面防渗层为至少1m厚黏土层（渗透系数不大于10</w:t>
            </w:r>
            <w:r>
              <w:rPr>
                <w:color w:val="000000" w:themeColor="text1"/>
                <w:sz w:val="24"/>
                <w:vertAlign w:val="superscript"/>
                <w:lang w:val="zh-CN"/>
                <w14:textFill>
                  <w14:solidFill>
                    <w14:schemeClr w14:val="tx1"/>
                  </w14:solidFill>
                </w14:textFill>
              </w:rPr>
              <w:t>-7</w:t>
            </w:r>
            <w:r>
              <w:rPr>
                <w:color w:val="000000" w:themeColor="text1"/>
                <w:sz w:val="24"/>
                <w:lang w:val="zh-CN"/>
                <w14:textFill>
                  <w14:solidFill>
                    <w14:schemeClr w14:val="tx1"/>
                  </w14:solidFill>
                </w14:textFill>
              </w:rPr>
              <w:t>cm/s），或至少2mm厚高密度聚乙烯膜等人工防渗材料（渗透系数不大于10</w:t>
            </w:r>
            <w:r>
              <w:rPr>
                <w:color w:val="000000" w:themeColor="text1"/>
                <w:sz w:val="24"/>
                <w:vertAlign w:val="superscript"/>
                <w:lang w:val="zh-CN"/>
                <w14:textFill>
                  <w14:solidFill>
                    <w14:schemeClr w14:val="tx1"/>
                  </w14:solidFill>
                </w14:textFill>
              </w:rPr>
              <w:t>-10</w:t>
            </w:r>
            <w:r>
              <w:rPr>
                <w:color w:val="000000" w:themeColor="text1"/>
                <w:sz w:val="24"/>
                <w:lang w:val="zh-CN"/>
                <w14:textFill>
                  <w14:solidFill>
                    <w14:schemeClr w14:val="tx1"/>
                  </w14:solidFill>
                </w14:textFill>
              </w:rPr>
              <w:t>cm/s），或其他防渗性能等效的材料，凡墙与地面相交的墙立面铺装180mm高的踢脚线（围堰）。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C、导流沟</w:t>
            </w:r>
            <w:r>
              <w:rPr>
                <w:color w:val="000000" w:themeColor="text1"/>
                <w:sz w:val="24"/>
                <w14:textFill>
                  <w14:solidFill>
                    <w14:schemeClr w14:val="tx1"/>
                  </w14:solidFill>
                </w14:textFill>
              </w:rPr>
              <w:t>按《</w:t>
            </w:r>
            <w:r>
              <w:rPr>
                <w:rFonts w:hint="eastAsia"/>
                <w:color w:val="000000" w:themeColor="text1"/>
                <w:sz w:val="24"/>
                <w14:textFill>
                  <w14:solidFill>
                    <w14:schemeClr w14:val="tx1"/>
                  </w14:solidFill>
                </w14:textFill>
              </w:rPr>
              <w:t>环境影响环评技术导则地下水环境</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HJ610</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016</w:t>
            </w:r>
            <w:r>
              <w:rPr>
                <w:color w:val="000000" w:themeColor="text1"/>
                <w:sz w:val="24"/>
                <w14:textFill>
                  <w14:solidFill>
                    <w14:schemeClr w14:val="tx1"/>
                  </w14:solidFill>
                </w14:textFill>
              </w:rPr>
              <w:t>）要求进行建设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地面刷环氧树脂等防腐、防渗措施，各防渗措施等效黏土防渗层Mb≥6m，防渗透系数不大于1×10</w:t>
            </w:r>
            <w:r>
              <w:rPr>
                <w:color w:val="000000" w:themeColor="text1"/>
                <w:sz w:val="24"/>
                <w:vertAlign w:val="superscript"/>
                <w14:textFill>
                  <w14:solidFill>
                    <w14:schemeClr w14:val="tx1"/>
                  </w14:solidFill>
                </w14:textFill>
              </w:rPr>
              <w:t>-</w:t>
            </w:r>
            <w:r>
              <w:rPr>
                <w:rFonts w:hint="eastAsia"/>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D、</w:t>
            </w:r>
            <w:r>
              <w:rPr>
                <w:color w:val="000000" w:themeColor="text1"/>
                <w:sz w:val="24"/>
                <w:lang w:val="zh-CN"/>
                <w14:textFill>
                  <w14:solidFill>
                    <w14:schemeClr w14:val="tx1"/>
                  </w14:solidFill>
                </w14:textFill>
              </w:rPr>
              <w:t>定期对</w:t>
            </w:r>
            <w:r>
              <w:rPr>
                <w:rFonts w:hint="eastAsia"/>
                <w:color w:val="000000" w:themeColor="text1"/>
                <w:sz w:val="24"/>
                <w:lang w:val="zh-CN"/>
                <w14:textFill>
                  <w14:solidFill>
                    <w14:schemeClr w14:val="tx1"/>
                  </w14:solidFill>
                </w14:textFill>
              </w:rPr>
              <w:t>危废暂存库</w:t>
            </w:r>
            <w:r>
              <w:rPr>
                <w:color w:val="000000" w:themeColor="text1"/>
                <w:sz w:val="24"/>
                <w:lang w:val="zh-CN"/>
                <w14:textFill>
                  <w14:solidFill>
                    <w14:schemeClr w14:val="tx1"/>
                  </w14:solidFill>
                </w14:textFill>
              </w:rPr>
              <w:t>侧壁进行检查，一旦出现裂、渗情况，要及时修理。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w:t>
            </w:r>
            <w:r>
              <w:rPr>
                <w:color w:val="000000" w:themeColor="text1"/>
                <w:sz w:val="24"/>
                <w:lang w:val="zh-CN"/>
                <w14:textFill>
                  <w14:solidFill>
                    <w14:schemeClr w14:val="tx1"/>
                  </w14:solidFill>
                </w14:textFill>
              </w:rPr>
              <w:t>加强管理，完善管理机制，建立严格的管理制度，遵守操作规程，尽量避免污染物下渗。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）一般防渗区防渗措施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一般防渗区：本项目的一般防渗区主要为</w:t>
            </w:r>
            <w:r>
              <w:rPr>
                <w:rFonts w:hint="eastAsia"/>
                <w:color w:val="000000" w:themeColor="text1"/>
                <w:sz w:val="24"/>
                <w14:textFill>
                  <w14:solidFill>
                    <w14:schemeClr w14:val="tx1"/>
                  </w14:solidFill>
                </w14:textFill>
              </w:rPr>
              <w:t>原料库、一般固废暂存库</w:t>
            </w:r>
            <w:r>
              <w:rPr>
                <w:color w:val="000000" w:themeColor="text1"/>
                <w:sz w:val="24"/>
                <w14:textFill>
                  <w14:solidFill>
                    <w14:schemeClr w14:val="tx1"/>
                  </w14:solidFill>
                </w14:textFill>
              </w:rPr>
              <w:t>。一般防渗区地面</w:t>
            </w:r>
            <w:r>
              <w:rPr>
                <w:rFonts w:hint="eastAsia"/>
                <w:color w:val="000000" w:themeColor="text1"/>
                <w:sz w:val="24"/>
                <w14:textFill>
                  <w14:solidFill>
                    <w14:schemeClr w14:val="tx1"/>
                  </w14:solidFill>
                </w14:textFill>
              </w:rPr>
              <w:t>满足</w:t>
            </w:r>
            <w:r>
              <w:rPr>
                <w:color w:val="000000" w:themeColor="text1"/>
                <w:sz w:val="24"/>
                <w14:textFill>
                  <w14:solidFill>
                    <w14:schemeClr w14:val="tx1"/>
                  </w14:solidFill>
                </w14:textFill>
              </w:rPr>
              <w:t>等效黏土防渗层Mb≥1.5m，K≤1.0×10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（4）简单防渗区防渗措施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简单防渗区：本项目简单防渗区为除重点防渗区和一般防渗区以外的其他区域。简单防渗区地面进行硬化处理。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和土壤。</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因此，采取以上措施后正常状态下，厂区的地表与地下的水力联系基本被切断，污染物不会规模性渗入地下水，本项目不会对区域地下水环境产生明显影响。</w:t>
            </w:r>
          </w:p>
          <w:p>
            <w:pPr>
              <w:pStyle w:val="17"/>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六</w:t>
            </w:r>
            <w:r>
              <w:rPr>
                <w:b/>
                <w:bCs/>
                <w:color w:val="000000" w:themeColor="text1"/>
                <w:sz w:val="24"/>
                <w:szCs w:val="24"/>
                <w14:textFill>
                  <w14:solidFill>
                    <w14:schemeClr w14:val="tx1"/>
                  </w14:solidFill>
                </w14:textFill>
              </w:rPr>
              <w:t>、环境风险</w:t>
            </w:r>
          </w:p>
          <w:p>
            <w:pPr>
              <w:pStyle w:val="4"/>
              <w:keepNext w:val="0"/>
              <w:keepLines w:val="0"/>
              <w:spacing w:line="360" w:lineRule="auto"/>
              <w:ind w:firstLine="482" w:firstLineChars="200"/>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1、</w:t>
            </w:r>
            <w:r>
              <w:rPr>
                <w:rFonts w:ascii="Times New Roman" w:hAnsi="Times New Roman"/>
                <w:b/>
                <w:bCs/>
                <w:color w:val="000000" w:themeColor="text1"/>
                <w:szCs w:val="24"/>
                <w14:textFill>
                  <w14:solidFill>
                    <w14:schemeClr w14:val="tx1"/>
                  </w14:solidFill>
                </w14:textFill>
              </w:rPr>
              <w:t>风险识别</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1）物质风险识别</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通过对项目生产过程中的主要原材料及辅助材料、中间产品、最终产品以及生产过程排放的“三废”污染物等进行识别，根据《建设项目环境风险评价技术导则》（HJ169-2018）、《企业突发环境事件风险分级方法》（HJ941-2018）以及《危险化学品重大危险源辨识》（GB18218-2018），项目风险物质为</w:t>
            </w:r>
            <w:r>
              <w:rPr>
                <w:rFonts w:hint="eastAsia"/>
                <w:color w:val="000000" w:themeColor="text1"/>
                <w:kern w:val="0"/>
                <w:sz w:val="24"/>
                <w14:textFill>
                  <w14:solidFill>
                    <w14:schemeClr w14:val="tx1"/>
                  </w14:solidFill>
                </w14:textFill>
              </w:rPr>
              <w:t>废矿物油</w:t>
            </w:r>
            <w:r>
              <w:rPr>
                <w:color w:val="000000" w:themeColor="text1"/>
                <w:kern w:val="0"/>
                <w:sz w:val="24"/>
                <w14:textFill>
                  <w14:solidFill>
                    <w14:schemeClr w14:val="tx1"/>
                  </w14:solidFill>
                </w14:textFill>
              </w:rPr>
              <w:t>，风险物质理化性质如下所示。</w:t>
            </w:r>
          </w:p>
          <w:p>
            <w:pPr>
              <w:adjustRightInd w:val="0"/>
              <w:snapToGrid w:val="0"/>
              <w:spacing w:line="360" w:lineRule="auto"/>
              <w:ind w:firstLine="422" w:firstLineChars="200"/>
              <w:jc w:val="center"/>
              <w:rPr>
                <w:b/>
                <w:bCs/>
                <w:color w:val="000000" w:themeColor="text1"/>
                <w:kern w:val="0"/>
                <w:sz w:val="24"/>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11</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机油的理化性质及危险特性表</w:t>
            </w:r>
          </w:p>
          <w:tbl>
            <w:tblPr>
              <w:tblStyle w:val="23"/>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092"/>
              <w:gridCol w:w="376"/>
              <w:gridCol w:w="708"/>
              <w:gridCol w:w="760"/>
              <w:gridCol w:w="1077"/>
              <w:gridCol w:w="137"/>
              <w:gridCol w:w="779"/>
              <w:gridCol w:w="386"/>
              <w:gridCol w:w="608"/>
              <w:gridCol w:w="388"/>
              <w:gridCol w:w="432"/>
              <w:gridCol w:w="171"/>
              <w:gridCol w:w="301"/>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标识</w:t>
                  </w:r>
                </w:p>
              </w:tc>
              <w:tc>
                <w:tcPr>
                  <w:tcW w:w="10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中文名</w:t>
                  </w:r>
                </w:p>
              </w:tc>
              <w:tc>
                <w:tcPr>
                  <w:tcW w:w="1084"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机油；润滑油</w:t>
                  </w:r>
                </w:p>
              </w:tc>
              <w:tc>
                <w:tcPr>
                  <w:tcW w:w="7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英文名</w:t>
                  </w:r>
                </w:p>
              </w:tc>
              <w:tc>
                <w:tcPr>
                  <w:tcW w:w="2379"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lubricating oil；Lube oil</w:t>
                  </w:r>
                </w:p>
              </w:tc>
              <w:tc>
                <w:tcPr>
                  <w:tcW w:w="1599"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危险货物编号</w:t>
                  </w:r>
                </w:p>
              </w:tc>
              <w:tc>
                <w:tcPr>
                  <w:tcW w:w="1102" w:type="dxa"/>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vAlign w:val="center"/>
                </w:tcPr>
                <w:p>
                  <w:pPr>
                    <w:rPr>
                      <w:color w:val="000000" w:themeColor="text1"/>
                      <w:szCs w:val="21"/>
                      <w14:textFill>
                        <w14:solidFill>
                          <w14:schemeClr w14:val="tx1"/>
                        </w14:solidFill>
                      </w14:textFill>
                    </w:rPr>
                  </w:pPr>
                </w:p>
              </w:tc>
              <w:tc>
                <w:tcPr>
                  <w:tcW w:w="10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分子式</w:t>
                  </w:r>
                </w:p>
              </w:tc>
              <w:tc>
                <w:tcPr>
                  <w:tcW w:w="1084" w:type="dxa"/>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分子量</w:t>
                  </w:r>
                </w:p>
              </w:tc>
              <w:tc>
                <w:tcPr>
                  <w:tcW w:w="1214"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230～500</w:t>
                  </w:r>
                </w:p>
              </w:tc>
              <w:tc>
                <w:tcPr>
                  <w:tcW w:w="1165"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UN编号</w:t>
                  </w:r>
                </w:p>
              </w:tc>
              <w:tc>
                <w:tcPr>
                  <w:tcW w:w="608" w:type="dxa"/>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91"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CAS编号</w:t>
                  </w:r>
                </w:p>
              </w:tc>
              <w:tc>
                <w:tcPr>
                  <w:tcW w:w="1102" w:type="dxa"/>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0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危险类别</w:t>
                  </w:r>
                </w:p>
              </w:tc>
              <w:tc>
                <w:tcPr>
                  <w:tcW w:w="6924" w:type="dxa"/>
                  <w:gridSpan w:val="13"/>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理化性质</w:t>
                  </w:r>
                </w:p>
              </w:tc>
              <w:tc>
                <w:tcPr>
                  <w:tcW w:w="10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性状</w:t>
                  </w:r>
                </w:p>
              </w:tc>
              <w:tc>
                <w:tcPr>
                  <w:tcW w:w="6924" w:type="dxa"/>
                  <w:gridSpan w:val="13"/>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油状液体，淡黄色至褐色，无气味或略带异味。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熔点（℃）</w:t>
                  </w:r>
                </w:p>
              </w:tc>
              <w:tc>
                <w:tcPr>
                  <w:tcW w:w="2682" w:type="dxa"/>
                  <w:gridSpan w:val="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临界压力（Mpa）</w:t>
                  </w:r>
                </w:p>
              </w:tc>
              <w:tc>
                <w:tcPr>
                  <w:tcW w:w="1273"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沸点（℃）</w:t>
                  </w:r>
                </w:p>
              </w:tc>
              <w:tc>
                <w:tcPr>
                  <w:tcW w:w="2682" w:type="dxa"/>
                  <w:gridSpan w:val="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相对密度（水＝1）</w:t>
                  </w:r>
                </w:p>
              </w:tc>
              <w:tc>
                <w:tcPr>
                  <w:tcW w:w="1273"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饱和蒸汽压（kpa）</w:t>
                  </w:r>
                </w:p>
              </w:tc>
              <w:tc>
                <w:tcPr>
                  <w:tcW w:w="2682" w:type="dxa"/>
                  <w:gridSpan w:val="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相对密度（空气＝1）</w:t>
                  </w:r>
                </w:p>
              </w:tc>
              <w:tc>
                <w:tcPr>
                  <w:tcW w:w="1273"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临界温度（℃）</w:t>
                  </w:r>
                </w:p>
              </w:tc>
              <w:tc>
                <w:tcPr>
                  <w:tcW w:w="2682" w:type="dxa"/>
                  <w:gridSpan w:val="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燃烧热（KJ·mol-1）</w:t>
                  </w:r>
                </w:p>
              </w:tc>
              <w:tc>
                <w:tcPr>
                  <w:tcW w:w="1273"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w:t>
                  </w:r>
                </w:p>
              </w:tc>
              <w:tc>
                <w:tcPr>
                  <w:tcW w:w="6548" w:type="dxa"/>
                  <w:gridSpan w:val="12"/>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燃烧爆炸危险性</w:t>
                  </w: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燃烧性</w:t>
                  </w:r>
                </w:p>
              </w:tc>
              <w:tc>
                <w:tcPr>
                  <w:tcW w:w="2682"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可燃</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闪点（℃）</w:t>
                  </w:r>
                </w:p>
              </w:tc>
              <w:tc>
                <w:tcPr>
                  <w:tcW w:w="1273"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爆炸极限（％）</w:t>
                  </w:r>
                </w:p>
              </w:tc>
              <w:tc>
                <w:tcPr>
                  <w:tcW w:w="2682"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最小点火能（MJ）</w:t>
                  </w:r>
                </w:p>
              </w:tc>
              <w:tc>
                <w:tcPr>
                  <w:tcW w:w="1273"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引燃温度（℃）</w:t>
                  </w:r>
                </w:p>
              </w:tc>
              <w:tc>
                <w:tcPr>
                  <w:tcW w:w="2682"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248</w:t>
                  </w:r>
                </w:p>
              </w:tc>
              <w:tc>
                <w:tcPr>
                  <w:tcW w:w="259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最大爆炸压力（Mpa）</w:t>
                  </w:r>
                </w:p>
              </w:tc>
              <w:tc>
                <w:tcPr>
                  <w:tcW w:w="1273"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危险特性</w:t>
                  </w:r>
                </w:p>
              </w:tc>
              <w:tc>
                <w:tcPr>
                  <w:tcW w:w="6548" w:type="dxa"/>
                  <w:gridSpan w:val="12"/>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遇明火、高热可燃。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灭火方法</w:t>
                  </w:r>
                </w:p>
              </w:tc>
              <w:tc>
                <w:tcPr>
                  <w:tcW w:w="6548" w:type="dxa"/>
                  <w:gridSpan w:val="12"/>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消防人员须佩戴防毒面具、穿全身消防服，在上风向灭火。尽可能将容器从火场移至空旷处。喷水保持火场容器冷却，直至灭火结束。处在火场中的容器若已变色或从安全泄压装置中产生声音，必须马上撤离。</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禁忌物</w:t>
                  </w:r>
                </w:p>
              </w:tc>
              <w:tc>
                <w:tcPr>
                  <w:tcW w:w="4843" w:type="dxa"/>
                  <w:gridSpan w:val="8"/>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04"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稳定性</w:t>
                  </w:r>
                </w:p>
              </w:tc>
              <w:tc>
                <w:tcPr>
                  <w:tcW w:w="8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燃烧产物</w:t>
                  </w:r>
                </w:p>
              </w:tc>
              <w:tc>
                <w:tcPr>
                  <w:tcW w:w="4843" w:type="dxa"/>
                  <w:gridSpan w:val="8"/>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一氧化碳、二氧化碳</w:t>
                  </w:r>
                </w:p>
              </w:tc>
              <w:tc>
                <w:tcPr>
                  <w:tcW w:w="904"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聚合危害</w:t>
                  </w:r>
                </w:p>
              </w:tc>
              <w:tc>
                <w:tcPr>
                  <w:tcW w:w="8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毒性及健康危害</w:t>
                  </w:r>
                </w:p>
              </w:tc>
              <w:tc>
                <w:tcPr>
                  <w:tcW w:w="146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急性毒性</w:t>
                  </w:r>
                </w:p>
              </w:tc>
              <w:tc>
                <w:tcPr>
                  <w:tcW w:w="2545" w:type="dxa"/>
                  <w:gridSpan w:val="3"/>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LD50（mg/kg，大鼠经口）</w:t>
                  </w:r>
                </w:p>
              </w:tc>
              <w:tc>
                <w:tcPr>
                  <w:tcW w:w="916" w:type="dxa"/>
                  <w:gridSpan w:val="2"/>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c>
                <w:tcPr>
                  <w:tcW w:w="2286" w:type="dxa"/>
                  <w:gridSpan w:val="6"/>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LC50（mg/kg）</w:t>
                  </w:r>
                </w:p>
              </w:tc>
              <w:tc>
                <w:tcPr>
                  <w:tcW w:w="8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健康危害</w:t>
                  </w:r>
                </w:p>
              </w:tc>
              <w:tc>
                <w:tcPr>
                  <w:tcW w:w="3461" w:type="dxa"/>
                  <w:gridSpan w:val="5"/>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车间卫生标准</w:t>
                  </w:r>
                </w:p>
              </w:tc>
              <w:tc>
                <w:tcPr>
                  <w:tcW w:w="3087" w:type="dxa"/>
                  <w:gridSpan w:val="7"/>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Merge w:val="continue"/>
                </w:tcPr>
                <w:p>
                  <w:pPr>
                    <w:rPr>
                      <w:color w:val="000000" w:themeColor="text1"/>
                      <w:szCs w:val="21"/>
                      <w14:textFill>
                        <w14:solidFill>
                          <w14:schemeClr w14:val="tx1"/>
                        </w14:solidFill>
                      </w14:textFill>
                    </w:rPr>
                  </w:pPr>
                </w:p>
              </w:tc>
              <w:tc>
                <w:tcPr>
                  <w:tcW w:w="1468" w:type="dxa"/>
                  <w:gridSpan w:val="2"/>
                  <w:vMerge w:val="continue"/>
                  <w:vAlign w:val="center"/>
                </w:tcPr>
                <w:p>
                  <w:pPr>
                    <w:rPr>
                      <w:color w:val="000000" w:themeColor="text1"/>
                      <w:szCs w:val="21"/>
                      <w14:textFill>
                        <w14:solidFill>
                          <w14:schemeClr w14:val="tx1"/>
                        </w14:solidFill>
                      </w14:textFill>
                    </w:rPr>
                  </w:pPr>
                </w:p>
              </w:tc>
              <w:tc>
                <w:tcPr>
                  <w:tcW w:w="6548" w:type="dxa"/>
                  <w:gridSpan w:val="1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侵入途径：吸入、食入；</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急</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救</w:t>
                  </w:r>
                </w:p>
              </w:tc>
              <w:tc>
                <w:tcPr>
                  <w:tcW w:w="8016" w:type="dxa"/>
                  <w:gridSpan w:val="1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皮肤接触：立即脱去被污染的衣着，用大量清水冲洗；</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眼睛接触：立即提起眼睑，用大量流动清水或生理盐水冲洗，就医；</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吸入：迅速脱离现场至空气新鲜处，保持呼吸道通畅，如呼吸困难，给输氧；如呼吸停止，立即进行人工呼吸，就医；</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食入：饮足量温水，催吐，就医。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防护</w:t>
                  </w:r>
                </w:p>
              </w:tc>
              <w:tc>
                <w:tcPr>
                  <w:tcW w:w="8016" w:type="dxa"/>
                  <w:gridSpan w:val="1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工程控制：密闭操作，注意通风；</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呼吸系统防护：空气中浓度超标时，建议佩戴自吸过滤式防毒面具（半面罩）。紧急事态抢救或撤离时，应该佩戴空气呼吸器。</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眼睛防护：戴化学安全防护眼镜。</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身体防护：穿防毒物渗透工作服；</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手防护：戴橡胶耐油手套；</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其他：工作现场严禁吸烟。避免长期反复接触。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泄漏处理</w:t>
                  </w:r>
                </w:p>
              </w:tc>
              <w:tc>
                <w:tcPr>
                  <w:tcW w:w="8016" w:type="dxa"/>
                  <w:gridSpan w:val="1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迅速撤离泄漏污染区人员至安全区，并进行隔离，严格限制出入。切断火源。建议应急处理人员戴自给正压式呼吸器，穿防毒服。尽可能切断泄漏源。防止流入下水道、排洪沟等限制性空间。</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小量泄漏：用砂土或其它不燃材料吸附或吸收。</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w:t>
                  </w:r>
                </w:p>
              </w:tc>
              <w:tc>
                <w:tcPr>
                  <w:tcW w:w="8016" w:type="dxa"/>
                  <w:gridSpan w:val="14"/>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储存于阴凉、通风的库房。远离火种、热源。应与氧化剂分开存放，切忌混储。配备相应品种和数量的消防器材。储区应备有泄漏应急处理设备和合适的收容材料。</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2）生产设施风险识别</w:t>
            </w:r>
          </w:p>
          <w:p>
            <w:pPr>
              <w:spacing w:line="360" w:lineRule="auto"/>
              <w:ind w:firstLine="480" w:firstLineChars="200"/>
              <w:jc w:val="left"/>
              <w:rPr>
                <w:rFonts w:eastAsia="TimesNewRoman"/>
                <w:color w:val="000000" w:themeColor="text1"/>
                <w:sz w:val="24"/>
                <w14:textFill>
                  <w14:solidFill>
                    <w14:schemeClr w14:val="tx1"/>
                  </w14:solidFill>
                </w14:textFill>
              </w:rPr>
            </w:pPr>
            <w:r>
              <w:rPr>
                <w:rFonts w:eastAsia="TimesNewRoman"/>
                <w:color w:val="000000" w:themeColor="text1"/>
                <w:sz w:val="24"/>
                <w14:textFill>
                  <w14:solidFill>
                    <w14:schemeClr w14:val="tx1"/>
                  </w14:solidFill>
                </w14:textFill>
              </w:rPr>
              <w:t>生产设施风险识别范围：生产单元、贮存单元、公用工程及辅助设施单元等。</w:t>
            </w:r>
          </w:p>
          <w:p>
            <w:pPr>
              <w:spacing w:line="360" w:lineRule="auto"/>
              <w:ind w:firstLine="480" w:firstLineChars="200"/>
              <w:jc w:val="left"/>
              <w:rPr>
                <w:rFonts w:eastAsia="TimesNewRoman"/>
                <w:color w:val="000000" w:themeColor="text1"/>
                <w:sz w:val="24"/>
                <w14:textFill>
                  <w14:solidFill>
                    <w14:schemeClr w14:val="tx1"/>
                  </w14:solidFill>
                </w14:textFill>
              </w:rPr>
            </w:pPr>
            <w:r>
              <w:rPr>
                <w:rFonts w:eastAsia="TimesNewRoman"/>
                <w:color w:val="000000" w:themeColor="text1"/>
                <w:sz w:val="24"/>
                <w14:textFill>
                  <w14:solidFill>
                    <w14:schemeClr w14:val="tx1"/>
                  </w14:solidFill>
                </w14:textFill>
              </w:rPr>
              <w:t>①功能单元划分</w:t>
            </w:r>
          </w:p>
          <w:p>
            <w:pPr>
              <w:spacing w:line="360" w:lineRule="auto"/>
              <w:ind w:firstLine="480" w:firstLineChars="200"/>
              <w:jc w:val="left"/>
              <w:rPr>
                <w:color w:val="000000" w:themeColor="text1"/>
                <w:sz w:val="24"/>
                <w14:textFill>
                  <w14:solidFill>
                    <w14:schemeClr w14:val="tx1"/>
                  </w14:solidFill>
                </w14:textFill>
              </w:rPr>
            </w:pPr>
            <w:r>
              <w:rPr>
                <w:rFonts w:eastAsia="TimesNewRoman"/>
                <w:color w:val="000000" w:themeColor="text1"/>
                <w:sz w:val="24"/>
                <w14:textFill>
                  <w14:solidFill>
                    <w14:schemeClr w14:val="tx1"/>
                  </w14:solidFill>
                </w14:textFill>
              </w:rPr>
              <w:t>功能单元是指至少应包括一个（套）危险物质的主要生产装置、设施（贮存容器、管道等）及环保处理设施，或同属一个工厂且边缘距离小于500m的几个（套）生产装置、设施。每一个功能单元要有边界和特定的功能，在泄漏事故中能有与其它单元分割开的地方。</w:t>
            </w:r>
            <w:r>
              <w:rPr>
                <w:color w:val="000000" w:themeColor="text1"/>
                <w:sz w:val="24"/>
                <w14:textFill>
                  <w14:solidFill>
                    <w14:schemeClr w14:val="tx1"/>
                  </w14:solidFill>
                </w14:textFill>
              </w:rPr>
              <w:t>项目生产设备出现事故的可能性很小，可能存在风险的设施主要为：</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发生泄漏，危险废物进入周边环境，进入外环境。</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②危险物质向环境转移途径识别</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发生泄漏，危险废物进入周边环境；项目生产过程风险识别情况见下表4-</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w:t>
            </w:r>
          </w:p>
          <w:p>
            <w:pPr>
              <w:pStyle w:val="2"/>
            </w:pPr>
          </w:p>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12</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项目环境风险识别表</w:t>
            </w:r>
          </w:p>
          <w:tbl>
            <w:tblPr>
              <w:tblStyle w:val="23"/>
              <w:tblW w:w="8439" w:type="dxa"/>
              <w:tblInd w:w="0" w:type="dxa"/>
              <w:tblLayout w:type="fixed"/>
              <w:tblCellMar>
                <w:top w:w="0" w:type="dxa"/>
                <w:left w:w="0" w:type="dxa"/>
                <w:bottom w:w="0" w:type="dxa"/>
                <w:right w:w="0" w:type="dxa"/>
              </w:tblCellMar>
            </w:tblPr>
            <w:tblGrid>
              <w:gridCol w:w="571"/>
              <w:gridCol w:w="1092"/>
              <w:gridCol w:w="1036"/>
              <w:gridCol w:w="1340"/>
              <w:gridCol w:w="1328"/>
              <w:gridCol w:w="787"/>
              <w:gridCol w:w="1284"/>
              <w:gridCol w:w="1001"/>
            </w:tblGrid>
            <w:tr>
              <w:tblPrEx>
                <w:tblLayout w:type="fixed"/>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危险单元</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风险源</w:t>
                  </w:r>
                </w:p>
              </w:tc>
              <w:tc>
                <w:tcPr>
                  <w:tcW w:w="13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主要危险物质</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环境风险类型</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环境影响途径</w:t>
                  </w:r>
                </w:p>
              </w:tc>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可能受影响的环境敏感目标</w:t>
                  </w:r>
                </w:p>
              </w:tc>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原因</w:t>
                  </w:r>
                </w:p>
              </w:tc>
            </w:tr>
            <w:tr>
              <w:tblPrEx>
                <w:tblLayout w:type="fixed"/>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危废暂存库</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危险废物泄漏</w:t>
                  </w:r>
                </w:p>
              </w:tc>
              <w:tc>
                <w:tcPr>
                  <w:tcW w:w="13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废矿物油</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泄漏</w:t>
                  </w:r>
                </w:p>
              </w:tc>
              <w:tc>
                <w:tcPr>
                  <w:tcW w:w="7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地下水、土壤</w:t>
                  </w:r>
                </w:p>
              </w:tc>
              <w:tc>
                <w:tcPr>
                  <w:tcW w:w="12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周边居民</w:t>
                  </w:r>
                </w:p>
              </w:tc>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管理不规范</w:t>
                  </w:r>
                </w:p>
              </w:tc>
            </w:tr>
          </w:tbl>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2、风险潜势初判</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根据《建设项目环境风险评价技术导则》（HJ169-2018）附录 C，危险物质数量与临界量的比值（Q）的计算方法如下：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当只涉及一种危险物质时，计算该物质的总量与其临界量比值，即为Q；</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当存在多种危险物质时，则按式（C.1）计算物质总量与其临界量比值（Q）：</w:t>
            </w:r>
          </w:p>
          <w:p>
            <w:pPr>
              <w:pStyle w:val="84"/>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012950" cy="530225"/>
                  <wp:effectExtent l="0" t="0" r="6350" b="3175"/>
                  <wp:docPr id="1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1"/>
                          <pic:cNvPicPr>
                            <a:picLocks noChangeAspect="1"/>
                          </pic:cNvPicPr>
                        </pic:nvPicPr>
                        <pic:blipFill>
                          <a:blip r:embed="rId31"/>
                          <a:stretch>
                            <a:fillRect/>
                          </a:stretch>
                        </pic:blipFill>
                        <pic:spPr>
                          <a:xfrm>
                            <a:off x="0" y="0"/>
                            <a:ext cx="2012950" cy="530225"/>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（C.1）</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——每种危险物质的最大存在总量，t；</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——每种危险物质的临界量，t。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当Q＜1时，该项目环境风险潜势为Ⅰ。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当Q≥1时，将Q值划分为：（1）1≤Q＜10；（2）10≤Q＜100；（3）Q≥100。</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根据参照《建设项目环境风险评价技术导则》（HJ/T169-2018）附录B“重点关注的危险物质及临界量”中相关内容，本项目存在的危险物质为：</w:t>
            </w:r>
            <w:r>
              <w:rPr>
                <w:color w:val="000000" w:themeColor="text1"/>
                <w:kern w:val="0"/>
                <w:sz w:val="24"/>
                <w14:textFill>
                  <w14:solidFill>
                    <w14:schemeClr w14:val="tx1"/>
                  </w14:solidFill>
                </w14:textFill>
              </w:rPr>
              <w:t>废机油。</w:t>
            </w:r>
            <w:r>
              <w:rPr>
                <w:color w:val="000000" w:themeColor="text1"/>
                <w:sz w:val="24"/>
                <w14:textFill>
                  <w14:solidFill>
                    <w14:schemeClr w14:val="tx1"/>
                  </w14:solidFill>
                </w14:textFill>
              </w:rPr>
              <w:t>其Q值计算结果见下表：</w:t>
            </w:r>
          </w:p>
          <w:p>
            <w:pPr>
              <w:adjustRightInd w:val="0"/>
              <w:snapToGrid w:val="0"/>
              <w:ind w:firstLine="422" w:firstLineChars="200"/>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3  主要原料环境风险物质判别表</w:t>
            </w:r>
          </w:p>
          <w:tbl>
            <w:tblPr>
              <w:tblStyle w:val="23"/>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728"/>
              <w:gridCol w:w="1200"/>
              <w:gridCol w:w="1163"/>
              <w:gridCol w:w="799"/>
              <w:gridCol w:w="1163"/>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47"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物质名称</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CAS号</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6"/>
                    <w:rPr>
                      <w:b/>
                      <w:bCs/>
                      <w:color w:val="000000" w:themeColor="text1"/>
                      <w:szCs w:val="21"/>
                      <w:lang w:val="de-DE"/>
                      <w14:textFill>
                        <w14:solidFill>
                          <w14:schemeClr w14:val="tx1"/>
                        </w14:solidFill>
                      </w14:textFill>
                    </w:rPr>
                  </w:pPr>
                  <w:r>
                    <w:rPr>
                      <w:b/>
                      <w:bCs/>
                      <w:color w:val="000000" w:themeColor="text1"/>
                      <w:szCs w:val="21"/>
                      <w14:textFill>
                        <w14:solidFill>
                          <w14:schemeClr w14:val="tx1"/>
                        </w14:solidFill>
                      </w14:textFill>
                    </w:rPr>
                    <w:t>最大储存量</w:t>
                  </w:r>
                  <w:r>
                    <w:rPr>
                      <w:b/>
                      <w:bCs/>
                      <w:color w:val="000000" w:themeColor="text1"/>
                      <w:szCs w:val="21"/>
                      <w:lang w:val="de-DE"/>
                      <w14:textFill>
                        <w14:solidFill>
                          <w14:schemeClr w14:val="tx1"/>
                        </w14:solidFill>
                      </w14:textFill>
                    </w:rPr>
                    <w:t>q（t）</w:t>
                  </w:r>
                </w:p>
              </w:tc>
              <w:tc>
                <w:tcPr>
                  <w:tcW w:w="7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6"/>
                    <w:rPr>
                      <w:b/>
                      <w:bCs/>
                      <w:color w:val="000000" w:themeColor="text1"/>
                      <w:szCs w:val="21"/>
                      <w14:textFill>
                        <w14:solidFill>
                          <w14:schemeClr w14:val="tx1"/>
                        </w14:solidFill>
                      </w14:textFill>
                    </w:rPr>
                  </w:pPr>
                  <w:r>
                    <w:rPr>
                      <w:b/>
                      <w:bCs/>
                      <w:color w:val="000000" w:themeColor="text1"/>
                      <w:szCs w:val="21"/>
                      <w:lang w:val="de-DE"/>
                      <w14:textFill>
                        <w14:solidFill>
                          <w14:schemeClr w14:val="tx1"/>
                        </w14:solidFill>
                      </w14:textFill>
                    </w:rPr>
                    <w:t>临界量</w:t>
                  </w:r>
                </w:p>
                <w:p>
                  <w:pPr>
                    <w:pStyle w:val="8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Q（t）</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q/Q</w:t>
                  </w:r>
                </w:p>
              </w:tc>
              <w:tc>
                <w:tcPr>
                  <w:tcW w:w="28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rFonts w:hint="eastAsia"/>
                      <w:color w:val="000000" w:themeColor="text1"/>
                      <w:position w:val="-28"/>
                      <w:szCs w:val="21"/>
                      <w14:textFill>
                        <w14:solidFill>
                          <w14:schemeClr w14:val="tx1"/>
                        </w14:solidFill>
                      </w14:textFill>
                    </w:rPr>
                    <w:t>1</w:t>
                  </w:r>
                </w:p>
              </w:tc>
              <w:tc>
                <w:tcPr>
                  <w:tcW w:w="7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废矿物油</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0.</w:t>
                  </w:r>
                  <w:r>
                    <w:rPr>
                      <w:rFonts w:hint="eastAsia"/>
                      <w:color w:val="000000" w:themeColor="text1"/>
                      <w:position w:val="-28"/>
                      <w:szCs w:val="21"/>
                      <w14:textFill>
                        <w14:solidFill>
                          <w14:schemeClr w14:val="tx1"/>
                        </w14:solidFill>
                      </w14:textFill>
                    </w:rPr>
                    <w:t>5</w:t>
                  </w:r>
                </w:p>
              </w:tc>
              <w:tc>
                <w:tcPr>
                  <w:tcW w:w="7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2500</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0.000</w:t>
                  </w:r>
                  <w:r>
                    <w:rPr>
                      <w:rFonts w:hint="eastAsia"/>
                      <w:color w:val="000000" w:themeColor="text1"/>
                      <w:position w:val="-28"/>
                      <w:szCs w:val="21"/>
                      <w14:textFill>
                        <w14:solidFill>
                          <w14:schemeClr w14:val="tx1"/>
                        </w14:solidFill>
                      </w14:textFill>
                    </w:rPr>
                    <w:t>2</w:t>
                  </w:r>
                </w:p>
              </w:tc>
              <w:tc>
                <w:tcPr>
                  <w:tcW w:w="28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《企业突发环境事件风险分级方法》（HJ941-2018）附录A（突发环境事件风险物质及临界量清单）中第八部分：其他类物质及污染物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27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合计</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w:t>
                  </w:r>
                </w:p>
              </w:tc>
              <w:tc>
                <w:tcPr>
                  <w:tcW w:w="7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rFonts w:hint="eastAsia"/>
                      <w:color w:val="000000" w:themeColor="text1"/>
                      <w:position w:val="-28"/>
                      <w:szCs w:val="21"/>
                      <w14:textFill>
                        <w14:solidFill>
                          <w14:schemeClr w14:val="tx1"/>
                        </w14:solidFill>
                      </w14:textFill>
                    </w:rPr>
                    <w:t>0.0002</w:t>
                  </w:r>
                </w:p>
              </w:tc>
              <w:tc>
                <w:tcPr>
                  <w:tcW w:w="28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color w:val="000000" w:themeColor="text1"/>
                      <w:position w:val="-28"/>
                      <w:szCs w:val="21"/>
                      <w14:textFill>
                        <w14:solidFill>
                          <w14:schemeClr w14:val="tx1"/>
                        </w14:solidFill>
                      </w14:textFill>
                    </w:rPr>
                  </w:pPr>
                  <w:r>
                    <w:rPr>
                      <w:color w:val="000000" w:themeColor="text1"/>
                      <w:position w:val="-28"/>
                      <w:szCs w:val="2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本项目风险物质与临界值的比值Q=</w:t>
            </w:r>
            <w:r>
              <w:rPr>
                <w:rFonts w:hint="eastAsia"/>
                <w:color w:val="000000" w:themeColor="text1"/>
                <w:sz w:val="24"/>
                <w14:textFill>
                  <w14:solidFill>
                    <w14:schemeClr w14:val="tx1"/>
                  </w14:solidFill>
                </w14:textFill>
              </w:rPr>
              <w:t>0.0002</w:t>
            </w:r>
            <w:r>
              <w:rPr>
                <w:color w:val="000000" w:themeColor="text1"/>
                <w:sz w:val="24"/>
                <w14:textFill>
                  <w14:solidFill>
                    <w14:schemeClr w14:val="tx1"/>
                  </w14:solidFill>
                </w14:textFill>
              </w:rPr>
              <w:t>＜1，项目环境风险潜势为I，不设置评价等级，仅进行简要分析。</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3、评价等级</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根据《建设项目环境风险评价技术导则》（HJ169-2018）表1评价工作等级的划分见下表：</w:t>
            </w:r>
          </w:p>
          <w:p>
            <w:pPr>
              <w:pStyle w:val="13"/>
              <w:adjustRightInd w:val="0"/>
              <w:ind w:right="-45"/>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表4-</w:t>
            </w:r>
            <w:r>
              <w:rPr>
                <w:rFonts w:hint="eastAsia" w:ascii="Times New Roman" w:hAnsi="Times New Roman"/>
                <w:b/>
                <w:color w:val="000000" w:themeColor="text1"/>
                <w:szCs w:val="21"/>
                <w14:textFill>
                  <w14:solidFill>
                    <w14:schemeClr w14:val="tx1"/>
                  </w14:solidFill>
                </w14:textFill>
              </w:rPr>
              <w:t>1</w:t>
            </w:r>
            <w:r>
              <w:rPr>
                <w:rFonts w:ascii="Times New Roman" w:hAnsi="Times New Roman"/>
                <w:b/>
                <w:color w:val="000000" w:themeColor="text1"/>
                <w:szCs w:val="21"/>
                <w14:textFill>
                  <w14:solidFill>
                    <w14:schemeClr w14:val="tx1"/>
                  </w14:solidFill>
                </w14:textFill>
              </w:rPr>
              <w:t>4  环境风险评价等级的确定依据</w:t>
            </w:r>
          </w:p>
          <w:tbl>
            <w:tblPr>
              <w:tblStyle w:val="23"/>
              <w:tblW w:w="8457"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90"/>
              <w:gridCol w:w="1690"/>
              <w:gridCol w:w="1691"/>
              <w:gridCol w:w="1691"/>
              <w:gridCol w:w="16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trPr>
              <w:tc>
                <w:tcPr>
                  <w:tcW w:w="1690"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环境风险潜势</w:t>
                  </w:r>
                </w:p>
              </w:tc>
              <w:tc>
                <w:tcPr>
                  <w:tcW w:w="1690"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Ⅳ、Ⅳ*</w:t>
                  </w:r>
                </w:p>
              </w:tc>
              <w:tc>
                <w:tcPr>
                  <w:tcW w:w="1691"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Ⅲ</w:t>
                  </w:r>
                </w:p>
              </w:tc>
              <w:tc>
                <w:tcPr>
                  <w:tcW w:w="1691"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Ⅱ</w:t>
                  </w:r>
                </w:p>
              </w:tc>
              <w:tc>
                <w:tcPr>
                  <w:tcW w:w="1695"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trPr>
              <w:tc>
                <w:tcPr>
                  <w:tcW w:w="1690"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评价工作等级</w:t>
                  </w:r>
                </w:p>
              </w:tc>
              <w:tc>
                <w:tcPr>
                  <w:tcW w:w="1690"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w:t>
                  </w:r>
                </w:p>
              </w:tc>
              <w:tc>
                <w:tcPr>
                  <w:tcW w:w="1691"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w:t>
                  </w:r>
                </w:p>
              </w:tc>
              <w:tc>
                <w:tcPr>
                  <w:tcW w:w="1691"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三</w:t>
                  </w:r>
                </w:p>
              </w:tc>
              <w:tc>
                <w:tcPr>
                  <w:tcW w:w="1695" w:type="dxa"/>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简单分析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0" w:hRule="atLeast"/>
              </w:trPr>
              <w:tc>
                <w:tcPr>
                  <w:tcW w:w="8457" w:type="dxa"/>
                  <w:gridSpan w:val="5"/>
                </w:tcPr>
                <w:p>
                  <w:pPr>
                    <w:widowControl/>
                    <w:autoSpaceDE w:val="0"/>
                    <w:autoSpaceDN w:val="0"/>
                    <w:ind w:left="105" w:leftChars="50" w:right="105" w:rightChars="5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简单分析是相对于详细评价工作内容而言，在描述危险物质、环境影响途径、环境危害后果、风险防范措施等方面给出定性的说明。详见 HJ169-2018 附录 A</w:t>
                  </w: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依据上表中所规定的判定原则，本次环境风险评价工作等级判定为</w:t>
            </w:r>
            <w:r>
              <w:rPr>
                <w:b/>
                <w:bCs/>
                <w:color w:val="000000" w:themeColor="text1"/>
                <w:kern w:val="0"/>
                <w:sz w:val="24"/>
                <w14:textFill>
                  <w14:solidFill>
                    <w14:schemeClr w14:val="tx1"/>
                  </w14:solidFill>
                </w14:textFill>
              </w:rPr>
              <w:t>简单分析</w:t>
            </w:r>
            <w:r>
              <w:rPr>
                <w:color w:val="000000" w:themeColor="text1"/>
                <w:kern w:val="0"/>
                <w:sz w:val="24"/>
                <w14:textFill>
                  <w14:solidFill>
                    <w14:schemeClr w14:val="tx1"/>
                  </w14:solidFill>
                </w14:textFill>
              </w:rPr>
              <w:t>。</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、环境敏感目标概况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评价区可能受影响的环境保护目标见下表：</w:t>
            </w:r>
          </w:p>
          <w:p>
            <w:pPr>
              <w:pStyle w:val="13"/>
              <w:adjustRightInd w:val="0"/>
              <w:ind w:right="-45"/>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表4-</w:t>
            </w:r>
            <w:r>
              <w:rPr>
                <w:rFonts w:hint="eastAsia" w:ascii="Times New Roman" w:hAnsi="Times New Roman"/>
                <w:b/>
                <w:color w:val="000000" w:themeColor="text1"/>
                <w:szCs w:val="21"/>
                <w14:textFill>
                  <w14:solidFill>
                    <w14:schemeClr w14:val="tx1"/>
                  </w14:solidFill>
                </w14:textFill>
              </w:rPr>
              <w:t>1</w:t>
            </w:r>
            <w:r>
              <w:rPr>
                <w:rFonts w:ascii="Times New Roman" w:hAnsi="Times New Roman"/>
                <w:b/>
                <w:color w:val="000000" w:themeColor="text1"/>
                <w:szCs w:val="21"/>
                <w14:textFill>
                  <w14:solidFill>
                    <w14:schemeClr w14:val="tx1"/>
                  </w14:solidFill>
                </w14:textFill>
              </w:rPr>
              <w:t>5  评价区可能受影响的主要环境保护目标</w:t>
            </w:r>
          </w:p>
          <w:tbl>
            <w:tblPr>
              <w:tblStyle w:val="23"/>
              <w:tblW w:w="845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2"/>
              <w:gridCol w:w="1438"/>
              <w:gridCol w:w="4157"/>
              <w:gridCol w:w="1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jc w:val="center"/>
              </w:trPr>
              <w:tc>
                <w:tcPr>
                  <w:tcW w:w="1052" w:type="dxa"/>
                  <w:vAlign w:val="center"/>
                </w:tcPr>
                <w:p>
                  <w:pPr>
                    <w:widowControl/>
                    <w:autoSpaceDE w:val="0"/>
                    <w:autoSpaceDN w:val="0"/>
                    <w:ind w:left="105" w:leftChars="50" w:right="105" w:rightChars="5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保护对象</w:t>
                  </w:r>
                </w:p>
              </w:tc>
              <w:tc>
                <w:tcPr>
                  <w:tcW w:w="1438" w:type="dxa"/>
                  <w:vAlign w:val="center"/>
                </w:tcPr>
                <w:p>
                  <w:pPr>
                    <w:widowControl/>
                    <w:autoSpaceDE w:val="0"/>
                    <w:autoSpaceDN w:val="0"/>
                    <w:ind w:left="105" w:leftChars="50" w:right="105" w:rightChars="5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保护类别</w:t>
                  </w:r>
                </w:p>
              </w:tc>
              <w:tc>
                <w:tcPr>
                  <w:tcW w:w="4157" w:type="dxa"/>
                  <w:vAlign w:val="center"/>
                </w:tcPr>
                <w:p>
                  <w:pPr>
                    <w:widowControl/>
                    <w:autoSpaceDE w:val="0"/>
                    <w:autoSpaceDN w:val="0"/>
                    <w:ind w:left="105" w:leftChars="50" w:right="105" w:rightChars="5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保护目标</w:t>
                  </w:r>
                </w:p>
              </w:tc>
              <w:tc>
                <w:tcPr>
                  <w:tcW w:w="1805" w:type="dxa"/>
                  <w:vAlign w:val="center"/>
                </w:tcPr>
                <w:p>
                  <w:pPr>
                    <w:widowControl/>
                    <w:autoSpaceDE w:val="0"/>
                    <w:autoSpaceDN w:val="0"/>
                    <w:ind w:left="105" w:leftChars="50" w:right="105" w:rightChars="5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jc w:val="center"/>
              </w:trPr>
              <w:tc>
                <w:tcPr>
                  <w:tcW w:w="1052"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大气环境</w:t>
                  </w:r>
                </w:p>
              </w:tc>
              <w:tc>
                <w:tcPr>
                  <w:tcW w:w="1438"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空气质量、人群健康</w:t>
                  </w:r>
                </w:p>
              </w:tc>
              <w:tc>
                <w:tcPr>
                  <w:tcW w:w="4157"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《环境空气质量标准》（GB3095-2012）二级标准</w:t>
                  </w:r>
                </w:p>
              </w:tc>
              <w:tc>
                <w:tcPr>
                  <w:tcW w:w="1805"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拟建地附近人群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jc w:val="center"/>
              </w:trPr>
              <w:tc>
                <w:tcPr>
                  <w:tcW w:w="1052"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地下水</w:t>
                  </w:r>
                </w:p>
              </w:tc>
              <w:tc>
                <w:tcPr>
                  <w:tcW w:w="1438"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地下水</w:t>
                  </w:r>
                </w:p>
              </w:tc>
              <w:tc>
                <w:tcPr>
                  <w:tcW w:w="4157"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《地下水质量标准》（GB/T14848-2017）Ⅲ类标准</w:t>
                  </w:r>
                </w:p>
              </w:tc>
              <w:tc>
                <w:tcPr>
                  <w:tcW w:w="1805"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拟建地及周边地区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jc w:val="center"/>
              </w:trPr>
              <w:tc>
                <w:tcPr>
                  <w:tcW w:w="1052" w:type="dxa"/>
                  <w:vMerge w:val="restart"/>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w:t>
                  </w:r>
                </w:p>
              </w:tc>
              <w:tc>
                <w:tcPr>
                  <w:tcW w:w="1438" w:type="dxa"/>
                  <w:vMerge w:val="restart"/>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土壤</w:t>
                  </w:r>
                </w:p>
              </w:tc>
              <w:tc>
                <w:tcPr>
                  <w:tcW w:w="4157"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《土壤环境质量 农用地土壤污染风险管控标准（试行）》（GB 15618-2018）</w:t>
                  </w:r>
                </w:p>
              </w:tc>
              <w:tc>
                <w:tcPr>
                  <w:tcW w:w="1805"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拟建地周边地区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 w:hRule="atLeast"/>
                <w:jc w:val="center"/>
              </w:trPr>
              <w:tc>
                <w:tcPr>
                  <w:tcW w:w="1052" w:type="dxa"/>
                  <w:vMerge w:val="continue"/>
                  <w:vAlign w:val="center"/>
                </w:tcPr>
                <w:p>
                  <w:pPr>
                    <w:widowControl/>
                    <w:autoSpaceDE w:val="0"/>
                    <w:autoSpaceDN w:val="0"/>
                    <w:ind w:left="105" w:leftChars="50" w:right="105" w:rightChars="50"/>
                    <w:jc w:val="center"/>
                    <w:rPr>
                      <w:color w:val="000000" w:themeColor="text1"/>
                      <w14:textFill>
                        <w14:solidFill>
                          <w14:schemeClr w14:val="tx1"/>
                        </w14:solidFill>
                      </w14:textFill>
                    </w:rPr>
                  </w:pPr>
                </w:p>
              </w:tc>
              <w:tc>
                <w:tcPr>
                  <w:tcW w:w="1438" w:type="dxa"/>
                  <w:vMerge w:val="continue"/>
                  <w:vAlign w:val="center"/>
                </w:tcPr>
                <w:p>
                  <w:pPr>
                    <w:widowControl/>
                    <w:autoSpaceDE w:val="0"/>
                    <w:autoSpaceDN w:val="0"/>
                    <w:ind w:left="105" w:leftChars="50" w:right="105" w:rightChars="50"/>
                    <w:jc w:val="center"/>
                    <w:rPr>
                      <w:color w:val="000000" w:themeColor="text1"/>
                      <w14:textFill>
                        <w14:solidFill>
                          <w14:schemeClr w14:val="tx1"/>
                        </w14:solidFill>
                      </w14:textFill>
                    </w:rPr>
                  </w:pPr>
                </w:p>
              </w:tc>
              <w:tc>
                <w:tcPr>
                  <w:tcW w:w="4157"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《土壤环境质量 建设用地土壤污染风险管控标准（试行）》（GB36600-2018）</w:t>
                  </w:r>
                </w:p>
              </w:tc>
              <w:tc>
                <w:tcPr>
                  <w:tcW w:w="1805" w:type="dxa"/>
                  <w:vAlign w:val="center"/>
                </w:tcPr>
                <w:p>
                  <w:pPr>
                    <w:widowControl/>
                    <w:autoSpaceDE w:val="0"/>
                    <w:autoSpaceDN w:val="0"/>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拟建地</w:t>
                  </w: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本评价主要采用资料收集及现场调查的方法对评价区域内的环境状况进行了解，本次评价对风险源周围</w:t>
            </w:r>
            <w:r>
              <w:rPr>
                <w:rFonts w:hint="eastAsia"/>
                <w:color w:val="000000" w:themeColor="text1"/>
                <w:kern w:val="0"/>
                <w:sz w:val="24"/>
                <w14:textFill>
                  <w14:solidFill>
                    <w14:schemeClr w14:val="tx1"/>
                  </w14:solidFill>
                </w14:textFill>
              </w:rPr>
              <w:t>500</w:t>
            </w:r>
            <w:r>
              <w:rPr>
                <w:color w:val="000000" w:themeColor="text1"/>
                <w:kern w:val="0"/>
                <w:sz w:val="24"/>
                <w14:textFill>
                  <w14:solidFill>
                    <w14:schemeClr w14:val="tx1"/>
                  </w14:solidFill>
                </w14:textFill>
              </w:rPr>
              <w:t>m范围内的环境敏感点进行了调查，</w:t>
            </w:r>
            <w:r>
              <w:rPr>
                <w:rFonts w:hint="eastAsia"/>
                <w:color w:val="000000" w:themeColor="text1"/>
                <w:kern w:val="0"/>
                <w:sz w:val="24"/>
                <w14:textFill>
                  <w14:solidFill>
                    <w14:schemeClr w14:val="tx1"/>
                  </w14:solidFill>
                </w14:textFill>
              </w:rPr>
              <w:t>500</w:t>
            </w:r>
            <w:r>
              <w:rPr>
                <w:color w:val="000000" w:themeColor="text1"/>
                <w:kern w:val="0"/>
                <w:sz w:val="24"/>
                <w14:textFill>
                  <w14:solidFill>
                    <w14:schemeClr w14:val="tx1"/>
                  </w14:solidFill>
                </w14:textFill>
              </w:rPr>
              <w:t>m范围内环境敏感目标如下。</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6  </w:t>
            </w:r>
            <w:r>
              <w:rPr>
                <w:rFonts w:hint="eastAsia"/>
                <w:b/>
                <w:bCs/>
                <w:color w:val="000000" w:themeColor="text1"/>
                <w:szCs w:val="21"/>
                <w14:textFill>
                  <w14:solidFill>
                    <w14:schemeClr w14:val="tx1"/>
                  </w14:solidFill>
                </w14:textFill>
              </w:rPr>
              <w:t>500</w:t>
            </w:r>
            <w:r>
              <w:rPr>
                <w:b/>
                <w:bCs/>
                <w:color w:val="000000" w:themeColor="text1"/>
                <w:szCs w:val="21"/>
                <w14:textFill>
                  <w14:solidFill>
                    <w14:schemeClr w14:val="tx1"/>
                  </w14:solidFill>
                </w14:textFill>
              </w:rPr>
              <w:t>m范围内环境敏感目标一览表</w:t>
            </w:r>
          </w:p>
          <w:tbl>
            <w:tblPr>
              <w:tblStyle w:val="23"/>
              <w:tblW w:w="8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526"/>
              <w:gridCol w:w="1037"/>
              <w:gridCol w:w="942"/>
              <w:gridCol w:w="716"/>
              <w:gridCol w:w="708"/>
              <w:gridCol w:w="845"/>
              <w:gridCol w:w="901"/>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27"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b/>
                      <w:color w:val="000000" w:themeColor="text1"/>
                      <w:spacing w:val="-10"/>
                      <w:szCs w:val="21"/>
                      <w14:textFill>
                        <w14:solidFill>
                          <w14:schemeClr w14:val="tx1"/>
                        </w14:solidFill>
                      </w14:textFill>
                    </w:rPr>
                    <w:t>环境要素</w:t>
                  </w:r>
                </w:p>
              </w:tc>
              <w:tc>
                <w:tcPr>
                  <w:tcW w:w="152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b/>
                      <w:color w:val="000000" w:themeColor="text1"/>
                      <w:spacing w:val="-10"/>
                      <w:szCs w:val="21"/>
                      <w14:textFill>
                        <w14:solidFill>
                          <w14:schemeClr w14:val="tx1"/>
                        </w14:solidFill>
                      </w14:textFill>
                    </w:rPr>
                    <w:t>名称</w:t>
                  </w:r>
                </w:p>
              </w:tc>
              <w:tc>
                <w:tcPr>
                  <w:tcW w:w="1979" w:type="dxa"/>
                  <w:gridSpan w:val="2"/>
                  <w:vAlign w:val="center"/>
                </w:tcPr>
                <w:p>
                  <w:pPr>
                    <w:jc w:val="center"/>
                    <w:rPr>
                      <w:b/>
                      <w:color w:val="000000" w:themeColor="text1"/>
                      <w:spacing w:val="-10"/>
                      <w:szCs w:val="21"/>
                      <w14:textFill>
                        <w14:solidFill>
                          <w14:schemeClr w14:val="tx1"/>
                        </w14:solidFill>
                      </w14:textFill>
                    </w:rPr>
                  </w:pPr>
                  <w:r>
                    <w:rPr>
                      <w:b/>
                      <w:snapToGrid w:val="0"/>
                      <w:color w:val="000000" w:themeColor="text1"/>
                      <w:kern w:val="0"/>
                      <w:szCs w:val="21"/>
                      <w14:textFill>
                        <w14:solidFill>
                          <w14:schemeClr w14:val="tx1"/>
                        </w14:solidFill>
                      </w14:textFill>
                    </w:rPr>
                    <w:t>经纬度</w:t>
                  </w:r>
                </w:p>
              </w:tc>
              <w:tc>
                <w:tcPr>
                  <w:tcW w:w="716"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保护内容</w:t>
                  </w:r>
                </w:p>
              </w:tc>
              <w:tc>
                <w:tcPr>
                  <w:tcW w:w="708" w:type="dxa"/>
                  <w:vMerge w:val="restart"/>
                  <w:vAlign w:val="center"/>
                </w:tcPr>
                <w:p>
                  <w:pPr>
                    <w:autoSpaceDE w:val="0"/>
                    <w:autoSpaceDN w:val="0"/>
                    <w:adjustRightIn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保护</w:t>
                  </w:r>
                </w:p>
                <w:p>
                  <w:pPr>
                    <w:autoSpaceDE w:val="0"/>
                    <w:autoSpaceDN w:val="0"/>
                    <w:adjustRightInd w:val="0"/>
                    <w:jc w:val="center"/>
                    <w:rPr>
                      <w:color w:val="000000" w:themeColor="text1"/>
                      <w:szCs w:val="21"/>
                      <w14:textFill>
                        <w14:solidFill>
                          <w14:schemeClr w14:val="tx1"/>
                        </w14:solidFill>
                      </w14:textFill>
                    </w:rPr>
                  </w:pPr>
                  <w:r>
                    <w:rPr>
                      <w:b/>
                      <w:color w:val="000000" w:themeColor="text1"/>
                      <w:spacing w:val="-10"/>
                      <w:szCs w:val="21"/>
                      <w14:textFill>
                        <w14:solidFill>
                          <w14:schemeClr w14:val="tx1"/>
                        </w14:solidFill>
                      </w14:textFill>
                    </w:rPr>
                    <w:t>对象</w:t>
                  </w:r>
                </w:p>
              </w:tc>
              <w:tc>
                <w:tcPr>
                  <w:tcW w:w="845" w:type="dxa"/>
                  <w:vMerge w:val="restart"/>
                  <w:vAlign w:val="center"/>
                </w:tcPr>
                <w:p>
                  <w:pPr>
                    <w:autoSpaceDE w:val="0"/>
                    <w:autoSpaceDN w:val="0"/>
                    <w:adjustRightIn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相对厂址方向</w:t>
                  </w:r>
                </w:p>
              </w:tc>
              <w:tc>
                <w:tcPr>
                  <w:tcW w:w="901" w:type="dxa"/>
                  <w:vMerge w:val="restart"/>
                  <w:vAlign w:val="center"/>
                </w:tcPr>
                <w:p>
                  <w:pPr>
                    <w:autoSpaceDE w:val="0"/>
                    <w:autoSpaceDN w:val="0"/>
                    <w:adjustRightIn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相对厂界距离</w:t>
                  </w:r>
                </w:p>
              </w:tc>
              <w:tc>
                <w:tcPr>
                  <w:tcW w:w="1163" w:type="dxa"/>
                  <w:vMerge w:val="restart"/>
                  <w:vAlign w:val="center"/>
                </w:tcPr>
                <w:p>
                  <w:pPr>
                    <w:autoSpaceDE w:val="0"/>
                    <w:autoSpaceDN w:val="0"/>
                    <w:adjustRightInd w:val="0"/>
                    <w:jc w:val="center"/>
                    <w:rPr>
                      <w:b/>
                      <w:color w:val="000000" w:themeColor="text1"/>
                      <w:spacing w:val="-10"/>
                      <w:szCs w:val="21"/>
                      <w14:textFill>
                        <w14:solidFill>
                          <w14:schemeClr w14:val="tx1"/>
                        </w14:solidFill>
                      </w14:textFill>
                    </w:rPr>
                  </w:pPr>
                  <w:r>
                    <w:rPr>
                      <w:b/>
                      <w:color w:val="000000" w:themeColor="text1"/>
                      <w:spacing w:val="-10"/>
                      <w:szCs w:val="2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27"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526"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c>
                <w:tcPr>
                  <w:tcW w:w="1037" w:type="dxa"/>
                  <w:vAlign w:val="center"/>
                </w:tcPr>
                <w:p>
                  <w:pPr>
                    <w:jc w:val="center"/>
                    <w:rPr>
                      <w:b/>
                      <w:i/>
                      <w:iCs/>
                      <w:color w:val="000000" w:themeColor="text1"/>
                      <w:spacing w:val="-10"/>
                      <w:szCs w:val="21"/>
                      <w14:textFill>
                        <w14:solidFill>
                          <w14:schemeClr w14:val="tx1"/>
                        </w14:solidFill>
                      </w14:textFill>
                    </w:rPr>
                  </w:pPr>
                  <w:r>
                    <w:rPr>
                      <w:b/>
                      <w:snapToGrid w:val="0"/>
                      <w:color w:val="000000" w:themeColor="text1"/>
                      <w:kern w:val="0"/>
                      <w:szCs w:val="21"/>
                      <w14:textFill>
                        <w14:solidFill>
                          <w14:schemeClr w14:val="tx1"/>
                        </w14:solidFill>
                      </w14:textFill>
                    </w:rPr>
                    <w:t>经度</w:t>
                  </w:r>
                </w:p>
              </w:tc>
              <w:tc>
                <w:tcPr>
                  <w:tcW w:w="942" w:type="dxa"/>
                  <w:vAlign w:val="center"/>
                </w:tcPr>
                <w:p>
                  <w:pPr>
                    <w:jc w:val="center"/>
                    <w:rPr>
                      <w:b/>
                      <w:i/>
                      <w:iCs/>
                      <w:color w:val="000000" w:themeColor="text1"/>
                      <w:spacing w:val="-10"/>
                      <w:szCs w:val="21"/>
                      <w14:textFill>
                        <w14:solidFill>
                          <w14:schemeClr w14:val="tx1"/>
                        </w14:solidFill>
                      </w14:textFill>
                    </w:rPr>
                  </w:pPr>
                  <w:r>
                    <w:rPr>
                      <w:b/>
                      <w:snapToGrid w:val="0"/>
                      <w:color w:val="000000" w:themeColor="text1"/>
                      <w:kern w:val="0"/>
                      <w:szCs w:val="21"/>
                      <w14:textFill>
                        <w14:solidFill>
                          <w14:schemeClr w14:val="tx1"/>
                        </w14:solidFill>
                      </w14:textFill>
                    </w:rPr>
                    <w:t>纬度</w:t>
                  </w:r>
                </w:p>
              </w:tc>
              <w:tc>
                <w:tcPr>
                  <w:tcW w:w="716" w:type="dxa"/>
                  <w:vMerge w:val="continue"/>
                  <w:vAlign w:val="center"/>
                </w:tcPr>
                <w:p>
                  <w:pPr>
                    <w:autoSpaceDE w:val="0"/>
                    <w:autoSpaceDN w:val="0"/>
                    <w:adjustRightInd w:val="0"/>
                    <w:jc w:val="center"/>
                    <w:rPr>
                      <w:b/>
                      <w:color w:val="000000" w:themeColor="text1"/>
                      <w:spacing w:val="-10"/>
                      <w:szCs w:val="21"/>
                      <w14:textFill>
                        <w14:solidFill>
                          <w14:schemeClr w14:val="tx1"/>
                        </w14:solidFill>
                      </w14:textFill>
                    </w:rPr>
                  </w:pPr>
                </w:p>
              </w:tc>
              <w:tc>
                <w:tcPr>
                  <w:tcW w:w="708" w:type="dxa"/>
                  <w:vMerge w:val="continue"/>
                  <w:vAlign w:val="center"/>
                </w:tcPr>
                <w:p>
                  <w:pPr>
                    <w:autoSpaceDE w:val="0"/>
                    <w:autoSpaceDN w:val="0"/>
                    <w:adjustRightInd w:val="0"/>
                    <w:jc w:val="center"/>
                    <w:rPr>
                      <w:b/>
                      <w:color w:val="000000" w:themeColor="text1"/>
                      <w:spacing w:val="-10"/>
                      <w:szCs w:val="21"/>
                      <w14:textFill>
                        <w14:solidFill>
                          <w14:schemeClr w14:val="tx1"/>
                        </w14:solidFill>
                      </w14:textFill>
                    </w:rPr>
                  </w:pPr>
                </w:p>
              </w:tc>
              <w:tc>
                <w:tcPr>
                  <w:tcW w:w="845" w:type="dxa"/>
                  <w:vMerge w:val="continue"/>
                  <w:vAlign w:val="center"/>
                </w:tcPr>
                <w:p>
                  <w:pPr>
                    <w:autoSpaceDE w:val="0"/>
                    <w:autoSpaceDN w:val="0"/>
                    <w:adjustRightInd w:val="0"/>
                    <w:jc w:val="center"/>
                    <w:rPr>
                      <w:b/>
                      <w:color w:val="000000" w:themeColor="text1"/>
                      <w:spacing w:val="-10"/>
                      <w:szCs w:val="21"/>
                      <w14:textFill>
                        <w14:solidFill>
                          <w14:schemeClr w14:val="tx1"/>
                        </w14:solidFill>
                      </w14:textFill>
                    </w:rPr>
                  </w:pPr>
                </w:p>
              </w:tc>
              <w:tc>
                <w:tcPr>
                  <w:tcW w:w="901" w:type="dxa"/>
                  <w:vMerge w:val="continue"/>
                  <w:vAlign w:val="center"/>
                </w:tcPr>
                <w:p>
                  <w:pPr>
                    <w:autoSpaceDE w:val="0"/>
                    <w:autoSpaceDN w:val="0"/>
                    <w:adjustRightInd w:val="0"/>
                    <w:jc w:val="center"/>
                    <w:rPr>
                      <w:b/>
                      <w:color w:val="000000" w:themeColor="text1"/>
                      <w:spacing w:val="-10"/>
                      <w:szCs w:val="21"/>
                      <w14:textFill>
                        <w14:solidFill>
                          <w14:schemeClr w14:val="tx1"/>
                        </w14:solidFill>
                      </w14:textFill>
                    </w:rPr>
                  </w:pPr>
                </w:p>
              </w:tc>
              <w:tc>
                <w:tcPr>
                  <w:tcW w:w="1163" w:type="dxa"/>
                  <w:vMerge w:val="continue"/>
                  <w:vAlign w:val="center"/>
                </w:tcPr>
                <w:p>
                  <w:pPr>
                    <w:autoSpaceDE w:val="0"/>
                    <w:autoSpaceDN w:val="0"/>
                    <w:adjustRightInd w:val="0"/>
                    <w:jc w:val="center"/>
                    <w:rPr>
                      <w:b/>
                      <w:color w:val="000000" w:themeColor="text1"/>
                      <w:spacing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627" w:type="dxa"/>
                  <w:vMerge w:val="restart"/>
                  <w:vAlign w:val="center"/>
                </w:tcPr>
                <w:p>
                  <w:pPr>
                    <w:autoSpaceDE w:val="0"/>
                    <w:autoSpaceDN w:val="0"/>
                    <w:adjustRightInd w:val="0"/>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大气环境</w:t>
                  </w:r>
                </w:p>
              </w:tc>
              <w:tc>
                <w:tcPr>
                  <w:tcW w:w="1526" w:type="dxa"/>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散户1</w:t>
                  </w:r>
                </w:p>
              </w:tc>
              <w:tc>
                <w:tcPr>
                  <w:tcW w:w="1037" w:type="dxa"/>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3.112485</w:t>
                  </w:r>
                </w:p>
              </w:tc>
              <w:tc>
                <w:tcPr>
                  <w:tcW w:w="942" w:type="dxa"/>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5.3404</w:t>
                  </w:r>
                </w:p>
              </w:tc>
              <w:tc>
                <w:tcPr>
                  <w:tcW w:w="71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7人</w:t>
                  </w:r>
                </w:p>
              </w:tc>
              <w:tc>
                <w:tcPr>
                  <w:tcW w:w="708" w:type="dxa"/>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居住区</w:t>
                  </w:r>
                </w:p>
              </w:tc>
              <w:tc>
                <w:tcPr>
                  <w:tcW w:w="845"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北面</w:t>
                  </w:r>
                </w:p>
              </w:tc>
              <w:tc>
                <w:tcPr>
                  <w:tcW w:w="901"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330</w:t>
                  </w:r>
                </w:p>
              </w:tc>
              <w:tc>
                <w:tcPr>
                  <w:tcW w:w="1163" w:type="dxa"/>
                  <w:vMerge w:val="restart"/>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627" w:type="dxa"/>
                  <w:vMerge w:val="continue"/>
                  <w:vAlign w:val="center"/>
                </w:tcPr>
                <w:p>
                  <w:pPr>
                    <w:autoSpaceDE w:val="0"/>
                    <w:autoSpaceDN w:val="0"/>
                    <w:adjustRightInd w:val="0"/>
                    <w:jc w:val="center"/>
                    <w:rPr>
                      <w:color w:val="000000" w:themeColor="text1"/>
                      <w:spacing w:val="-10"/>
                      <w:szCs w:val="21"/>
                      <w14:textFill>
                        <w14:solidFill>
                          <w14:schemeClr w14:val="tx1"/>
                        </w14:solidFill>
                      </w14:textFill>
                    </w:rPr>
                  </w:pPr>
                </w:p>
              </w:tc>
              <w:tc>
                <w:tcPr>
                  <w:tcW w:w="1526" w:type="dxa"/>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散户2</w:t>
                  </w:r>
                </w:p>
              </w:tc>
              <w:tc>
                <w:tcPr>
                  <w:tcW w:w="1037" w:type="dxa"/>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3.113970</w:t>
                  </w:r>
                  <w:r>
                    <w:rPr>
                      <w:color w:val="000000" w:themeColor="text1"/>
                      <w:szCs w:val="21"/>
                      <w14:textFill>
                        <w14:solidFill>
                          <w14:schemeClr w14:val="tx1"/>
                        </w14:solidFill>
                      </w14:textFill>
                    </w:rPr>
                    <w:t>E</w:t>
                  </w:r>
                </w:p>
              </w:tc>
              <w:tc>
                <w:tcPr>
                  <w:tcW w:w="942" w:type="dxa"/>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5.3349</w:t>
                  </w:r>
                  <w:r>
                    <w:rPr>
                      <w:color w:val="000000" w:themeColor="text1"/>
                      <w:szCs w:val="21"/>
                      <w14:textFill>
                        <w14:solidFill>
                          <w14:schemeClr w14:val="tx1"/>
                        </w14:solidFill>
                      </w14:textFill>
                    </w:rPr>
                    <w:t>N</w:t>
                  </w:r>
                </w:p>
              </w:tc>
              <w:tc>
                <w:tcPr>
                  <w:tcW w:w="71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7人</w:t>
                  </w:r>
                </w:p>
              </w:tc>
              <w:tc>
                <w:tcPr>
                  <w:tcW w:w="708"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居住区</w:t>
                  </w:r>
                </w:p>
              </w:tc>
              <w:tc>
                <w:tcPr>
                  <w:tcW w:w="845"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面</w:t>
                  </w:r>
                </w:p>
              </w:tc>
              <w:tc>
                <w:tcPr>
                  <w:tcW w:w="901"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257</w:t>
                  </w:r>
                </w:p>
              </w:tc>
              <w:tc>
                <w:tcPr>
                  <w:tcW w:w="1163"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627" w:type="dxa"/>
                  <w:vMerge w:val="continue"/>
                  <w:vAlign w:val="center"/>
                </w:tcPr>
                <w:p>
                  <w:pPr>
                    <w:autoSpaceDE w:val="0"/>
                    <w:autoSpaceDN w:val="0"/>
                    <w:adjustRightInd w:val="0"/>
                    <w:jc w:val="center"/>
                    <w:rPr>
                      <w:color w:val="000000" w:themeColor="text1"/>
                      <w:spacing w:val="-10"/>
                      <w:szCs w:val="21"/>
                      <w14:textFill>
                        <w14:solidFill>
                          <w14:schemeClr w14:val="tx1"/>
                        </w14:solidFill>
                      </w14:textFill>
                    </w:rPr>
                  </w:pPr>
                </w:p>
              </w:tc>
              <w:tc>
                <w:tcPr>
                  <w:tcW w:w="1526" w:type="dxa"/>
                  <w:vAlign w:val="center"/>
                </w:tcPr>
                <w:p>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竹沟</w:t>
                  </w:r>
                  <w:r>
                    <w:rPr>
                      <w:color w:val="000000" w:themeColor="text1"/>
                      <w:szCs w:val="21"/>
                      <w14:textFill>
                        <w14:solidFill>
                          <w14:schemeClr w14:val="tx1"/>
                        </w14:solidFill>
                      </w14:textFill>
                    </w:rPr>
                    <w:t>村</w:t>
                  </w:r>
                </w:p>
              </w:tc>
              <w:tc>
                <w:tcPr>
                  <w:tcW w:w="1037" w:type="dxa"/>
                  <w:vAlign w:val="center"/>
                </w:tcPr>
                <w:p>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3.113325</w:t>
                  </w:r>
                  <w:r>
                    <w:rPr>
                      <w:color w:val="000000" w:themeColor="text1"/>
                      <w:szCs w:val="21"/>
                      <w14:textFill>
                        <w14:solidFill>
                          <w14:schemeClr w14:val="tx1"/>
                        </w14:solidFill>
                      </w14:textFill>
                    </w:rPr>
                    <w:t>E</w:t>
                  </w:r>
                </w:p>
              </w:tc>
              <w:tc>
                <w:tcPr>
                  <w:tcW w:w="942"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25.3407</w:t>
                  </w:r>
                  <w:r>
                    <w:rPr>
                      <w:color w:val="000000" w:themeColor="text1"/>
                      <w:szCs w:val="21"/>
                      <w14:textFill>
                        <w14:solidFill>
                          <w14:schemeClr w14:val="tx1"/>
                        </w14:solidFill>
                      </w14:textFill>
                    </w:rPr>
                    <w:t>N</w:t>
                  </w:r>
                </w:p>
              </w:tc>
              <w:tc>
                <w:tcPr>
                  <w:tcW w:w="716"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300人</w:t>
                  </w:r>
                </w:p>
              </w:tc>
              <w:tc>
                <w:tcPr>
                  <w:tcW w:w="708" w:type="dxa"/>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居住区</w:t>
                  </w:r>
                </w:p>
              </w:tc>
              <w:tc>
                <w:tcPr>
                  <w:tcW w:w="845"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面</w:t>
                  </w:r>
                </w:p>
              </w:tc>
              <w:tc>
                <w:tcPr>
                  <w:tcW w:w="901" w:type="dxa"/>
                  <w:vAlign w:val="center"/>
                </w:tcPr>
                <w:p>
                  <w:pPr>
                    <w:jc w:val="center"/>
                    <w:rPr>
                      <w:color w:val="000000" w:themeColor="text1"/>
                      <w:spacing w:val="-10"/>
                      <w:szCs w:val="21"/>
                      <w14:textFill>
                        <w14:solidFill>
                          <w14:schemeClr w14:val="tx1"/>
                        </w14:solidFill>
                      </w14:textFill>
                    </w:rPr>
                  </w:pPr>
                  <w:r>
                    <w:rPr>
                      <w:rFonts w:hint="eastAsia"/>
                      <w:color w:val="000000" w:themeColor="text1"/>
                      <w:szCs w:val="21"/>
                      <w14:textFill>
                        <w14:solidFill>
                          <w14:schemeClr w14:val="tx1"/>
                        </w14:solidFill>
                      </w14:textFill>
                    </w:rPr>
                    <w:t>430</w:t>
                  </w:r>
                </w:p>
              </w:tc>
              <w:tc>
                <w:tcPr>
                  <w:tcW w:w="1163" w:type="dxa"/>
                  <w:vMerge w:val="continue"/>
                  <w:vAlign w:val="center"/>
                </w:tcPr>
                <w:p>
                  <w:pPr>
                    <w:autoSpaceDE w:val="0"/>
                    <w:autoSpaceDN w:val="0"/>
                    <w:adjustRightInd w:val="0"/>
                    <w:jc w:val="center"/>
                    <w:rPr>
                      <w:color w:val="000000" w:themeColor="text1"/>
                      <w:szCs w:val="21"/>
                      <w14:textFill>
                        <w14:solidFill>
                          <w14:schemeClr w14:val="tx1"/>
                        </w14:solidFill>
                      </w14:textFill>
                    </w:rPr>
                  </w:pPr>
                </w:p>
              </w:tc>
            </w:tr>
          </w:tbl>
          <w:p>
            <w:pPr>
              <w:adjustRightInd w:val="0"/>
              <w:snapToGrid w:val="0"/>
              <w:spacing w:before="120" w:beforeLines="50"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w:t>
            </w:r>
            <w:r>
              <w:rPr>
                <w:b/>
                <w:bCs/>
                <w:color w:val="000000" w:themeColor="text1"/>
                <w:kern w:val="0"/>
                <w:sz w:val="24"/>
                <w14:textFill>
                  <w14:solidFill>
                    <w14:schemeClr w14:val="tx1"/>
                  </w14:solidFill>
                </w14:textFill>
              </w:rPr>
              <w:t>、环境风险分析</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（1）大气环境风险分析</w:t>
            </w:r>
          </w:p>
          <w:p>
            <w:pPr>
              <w:topLinePunct/>
              <w:adjustRightInd w:val="0"/>
              <w:snapToGrid w:val="0"/>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发生泄漏风险分析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危废暂存库</w:t>
            </w:r>
            <w:r>
              <w:rPr>
                <w:color w:val="000000" w:themeColor="text1"/>
                <w:sz w:val="24"/>
                <w14:textFill>
                  <w14:solidFill>
                    <w14:schemeClr w14:val="tx1"/>
                  </w14:solidFill>
                </w14:textFill>
              </w:rPr>
              <w:t>油类物质发生泄漏事故后，一方面会有一定量烃类物质挥发到空气中，可能造成空气中非甲烷总烃超标，另一方面作为人体吸入烃类物质会出现可乏力、头晕、头痛、恶心，严重者可致死。此外，油类物质泄漏还可能</w:t>
            </w:r>
            <w:r>
              <w:rPr>
                <w:rFonts w:hint="eastAsia"/>
                <w:color w:val="000000" w:themeColor="text1"/>
                <w:sz w:val="24"/>
                <w:lang w:eastAsia="zh-CN"/>
                <w14:textFill>
                  <w14:solidFill>
                    <w14:schemeClr w14:val="tx1"/>
                  </w14:solidFill>
                </w14:textFill>
              </w:rPr>
              <w:t>引</w:t>
            </w:r>
            <w:r>
              <w:rPr>
                <w:color w:val="000000" w:themeColor="text1"/>
                <w:sz w:val="24"/>
                <w14:textFill>
                  <w14:solidFill>
                    <w14:schemeClr w14:val="tx1"/>
                  </w14:solidFill>
                </w14:textFill>
              </w:rPr>
              <w:t>发火灾、爆炸事故，若渗入土壤，改变土壤酸碱度，影响植物生长，造成植物死亡，对地下水、土壤、大气环境造成影响。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雾炮机</w:t>
            </w:r>
            <w:r>
              <w:rPr>
                <w:color w:val="000000" w:themeColor="text1"/>
                <w:sz w:val="24"/>
                <w14:textFill>
                  <w14:solidFill>
                    <w14:schemeClr w14:val="tx1"/>
                  </w14:solidFill>
                </w14:textFill>
              </w:rPr>
              <w:t>发生故障，</w:t>
            </w:r>
            <w:r>
              <w:rPr>
                <w:rFonts w:hint="eastAsia"/>
                <w:color w:val="000000" w:themeColor="text1"/>
                <w:sz w:val="24"/>
                <w14:textFill>
                  <w14:solidFill>
                    <w14:schemeClr w14:val="tx1"/>
                  </w14:solidFill>
                </w14:textFill>
              </w:rPr>
              <w:t>颗粒物</w:t>
            </w:r>
            <w:r>
              <w:rPr>
                <w:color w:val="000000" w:themeColor="text1"/>
                <w:sz w:val="24"/>
                <w14:textFill>
                  <w14:solidFill>
                    <w14:schemeClr w14:val="tx1"/>
                  </w14:solidFill>
                </w14:textFill>
              </w:rPr>
              <w:t>未经处理超标排放，造成大气环境污染。</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、环境风险防范措施及应急要求</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.1、环境风险防范措施</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（1）泄漏事故风险防范措施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 xml:space="preserve">加强废气治理设施巡查，做好废气定期监测工作，防止因故障导致的环境污染问题。           </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严格按照施工质量控制标准要求施工，防止防渗膜破损；</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、废机油设置单独的储存容器，并定期将废机油交由有资质单位进行处理。</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、危险废物暂存间需满足“三防”（防渗漏、防雨淋、防流失）要求，并设置标识牌。</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w:t>
            </w:r>
            <w:r>
              <w:rPr>
                <w:color w:val="000000" w:themeColor="text1"/>
                <w:kern w:val="0"/>
                <w:sz w:val="24"/>
                <w14:textFill>
                  <w14:solidFill>
                    <w14:schemeClr w14:val="tx1"/>
                  </w14:solidFill>
                </w14:textFill>
              </w:rPr>
              <w:t>、废机油产生及处置须记录有台账，废矿物油到一定量时应及时委托有资质单位处置。</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（2）火灾事故风险防范措施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①按规范使用各类电器设备，避免漏电、短路、过流、过载、过热等而造成的绝缘失效或线路着火，定期检查厂房内的电源、线路，对老化电线及时更换。</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②禁止在废机油等存放处有明火、吸烟、焊接等，</w:t>
            </w:r>
            <w:r>
              <w:rPr>
                <w:rFonts w:hint="eastAsia"/>
                <w:color w:val="000000" w:themeColor="text1"/>
                <w:kern w:val="0"/>
                <w:sz w:val="24"/>
                <w14:textFill>
                  <w14:solidFill>
                    <w14:schemeClr w14:val="tx1"/>
                  </w14:solidFill>
                </w14:textFill>
              </w:rPr>
              <w:t>危废暂存库</w:t>
            </w:r>
            <w:r>
              <w:rPr>
                <w:color w:val="000000" w:themeColor="text1"/>
                <w:kern w:val="0"/>
                <w:sz w:val="24"/>
                <w14:textFill>
                  <w14:solidFill>
                    <w14:schemeClr w14:val="tx1"/>
                  </w14:solidFill>
                </w14:textFill>
              </w:rPr>
              <w:t>应在显眼位置设置禁火标识。</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③定期对操作人员进行安全生产与安全知识培训，并制定严格的安全操作规程，切实加强生产过程中的安全控制，保证劳动安全，防止意外事故的发生。</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（3）废气处置设施防损措施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①加强设备日常的维护和管理，定期对废气处置设施的各类设备进行保养、检查和维修。</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②进行安全化管理来改善设备的安全性、改进工艺的安全性；完善标准及操作规程，定期进行安全检查。</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③进一步加强职工的岗位操作培训，提高职工的安全意识和风险防范能力，规范操作，将安全隐患降到最低。</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6</w:t>
            </w:r>
            <w:r>
              <w:rPr>
                <w:b/>
                <w:bCs/>
                <w:color w:val="000000" w:themeColor="text1"/>
                <w:kern w:val="0"/>
                <w:sz w:val="24"/>
                <w14:textFill>
                  <w14:solidFill>
                    <w14:schemeClr w14:val="tx1"/>
                  </w14:solidFill>
                </w14:textFill>
              </w:rPr>
              <w:t>.2、应急措施</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（1）泄漏事故应急措施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A、对废矿物油储存场所发生的泄漏，可采取倒桶等方法，尽量将发生泄漏的桶体内的物料转移，在此基础上堵漏。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B、若桶体发生泄漏、火灾、爆炸等事故，在做好堵漏、灭火的同时，应做好临近桶体的保护工作，避免连锁效应。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C、堵漏过程中使用的堵漏材料，应妥善收集、暂存于</w:t>
            </w:r>
            <w:r>
              <w:rPr>
                <w:rFonts w:hint="eastAsia"/>
                <w:color w:val="000000" w:themeColor="text1"/>
                <w:sz w:val="24"/>
                <w14:textFill>
                  <w14:solidFill>
                    <w14:schemeClr w14:val="tx1"/>
                  </w14:solidFill>
                </w14:textFill>
              </w:rPr>
              <w:t>危险废物贮存库</w:t>
            </w:r>
            <w:r>
              <w:rPr>
                <w:color w:val="000000" w:themeColor="text1"/>
                <w:sz w:val="24"/>
                <w14:textFill>
                  <w14:solidFill>
                    <w14:schemeClr w14:val="tx1"/>
                  </w14:solidFill>
                </w14:textFill>
              </w:rPr>
              <w:t>，定期委托有资质的单位回收处置，禁止随意丢弃、排放，对环境产生二次污染。</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（2）火灾事故应急措施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①在保证安全情况下将人员转移至安全地带，并将其他易燃易爆物品及时转移</w:t>
            </w:r>
            <w:r>
              <w:rPr>
                <w:rFonts w:hint="eastAsia"/>
                <w:color w:val="000000" w:themeColor="text1"/>
                <w:kern w:val="0"/>
                <w:sz w:val="24"/>
                <w:lang w:eastAsia="zh-CN"/>
                <w14:textFill>
                  <w14:solidFill>
                    <w14:schemeClr w14:val="tx1"/>
                  </w14:solidFill>
                </w14:textFill>
              </w:rPr>
              <w:t>至</w:t>
            </w:r>
            <w:r>
              <w:rPr>
                <w:color w:val="000000" w:themeColor="text1"/>
                <w:kern w:val="0"/>
                <w:sz w:val="24"/>
                <w14:textFill>
                  <w14:solidFill>
                    <w14:schemeClr w14:val="tx1"/>
                  </w14:solidFill>
                </w14:textFill>
              </w:rPr>
              <w:t>安全位置。并第一时间通知周边村民，必要时让村民疏散至安全地带。</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②使用厂区消防器材进行灭火，尽量将火势控制在一定范围内，防止其蔓延。</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③事故处理过程中对事故区域设置围堰收容泄漏的消防废水和废物，采用抽水泵、水管联合作业将围堵的消防废水收集引流或收集至应急事故池内。</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④事故处置完毕后，对处置过程中产生的消防废水、废物进行收集存储，后期交由资质单位进行集中处置。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w:t>
            </w:r>
            <w:r>
              <w:rPr>
                <w:color w:val="000000" w:themeColor="text1"/>
                <w:sz w:val="24"/>
                <w14:textFill>
                  <w14:solidFill>
                    <w14:schemeClr w14:val="tx1"/>
                  </w14:solidFill>
                </w14:textFill>
              </w:rPr>
              <w:t>迅速撤离火灾污染区人员至上风处，并立即进行隔离。应急处理人员戴自给正压式呼吸器，穿防毒服。尽可能切断泄漏源。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t>应急处理人员用灭火器紧急处理，及时报告，根据情况向厂内应急中心求救或拨打119。</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⑦</w:t>
            </w:r>
            <w:r>
              <w:rPr>
                <w:color w:val="000000" w:themeColor="text1"/>
                <w:sz w:val="24"/>
                <w14:textFill>
                  <w14:solidFill>
                    <w14:schemeClr w14:val="tx1"/>
                  </w14:solidFill>
                </w14:textFill>
              </w:rPr>
              <w:t>切断火势蔓延的途径，冷却和疏散受火势威胁的密闭容器和可燃物，控制燃烧范围，并积极抢救受伤和被困人员。合理通风，加速扩散。</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⑧</w:t>
            </w:r>
            <w:r>
              <w:rPr>
                <w:color w:val="000000" w:themeColor="text1"/>
                <w:sz w:val="24"/>
                <w14:textFill>
                  <w14:solidFill>
                    <w14:schemeClr w14:val="tx1"/>
                  </w14:solidFill>
                </w14:textFill>
              </w:rPr>
              <w:t>当人体吸入有毒气体引起中毒，须迅速脱离现场至空气新鲜处，情节严重的要立即就医。</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sz w:val="24"/>
                <w14:textFill>
                  <w14:solidFill>
                    <w14:schemeClr w14:val="tx1"/>
                  </w14:solidFill>
                </w14:textFill>
              </w:rPr>
              <w:t>应急预案及措施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保证企业及人民生命财产的安全，防止重大火灾事故或危险废物泄漏事故的发生，并在发生事故时，能迅速有序地开展救援工作，尽最大努力减少事故的危害和损失，企业应根据环境保护部印发的《突发环境事件应急管理办法》（部令第34号）、《企业突发环境事件风险分级方法》（HJ941-2018）、《企业事业单位突发环境事件应急预案评审工作指南（试行）（环办应急〔2018〕8号），以及《云南省企业单位突发环境事件应急预案指导目录和编制要点》（试行）（云环应发〔2013〕12号）的要求编制相关的应急预案，并报</w:t>
            </w:r>
            <w:r>
              <w:rPr>
                <w:rFonts w:hint="eastAsia"/>
                <w:color w:val="000000" w:themeColor="text1"/>
                <w:sz w:val="24"/>
                <w14:textFill>
                  <w14:solidFill>
                    <w14:schemeClr w14:val="tx1"/>
                  </w14:solidFill>
                </w14:textFill>
              </w:rPr>
              <w:t>昆明市生态环境局寻甸分局</w:t>
            </w:r>
            <w:r>
              <w:rPr>
                <w:color w:val="000000" w:themeColor="text1"/>
                <w:sz w:val="24"/>
                <w14:textFill>
                  <w14:solidFill>
                    <w14:schemeClr w14:val="tx1"/>
                  </w14:solidFill>
                </w14:textFill>
              </w:rPr>
              <w:t>备案。</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w:t>
            </w:r>
            <w:r>
              <w:rPr>
                <w:b/>
                <w:bCs/>
                <w:color w:val="000000" w:themeColor="text1"/>
                <w:kern w:val="0"/>
                <w:sz w:val="24"/>
                <w14:textFill>
                  <w14:solidFill>
                    <w14:schemeClr w14:val="tx1"/>
                  </w14:solidFill>
                </w14:textFill>
              </w:rPr>
              <w:t>、分析结论</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存在的危险物质数量较小，对环境造成污染的风险较小。通过对风险物质的存储、使用进行严格管控，对风险源进行监控，同时配备相应的应急物资，设置应急池等风险防范措施后，可以有效减少风险事故的发生，并有效控制环境风险事故发生后对外环境的影响。</w:t>
            </w:r>
          </w:p>
          <w:p>
            <w:pPr>
              <w:pStyle w:val="17"/>
              <w:adjustRightInd w:val="0"/>
              <w:spacing w:line="360" w:lineRule="auto"/>
              <w:ind w:firstLine="480" w:firstLineChars="200"/>
              <w:rPr>
                <w:color w:val="000000" w:themeColor="text1"/>
                <w:sz w:val="24"/>
                <w:szCs w:val="24"/>
                <w14:textFill>
                  <w14:solidFill>
                    <w14:schemeClr w14:val="tx1"/>
                  </w14:solidFill>
                </w14:textFill>
              </w:rPr>
            </w:pPr>
          </w:p>
          <w:p>
            <w:pPr>
              <w:pStyle w:val="17"/>
              <w:adjustRightInd w:val="0"/>
              <w:spacing w:line="360" w:lineRule="auto"/>
              <w:ind w:firstLine="480" w:firstLineChars="200"/>
              <w:rPr>
                <w:color w:val="000000" w:themeColor="text1"/>
                <w:sz w:val="24"/>
                <w:szCs w:val="24"/>
                <w14:textFill>
                  <w14:solidFill>
                    <w14:schemeClr w14:val="tx1"/>
                  </w14:solidFill>
                </w14:textFill>
              </w:rPr>
            </w:pPr>
          </w:p>
          <w:p>
            <w:pPr>
              <w:pStyle w:val="17"/>
              <w:adjustRightInd w:val="0"/>
              <w:spacing w:line="360" w:lineRule="auto"/>
              <w:rPr>
                <w:bCs/>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9" w:hRule="atLeast"/>
          <w:jc w:val="center"/>
        </w:trPr>
        <w:tc>
          <w:tcPr>
            <w:tcW w:w="288"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pStyle w:val="19"/>
              <w:adjustRightInd w:val="0"/>
              <w:snapToGrid w:val="0"/>
              <w:spacing w:before="0" w:beforeAutospacing="0" w:after="0" w:afterAutospacing="0"/>
              <w:jc w:val="center"/>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措施</w:t>
            </w:r>
          </w:p>
        </w:tc>
        <w:tc>
          <w:tcPr>
            <w:tcW w:w="8693" w:type="dxa"/>
            <w:vMerge w:val="continue"/>
            <w:vAlign w:val="center"/>
          </w:tcPr>
          <w:p>
            <w:pPr>
              <w:pStyle w:val="17"/>
              <w:adjustRightInd w:val="0"/>
              <w:spacing w:line="360" w:lineRule="auto"/>
              <w:rPr>
                <w:bCs/>
                <w:color w:val="000000" w:themeColor="text1"/>
                <w:sz w:val="24"/>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35" w:name="_Toc11957"/>
      <w:r>
        <w:rPr>
          <w:rFonts w:ascii="Times New Roman" w:hAnsi="Times New Roman" w:eastAsia="黑体"/>
          <w:snapToGrid w:val="0"/>
          <w:color w:val="000000" w:themeColor="text1"/>
          <w:sz w:val="30"/>
          <w:szCs w:val="30"/>
          <w14:textFill>
            <w14:solidFill>
              <w14:schemeClr w14:val="tx1"/>
            </w14:solidFill>
          </w14:textFill>
        </w:rPr>
        <w:t>五、</w:t>
      </w:r>
      <w:bookmarkStart w:id="36"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35"/>
      <w:bookmarkEnd w:id="36"/>
    </w:p>
    <w:tbl>
      <w:tblPr>
        <w:tblStyle w:val="23"/>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tcBorders>
              <w:tl2br w:val="single" w:color="auto" w:sz="4" w:space="0"/>
            </w:tcBorders>
          </w:tcPr>
          <w:p>
            <w:pPr>
              <w:adjustRightInd w:val="0"/>
              <w:snapToGrid w:val="0"/>
              <w:ind w:firstLine="84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名称)/污染源</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175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无组织粉尘</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厂房密闭、移动式雾炮机喷雾除尘</w:t>
            </w:r>
          </w:p>
        </w:tc>
        <w:tc>
          <w:tcPr>
            <w:tcW w:w="175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《大气污染物综合排放标准》（GB16297-1996）表2无组织排放限值要求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发酵异味</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1755"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厂房密闭、喷洒生物除臭剂、车间安装抽排风系统</w:t>
            </w:r>
          </w:p>
        </w:tc>
        <w:tc>
          <w:tcPr>
            <w:tcW w:w="175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达到《恶臭污染物排放标准》(GB14554-93)</w:t>
            </w:r>
            <w:r>
              <w:rPr>
                <w:rFonts w:hint="eastAsia"/>
                <w:color w:val="000000" w:themeColor="text1"/>
                <w:szCs w:val="21"/>
                <w14:textFill>
                  <w14:solidFill>
                    <w14:schemeClr w14:val="tx1"/>
                  </w14:solidFill>
                </w14:textFill>
              </w:rPr>
              <w:t>表1中二级</w:t>
            </w:r>
            <w:r>
              <w:rPr>
                <w:color w:val="000000" w:themeColor="text1"/>
                <w:szCs w:val="21"/>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COD、SS、TP、TN、氨氮</w:t>
            </w:r>
            <w:r>
              <w:rPr>
                <w:rFonts w:hint="eastAsia"/>
                <w:color w:val="000000" w:themeColor="text1"/>
                <w:szCs w:val="21"/>
                <w14:textFill>
                  <w14:solidFill>
                    <w14:schemeClr w14:val="tx1"/>
                  </w14:solidFill>
                </w14:textFill>
              </w:rPr>
              <w:t>、动植物油</w:t>
            </w:r>
          </w:p>
        </w:tc>
        <w:tc>
          <w:tcPr>
            <w:tcW w:w="1755"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依托已建化粪池、一体化污水处理设备处理后回用于绿化和洒水降尘</w:t>
            </w:r>
          </w:p>
        </w:tc>
        <w:tc>
          <w:tcPr>
            <w:tcW w:w="1757" w:type="dxa"/>
            <w:vAlign w:val="center"/>
          </w:tcPr>
          <w:p>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风机、破碎机等机械设备</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减震、厂房隔声</w:t>
            </w:r>
          </w:p>
        </w:tc>
        <w:tc>
          <w:tcPr>
            <w:tcW w:w="175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5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755"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废包装袋</w:t>
            </w:r>
          </w:p>
        </w:tc>
        <w:tc>
          <w:tcPr>
            <w:tcW w:w="1755" w:type="dxa"/>
            <w:vAlign w:val="center"/>
          </w:tcPr>
          <w:p>
            <w:pPr>
              <w:adjustRightInd w:val="0"/>
              <w:snapToGrid w:val="0"/>
              <w:jc w:val="center"/>
              <w:rPr>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定期外售资源回收公司</w:t>
            </w:r>
          </w:p>
        </w:tc>
        <w:tc>
          <w:tcPr>
            <w:tcW w:w="1757"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1778" w:type="dxa"/>
            <w:vMerge w:val="continue"/>
            <w:vAlign w:val="center"/>
          </w:tcPr>
          <w:p>
            <w:pPr>
              <w:adjustRightInd w:val="0"/>
              <w:snapToGrid w:val="0"/>
              <w:jc w:val="center"/>
              <w:rPr>
                <w:color w:val="000000" w:themeColor="text1"/>
                <w14:textFill>
                  <w14:solidFill>
                    <w14:schemeClr w14:val="tx1"/>
                  </w14:solidFill>
                </w14:textFill>
              </w:rPr>
            </w:pPr>
          </w:p>
        </w:tc>
        <w:tc>
          <w:tcPr>
            <w:tcW w:w="1755" w:type="dxa"/>
            <w:vMerge w:val="continue"/>
            <w:vAlign w:val="center"/>
          </w:tcPr>
          <w:p>
            <w:pPr>
              <w:adjustRightInd w:val="0"/>
              <w:snapToGrid w:val="0"/>
              <w:jc w:val="center"/>
              <w:rPr>
                <w:color w:val="000000" w:themeColor="text1"/>
                <w14:textFill>
                  <w14:solidFill>
                    <w14:schemeClr w14:val="tx1"/>
                  </w14:solidFill>
                </w14:textFill>
              </w:rPr>
            </w:pPr>
          </w:p>
        </w:tc>
        <w:tc>
          <w:tcPr>
            <w:tcW w:w="175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收尘灰</w:t>
            </w:r>
          </w:p>
        </w:tc>
        <w:tc>
          <w:tcPr>
            <w:tcW w:w="175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统一收集后回用于生产</w:t>
            </w:r>
          </w:p>
        </w:tc>
        <w:tc>
          <w:tcPr>
            <w:tcW w:w="1757"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1755" w:type="dxa"/>
            <w:vMerge w:val="restart"/>
            <w:vAlign w:val="center"/>
          </w:tcPr>
          <w:p>
            <w:pPr>
              <w:adjustRightInd w:val="0"/>
              <w:snapToGrid w:val="0"/>
              <w:jc w:val="center"/>
              <w:rPr>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定期外售资源回收公司</w:t>
            </w:r>
          </w:p>
        </w:tc>
        <w:tc>
          <w:tcPr>
            <w:tcW w:w="1757"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1778"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机修</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17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统一收集后暂存于危险废物暂存间，委托资质单位清运处置</w:t>
            </w:r>
          </w:p>
        </w:tc>
        <w:tc>
          <w:tcPr>
            <w:tcW w:w="1757"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7022" w:type="dxa"/>
            <w:gridSpan w:val="4"/>
            <w:vAlign w:val="center"/>
          </w:tcPr>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简易防渗：</w:t>
            </w:r>
            <w:r>
              <w:rPr>
                <w:rFonts w:hint="eastAsia" w:eastAsiaTheme="minorEastAsia"/>
                <w:color w:val="000000" w:themeColor="text1"/>
                <w14:textFill>
                  <w14:solidFill>
                    <w14:schemeClr w14:val="tx1"/>
                  </w14:solidFill>
                </w14:textFill>
              </w:rPr>
              <w:t>除重点防渗区、一般防渗区外的其他区域</w:t>
            </w:r>
            <w:r>
              <w:rPr>
                <w:rFonts w:eastAsiaTheme="minorEastAsia"/>
                <w:color w:val="000000" w:themeColor="text1"/>
                <w14:textFill>
                  <w14:solidFill>
                    <w14:schemeClr w14:val="tx1"/>
                  </w14:solidFill>
                </w14:textFill>
              </w:rPr>
              <w:t>，进行地面硬化即可。</w:t>
            </w:r>
          </w:p>
          <w:p>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一般防渗区：</w:t>
            </w:r>
            <w:r>
              <w:rPr>
                <w:rFonts w:hint="eastAsia" w:eastAsiaTheme="minorEastAsia"/>
                <w:color w:val="000000" w:themeColor="text1"/>
                <w14:textFill>
                  <w14:solidFill>
                    <w14:schemeClr w14:val="tx1"/>
                  </w14:solidFill>
                </w14:textFill>
              </w:rPr>
              <w:t>原料库、一般固废暂存库</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-7</w:t>
            </w:r>
            <w:r>
              <w:rPr>
                <w:rFonts w:eastAsiaTheme="minorEastAsia"/>
                <w:color w:val="000000" w:themeColor="text1"/>
                <w14:textFill>
                  <w14:solidFill>
                    <w14:schemeClr w14:val="tx1"/>
                  </w14:solidFill>
                </w14:textFill>
              </w:rPr>
              <w:t>cm/s，等效黏土防渗层Mb≥1.5m。施工时采用防渗混凝土浇筑。</w:t>
            </w:r>
          </w:p>
          <w:p>
            <w:pPr>
              <w:adjustRightInd w:val="0"/>
              <w:snapToGrid w:val="0"/>
              <w:rPr>
                <w:color w:val="000000" w:themeColor="text1"/>
                <w:szCs w:val="21"/>
                <w14:textFill>
                  <w14:solidFill>
                    <w14:schemeClr w14:val="tx1"/>
                  </w14:solidFill>
                </w14:textFill>
              </w:rPr>
            </w:pPr>
            <w:r>
              <w:rPr>
                <w:rFonts w:eastAsiaTheme="minorEastAsia"/>
                <w:color w:val="000000" w:themeColor="text1"/>
                <w14:textFill>
                  <w14:solidFill>
                    <w14:schemeClr w14:val="tx1"/>
                  </w14:solidFill>
                </w14:textFill>
              </w:rPr>
              <w:t>重点防渗区：</w:t>
            </w:r>
            <w:r>
              <w:rPr>
                <w:rFonts w:hint="eastAsia" w:eastAsiaTheme="minorEastAsia"/>
                <w:color w:val="000000" w:themeColor="text1"/>
                <w14:textFill>
                  <w14:solidFill>
                    <w14:schemeClr w14:val="tx1"/>
                  </w14:solidFill>
                </w14:textFill>
              </w:rPr>
              <w:t>危废暂存库</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-10</w:t>
            </w:r>
            <w:r>
              <w:rPr>
                <w:rFonts w:eastAsiaTheme="minorEastAsia"/>
                <w:color w:val="000000" w:themeColor="text1"/>
                <w14:textFill>
                  <w14:solidFill>
                    <w14:schemeClr w14:val="tx1"/>
                  </w14:solidFill>
                </w14:textFill>
              </w:rPr>
              <w:t>cm/s，等效黏土防渗层Mb≥6.0m。施工时采用防渗混凝土浇筑，人工防渗材料衬层。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022"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022" w:type="dxa"/>
            <w:gridSpan w:val="4"/>
            <w:vAlign w:val="center"/>
          </w:tcPr>
          <w:p>
            <w:pPr>
              <w:numPr>
                <w:ilvl w:val="0"/>
                <w:numId w:val="5"/>
              </w:num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泄漏事故风险防范措施</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2、加强废气治理设施巡查，做好废气定期监测工作，防止因故障导致的环境污染问题。           </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3、严格按照施工质量控制标准要求施工，防止防渗膜破损；</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4、废机油设置单独的储存容器，并定期将废机油交由有资质单位进行处理。</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5、危险废物暂存间需满足“三防”（防渗漏、防雨淋、防流失）要求，并设置标识牌。</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6、废机油产生及处置须记录有台账，废矿物油到一定量时应及时委托有资质单位处置。</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（2）火灾事故风险防范措施</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①按规范使用各类电器设备，避免漏电、短路、过流、过载、过热等而造成的绝缘失效或线路着火，定期检查厂房内的电源、线路，对老化电线及时更换。</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②禁止在废机油等存放处有明火、吸烟、焊接等，危废暂存库应在显眼位置设置禁火标识。</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③定期对操作人员进行安全生产与安全知识培训，并制定严格的安全操作规程，切实加强生产过程中的安全控制，保证劳动安全，防止意外事故的发生。</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（3）废气处置设施防损措施</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①加强设备日常的维护和管理，定期对废气处置设施的各类设备进行保养、检查和维修。</w:t>
            </w:r>
          </w:p>
          <w:p>
            <w:pP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②进行安全化管理来改善设备的安全性、改进工艺的安全性；完善标准及操作规程，定期进行安全检查。</w:t>
            </w:r>
          </w:p>
          <w:p>
            <w:pPr>
              <w:rPr>
                <w:color w:val="000000" w:themeColor="text1"/>
                <w14:textFill>
                  <w14:solidFill>
                    <w14:schemeClr w14:val="tx1"/>
                  </w14:solidFill>
                </w14:textFill>
              </w:rPr>
            </w:pPr>
            <w:r>
              <w:rPr>
                <w:bCs/>
                <w:color w:val="000000" w:themeColor="text1"/>
                <w:szCs w:val="21"/>
                <w14:textFill>
                  <w14:solidFill>
                    <w14:schemeClr w14:val="tx1"/>
                  </w14:solidFill>
                </w14:textFill>
              </w:rPr>
              <w:t>③进一步加强职工的岗位操作培训，提高职工的安全意识和风险防范能力，规范操作，将安全隐患降到最低。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8"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022" w:type="dxa"/>
            <w:gridSpan w:val="4"/>
            <w:vAlign w:val="center"/>
          </w:tcPr>
          <w:p>
            <w:pPr>
              <w:pStyle w:val="17"/>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1、加强生产管理和设备设施的日常维护及监控工作。</w:t>
            </w:r>
          </w:p>
          <w:p>
            <w:pPr>
              <w:pStyle w:val="17"/>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2、加强环保设施的维护检修，保障环保设施的</w:t>
            </w:r>
            <w:r>
              <w:rPr>
                <w:rFonts w:hint="eastAsia"/>
                <w:color w:val="000000" w:themeColor="text1"/>
                <w:kern w:val="2"/>
                <w:sz w:val="21"/>
                <w:szCs w:val="21"/>
                <w14:textFill>
                  <w14:solidFill>
                    <w14:schemeClr w14:val="tx1"/>
                  </w14:solidFill>
                </w14:textFill>
              </w:rPr>
              <w:t>正常工作</w:t>
            </w:r>
            <w:r>
              <w:rPr>
                <w:color w:val="000000" w:themeColor="text1"/>
                <w:kern w:val="2"/>
                <w:sz w:val="21"/>
                <w:szCs w:val="21"/>
                <w14:textFill>
                  <w14:solidFill>
                    <w14:schemeClr w14:val="tx1"/>
                  </w14:solidFill>
                </w14:textFill>
              </w:rPr>
              <w:t>。</w:t>
            </w:r>
          </w:p>
          <w:p>
            <w:pPr>
              <w:pStyle w:val="17"/>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3、建立、健全生产环保规章制度。</w:t>
            </w:r>
          </w:p>
          <w:p>
            <w:pPr>
              <w:pStyle w:val="17"/>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4、严格在岗人员操作管理。</w:t>
            </w: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kern w:val="2"/>
                <w:sz w:val="21"/>
                <w:szCs w:val="21"/>
                <w14:textFill>
                  <w14:solidFill>
                    <w14:schemeClr w14:val="tx1"/>
                  </w14:solidFill>
                </w14:textFill>
              </w:rPr>
            </w:pPr>
          </w:p>
          <w:p>
            <w:pPr>
              <w:pStyle w:val="17"/>
              <w:rPr>
                <w:color w:val="000000" w:themeColor="text1"/>
                <w14:textFill>
                  <w14:solidFill>
                    <w14:schemeClr w14:val="tx1"/>
                  </w14:solidFill>
                </w14:textFill>
              </w:rPr>
            </w:pPr>
          </w:p>
        </w:tc>
      </w:tr>
    </w:tbl>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37" w:name="_Toc17513"/>
      <w:r>
        <w:rPr>
          <w:rFonts w:ascii="Times New Roman" w:hAnsi="Times New Roman" w:eastAsia="黑体"/>
          <w:snapToGrid w:val="0"/>
          <w:color w:val="000000" w:themeColor="text1"/>
          <w:sz w:val="30"/>
          <w:szCs w:val="30"/>
          <w14:textFill>
            <w14:solidFill>
              <w14:schemeClr w14:val="tx1"/>
            </w14:solidFill>
          </w14:textFill>
        </w:rPr>
        <w:t>六、结论</w:t>
      </w:r>
      <w:bookmarkEnd w:id="37"/>
    </w:p>
    <w:tbl>
      <w:tblPr>
        <w:tblStyle w:val="23"/>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14:textFill>
                  <w14:solidFill>
                    <w14:schemeClr w14:val="tx1"/>
                  </w14:solidFill>
                </w14:textFill>
              </w:rPr>
              <w:t>有机肥</w:t>
            </w:r>
            <w:r>
              <w:rPr>
                <w:color w:val="000000" w:themeColor="text1"/>
                <w:sz w:val="24"/>
                <w14:textFill>
                  <w14:solidFill>
                    <w14:schemeClr w14:val="tx1"/>
                  </w14:solidFill>
                </w14:textFill>
              </w:rPr>
              <w:t>生产项目，工程所在区域环境质量现状均满足相应的评价标准要求，本项目建设符合国家现行产业政策，符合当地相关规划，选址合理。本工程建设具有良好的经济效益、社会效益和环境效益。项目运营期产生的污染物较少，对环境造成的影响较小，通过严格执行环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三同时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制度，落实相应的污染防治措施，对周围的环境影响可以接受。从环保的角度来看，本项目的建设是可行的。</w:t>
            </w:r>
          </w:p>
          <w:p>
            <w:pPr>
              <w:spacing w:line="360" w:lineRule="auto"/>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19"/>
        <w:spacing w:before="120" w:beforeLines="50" w:beforeAutospacing="0" w:after="120" w:afterLines="5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38" w:name="_Toc3395"/>
      <w:r>
        <w:rPr>
          <w:rFonts w:hint="eastAsia" w:ascii="Times New Roman" w:hAnsi="Times New Roman" w:eastAsia="黑体"/>
          <w:snapToGrid w:val="0"/>
          <w:color w:val="000000" w:themeColor="text1"/>
          <w:sz w:val="30"/>
          <w:szCs w:val="30"/>
          <w14:textFill>
            <w14:solidFill>
              <w14:schemeClr w14:val="tx1"/>
            </w14:solidFill>
          </w14:textFill>
        </w:rPr>
        <w:t xml:space="preserve">       </w:t>
      </w:r>
      <w:r>
        <w:rPr>
          <w:rFonts w:ascii="Times New Roman" w:hAnsi="Times New Roman" w:eastAsia="黑体"/>
          <w:snapToGrid w:val="0"/>
          <w:color w:val="000000" w:themeColor="text1"/>
          <w:sz w:val="30"/>
          <w:szCs w:val="30"/>
          <w14:textFill>
            <w14:solidFill>
              <w14:schemeClr w14:val="tx1"/>
            </w14:solidFill>
          </w14:textFill>
        </w:rPr>
        <w:t>建设项目污染物排放量汇总表</w:t>
      </w:r>
      <w:bookmarkEnd w:id="38"/>
      <w:r>
        <w:rPr>
          <w:rFonts w:hint="eastAsia" w:ascii="Times New Roman" w:hAnsi="Times New Roman" w:eastAsia="黑体"/>
          <w:snapToGrid w:val="0"/>
          <w:color w:val="000000" w:themeColor="text1"/>
          <w:sz w:val="30"/>
          <w:szCs w:val="30"/>
          <w14:textFill>
            <w14:solidFill>
              <w14:schemeClr w14:val="tx1"/>
            </w14:solidFill>
          </w14:textFill>
        </w:rPr>
        <w:t xml:space="preserve">     单位：t/a</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2"/>
        <w:gridCol w:w="9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28"/>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28"/>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417"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2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28"/>
              <w:spacing w:beforeLines="0" w:afterLines="0" w:line="240" w:lineRule="auto"/>
              <w:ind w:firstLine="0"/>
              <w:jc w:val="both"/>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842"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943" w:type="dxa"/>
            <w:tcMar>
              <w:left w:w="28" w:type="dxa"/>
              <w:right w:w="28" w:type="dxa"/>
            </w:tcMar>
            <w:vAlign w:val="center"/>
          </w:tcPr>
          <w:p>
            <w:pPr>
              <w:pStyle w:val="28"/>
              <w:spacing w:beforeLines="0" w:afterLines="0" w:line="240" w:lineRule="auto"/>
              <w:ind w:firstLine="0"/>
              <w:jc w:val="both"/>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28"/>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88"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701" w:type="dxa"/>
            <w:vAlign w:val="center"/>
          </w:tcPr>
          <w:p>
            <w:pPr>
              <w:adjustRightInd w:val="0"/>
              <w:snapToGrid w:val="0"/>
              <w:ind w:firstLine="420" w:firstLineChars="200"/>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276" w:type="dxa"/>
            <w:vAlign w:val="center"/>
          </w:tcPr>
          <w:p>
            <w:pPr>
              <w:adjustRightInd w:val="0"/>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w:t>
            </w:r>
          </w:p>
        </w:tc>
        <w:tc>
          <w:tcPr>
            <w:tcW w:w="1701"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559"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0.073</w:t>
            </w:r>
          </w:p>
        </w:tc>
        <w:tc>
          <w:tcPr>
            <w:tcW w:w="1761"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842" w:type="dxa"/>
            <w:vAlign w:val="center"/>
          </w:tcPr>
          <w:p>
            <w:pPr>
              <w:widowControl/>
              <w:jc w:val="center"/>
              <w:textAlignment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0.073</w:t>
            </w:r>
          </w:p>
        </w:tc>
        <w:tc>
          <w:tcPr>
            <w:tcW w:w="943" w:type="dxa"/>
            <w:vAlign w:val="center"/>
          </w:tcPr>
          <w:p>
            <w:pPr>
              <w:widowControl/>
              <w:jc w:val="center"/>
              <w:textAlignment w:val="center"/>
              <w:rPr>
                <w:snapToGrid w:val="0"/>
                <w:color w:val="000000" w:themeColor="text1"/>
                <w:kern w:val="2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+0.073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417" w:type="dxa"/>
            <w:vAlign w:val="center"/>
          </w:tcPr>
          <w:p>
            <w:pPr>
              <w:pStyle w:val="28"/>
              <w:spacing w:beforeLines="0" w:afterLines="0" w:line="240" w:lineRule="auto"/>
              <w:ind w:firstLine="0"/>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生活污水</w:t>
            </w:r>
          </w:p>
        </w:tc>
        <w:tc>
          <w:tcPr>
            <w:tcW w:w="1701"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276"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701"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559"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761"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842" w:type="dxa"/>
            <w:vAlign w:val="center"/>
          </w:tcPr>
          <w:p>
            <w:pPr>
              <w:pStyle w:val="28"/>
              <w:spacing w:beforeLines="0" w:afterLines="0" w:line="240" w:lineRule="auto"/>
              <w:ind w:firstLine="840" w:firstLineChars="400"/>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943"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28"/>
              <w:spacing w:beforeLines="0" w:afterLines="0" w:line="240" w:lineRule="auto"/>
              <w:ind w:firstLine="0"/>
              <w:jc w:val="both"/>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一般工业固体废物</w:t>
            </w:r>
          </w:p>
        </w:tc>
        <w:tc>
          <w:tcPr>
            <w:tcW w:w="1417" w:type="dxa"/>
            <w:shd w:val="clear" w:color="auto" w:fill="auto"/>
            <w:vAlign w:val="center"/>
          </w:tcPr>
          <w:p>
            <w:pPr>
              <w:adjustRightInd w:val="0"/>
              <w:snapToGrid w:val="0"/>
              <w:rPr>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废包装材料</w:t>
            </w:r>
          </w:p>
        </w:tc>
        <w:tc>
          <w:tcPr>
            <w:tcW w:w="1701"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276"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0.2</w:t>
            </w:r>
          </w:p>
        </w:tc>
        <w:tc>
          <w:tcPr>
            <w:tcW w:w="1761"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842" w:type="dxa"/>
            <w:shd w:val="clear" w:color="auto" w:fill="auto"/>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0.2</w:t>
            </w:r>
          </w:p>
        </w:tc>
        <w:tc>
          <w:tcPr>
            <w:tcW w:w="943" w:type="dxa"/>
            <w:shd w:val="clear" w:color="auto" w:fill="auto"/>
            <w:vAlign w:val="center"/>
          </w:tcPr>
          <w:p>
            <w:pPr>
              <w:pStyle w:val="28"/>
              <w:spacing w:beforeLines="0" w:afterLines="0" w:line="240" w:lineRule="auto"/>
              <w:ind w:firstLine="210" w:firstLineChars="100"/>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588" w:type="dxa"/>
            <w:vMerge w:val="continue"/>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417" w:type="dxa"/>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pacing w:val="-10"/>
                <w:szCs w:val="21"/>
                <w14:textFill>
                  <w14:solidFill>
                    <w14:schemeClr w14:val="tx1"/>
                  </w14:solidFill>
                </w14:textFill>
              </w:rPr>
              <w:t>收尘灰</w:t>
            </w:r>
          </w:p>
        </w:tc>
        <w:tc>
          <w:tcPr>
            <w:tcW w:w="170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276"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0.659</w:t>
            </w:r>
          </w:p>
        </w:tc>
        <w:tc>
          <w:tcPr>
            <w:tcW w:w="176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842" w:type="dxa"/>
            <w:vAlign w:val="center"/>
          </w:tcPr>
          <w:p>
            <w:pPr>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0.659</w:t>
            </w:r>
          </w:p>
        </w:tc>
        <w:tc>
          <w:tcPr>
            <w:tcW w:w="943" w:type="dxa"/>
            <w:vAlign w:val="center"/>
          </w:tcPr>
          <w:p>
            <w:pP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+0.659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1588" w:type="dxa"/>
            <w:vAlign w:val="center"/>
          </w:tcPr>
          <w:p>
            <w:pPr>
              <w:pStyle w:val="28"/>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41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废矿物油</w:t>
            </w:r>
          </w:p>
        </w:tc>
        <w:tc>
          <w:tcPr>
            <w:tcW w:w="170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276"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70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559"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0.5</w:t>
            </w:r>
          </w:p>
        </w:tc>
        <w:tc>
          <w:tcPr>
            <w:tcW w:w="1761"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842" w:type="dxa"/>
            <w:vAlign w:val="center"/>
          </w:tcPr>
          <w:p>
            <w:pPr>
              <w:pStyle w:val="28"/>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0.5</w:t>
            </w:r>
          </w:p>
        </w:tc>
        <w:tc>
          <w:tcPr>
            <w:tcW w:w="943" w:type="dxa"/>
            <w:vAlign w:val="center"/>
          </w:tcPr>
          <w:p>
            <w:pPr>
              <w:pStyle w:val="28"/>
              <w:spacing w:beforeLines="0" w:afterLines="0" w:line="240" w:lineRule="auto"/>
              <w:ind w:firstLine="0"/>
              <w:jc w:val="both"/>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+0.5</w:t>
            </w:r>
          </w:p>
        </w:tc>
      </w:tr>
    </w:tbl>
    <w:p>
      <w:pPr>
        <w:pStyle w:val="28"/>
        <w:spacing w:before="192" w:beforeLines="80" w:after="24"/>
        <w:jc w:val="left"/>
        <w:rPr>
          <w:rFonts w:ascii="Times New Roman" w:eastAsia="黑体"/>
          <w:color w:val="000000" w:themeColor="text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TimesNewRoman">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6"/>
      </w:rPr>
    </w:pPr>
    <w:r>
      <w:fldChar w:fldCharType="begin"/>
    </w:r>
    <w:r>
      <w:rPr>
        <w:rStyle w:val="26"/>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87</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i/>
        <w:iCs/>
        <w:sz w:val="16"/>
        <w:szCs w:val="18"/>
      </w:rPr>
    </w:pPr>
    <w:r>
      <w:rPr>
        <w:rFonts w:hint="eastAsia" w:ascii="宋体" w:hAnsi="宋体" w:cs="宋体"/>
        <w:i/>
        <w:iCs/>
        <w:sz w:val="22"/>
        <w:szCs w:val="22"/>
      </w:rPr>
      <w:t>青思生物科技（寻甸）有限责任公司泥煤、草炭、磷矿石浮选尾矿综合利用项目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FBB84"/>
    <w:multiLevelType w:val="singleLevel"/>
    <w:tmpl w:val="944FBB84"/>
    <w:lvl w:ilvl="0" w:tentative="0">
      <w:start w:val="1"/>
      <w:numFmt w:val="chineseCounting"/>
      <w:suff w:val="nothing"/>
      <w:lvlText w:val="%1、"/>
      <w:lvlJc w:val="left"/>
      <w:rPr>
        <w:rFonts w:hint="eastAsia"/>
      </w:rPr>
    </w:lvl>
  </w:abstractNum>
  <w:abstractNum w:abstractNumId="1">
    <w:nsid w:val="FDA2C2AD"/>
    <w:multiLevelType w:val="singleLevel"/>
    <w:tmpl w:val="FDA2C2AD"/>
    <w:lvl w:ilvl="0" w:tentative="0">
      <w:start w:val="1"/>
      <w:numFmt w:val="decimal"/>
      <w:suff w:val="nothing"/>
      <w:lvlText w:val="（%1）"/>
      <w:lvlJc w:val="left"/>
    </w:lvl>
  </w:abstractNum>
  <w:abstractNum w:abstractNumId="2">
    <w:nsid w:val="576CEBC4"/>
    <w:multiLevelType w:val="singleLevel"/>
    <w:tmpl w:val="576CEBC4"/>
    <w:lvl w:ilvl="0" w:tentative="0">
      <w:start w:val="1"/>
      <w:numFmt w:val="decimal"/>
      <w:suff w:val="nothing"/>
      <w:lvlText w:val="%1、"/>
      <w:lvlJc w:val="left"/>
    </w:lvl>
  </w:abstractNum>
  <w:abstractNum w:abstractNumId="3">
    <w:nsid w:val="670799FE"/>
    <w:multiLevelType w:val="singleLevel"/>
    <w:tmpl w:val="670799FE"/>
    <w:lvl w:ilvl="0" w:tentative="0">
      <w:start w:val="2"/>
      <w:numFmt w:val="decimal"/>
      <w:suff w:val="nothing"/>
      <w:lvlText w:val="%1、"/>
      <w:lvlJc w:val="left"/>
    </w:lvl>
  </w:abstractNum>
  <w:abstractNum w:abstractNumId="4">
    <w:nsid w:val="7EACB9F9"/>
    <w:multiLevelType w:val="singleLevel"/>
    <w:tmpl w:val="7EACB9F9"/>
    <w:lvl w:ilvl="0" w:tentative="0">
      <w:start w:val="2"/>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TE0YzgwYmE1OWQzYTk0YWU1ODEzMzU0NTJlNTkifQ=="/>
  </w:docVars>
  <w:rsids>
    <w:rsidRoot w:val="00A14947"/>
    <w:rsid w:val="000060B3"/>
    <w:rsid w:val="0004364B"/>
    <w:rsid w:val="00061B1F"/>
    <w:rsid w:val="000733C4"/>
    <w:rsid w:val="00074783"/>
    <w:rsid w:val="00076ED0"/>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122A"/>
    <w:rsid w:val="00131F42"/>
    <w:rsid w:val="001357F1"/>
    <w:rsid w:val="00135D27"/>
    <w:rsid w:val="00140FA8"/>
    <w:rsid w:val="00142FEB"/>
    <w:rsid w:val="00143A2D"/>
    <w:rsid w:val="00145A41"/>
    <w:rsid w:val="00151675"/>
    <w:rsid w:val="00157435"/>
    <w:rsid w:val="0017504D"/>
    <w:rsid w:val="0017671A"/>
    <w:rsid w:val="00177422"/>
    <w:rsid w:val="0018276D"/>
    <w:rsid w:val="00184590"/>
    <w:rsid w:val="001870D1"/>
    <w:rsid w:val="0018781E"/>
    <w:rsid w:val="0019262D"/>
    <w:rsid w:val="001A1B35"/>
    <w:rsid w:val="001A48A2"/>
    <w:rsid w:val="001A6F61"/>
    <w:rsid w:val="001B72B8"/>
    <w:rsid w:val="001C1486"/>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D4FC5"/>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48B"/>
    <w:rsid w:val="003B420D"/>
    <w:rsid w:val="003C6C16"/>
    <w:rsid w:val="003D794D"/>
    <w:rsid w:val="003E3058"/>
    <w:rsid w:val="003E4244"/>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46B6"/>
    <w:rsid w:val="004E6946"/>
    <w:rsid w:val="004F18F6"/>
    <w:rsid w:val="004F1AD8"/>
    <w:rsid w:val="004F7BE9"/>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3807"/>
    <w:rsid w:val="00617CC3"/>
    <w:rsid w:val="0063182E"/>
    <w:rsid w:val="006377A6"/>
    <w:rsid w:val="00637A3D"/>
    <w:rsid w:val="006411EF"/>
    <w:rsid w:val="00665BAD"/>
    <w:rsid w:val="006748B8"/>
    <w:rsid w:val="006775C3"/>
    <w:rsid w:val="0069290A"/>
    <w:rsid w:val="00696833"/>
    <w:rsid w:val="0069775A"/>
    <w:rsid w:val="00697813"/>
    <w:rsid w:val="006A3EE8"/>
    <w:rsid w:val="006A72BF"/>
    <w:rsid w:val="006B03F2"/>
    <w:rsid w:val="006B37DC"/>
    <w:rsid w:val="006B4F68"/>
    <w:rsid w:val="006C0592"/>
    <w:rsid w:val="006C272E"/>
    <w:rsid w:val="006C5479"/>
    <w:rsid w:val="006D13B5"/>
    <w:rsid w:val="006E12FF"/>
    <w:rsid w:val="006E365E"/>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928B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7479"/>
    <w:rsid w:val="0094154D"/>
    <w:rsid w:val="0095155F"/>
    <w:rsid w:val="00954429"/>
    <w:rsid w:val="009563CE"/>
    <w:rsid w:val="00974C62"/>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9F2317"/>
    <w:rsid w:val="00A04F1B"/>
    <w:rsid w:val="00A0501B"/>
    <w:rsid w:val="00A14947"/>
    <w:rsid w:val="00A312E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219"/>
    <w:rsid w:val="00C972B1"/>
    <w:rsid w:val="00CA2CCE"/>
    <w:rsid w:val="00CA43FD"/>
    <w:rsid w:val="00CA7EF8"/>
    <w:rsid w:val="00CB14E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E090D"/>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890503"/>
    <w:rsid w:val="018E39C1"/>
    <w:rsid w:val="019B45FB"/>
    <w:rsid w:val="01C1595A"/>
    <w:rsid w:val="022B0E5C"/>
    <w:rsid w:val="023C0D74"/>
    <w:rsid w:val="02581525"/>
    <w:rsid w:val="02697903"/>
    <w:rsid w:val="02787934"/>
    <w:rsid w:val="02976587"/>
    <w:rsid w:val="02A23B34"/>
    <w:rsid w:val="02AE51B8"/>
    <w:rsid w:val="02F96569"/>
    <w:rsid w:val="034D6BB0"/>
    <w:rsid w:val="036505AD"/>
    <w:rsid w:val="038668A6"/>
    <w:rsid w:val="03B622D6"/>
    <w:rsid w:val="03EA7B21"/>
    <w:rsid w:val="03EE3B84"/>
    <w:rsid w:val="042D47E5"/>
    <w:rsid w:val="04345913"/>
    <w:rsid w:val="044208FA"/>
    <w:rsid w:val="045B0E6A"/>
    <w:rsid w:val="0479394D"/>
    <w:rsid w:val="04976320"/>
    <w:rsid w:val="049B4BDA"/>
    <w:rsid w:val="05180CDC"/>
    <w:rsid w:val="05223BF7"/>
    <w:rsid w:val="05942373"/>
    <w:rsid w:val="05E076A3"/>
    <w:rsid w:val="05F24570"/>
    <w:rsid w:val="05F2590E"/>
    <w:rsid w:val="05F83EAE"/>
    <w:rsid w:val="0609263B"/>
    <w:rsid w:val="060D7AD6"/>
    <w:rsid w:val="062F4C70"/>
    <w:rsid w:val="06385214"/>
    <w:rsid w:val="063E2DC2"/>
    <w:rsid w:val="063E7D85"/>
    <w:rsid w:val="064306C1"/>
    <w:rsid w:val="06576C15"/>
    <w:rsid w:val="068C04FB"/>
    <w:rsid w:val="0694735D"/>
    <w:rsid w:val="069F51C9"/>
    <w:rsid w:val="06A32343"/>
    <w:rsid w:val="06B15555"/>
    <w:rsid w:val="06DD2B50"/>
    <w:rsid w:val="072145DC"/>
    <w:rsid w:val="07293586"/>
    <w:rsid w:val="07295285"/>
    <w:rsid w:val="07636392"/>
    <w:rsid w:val="07770C56"/>
    <w:rsid w:val="07826A1A"/>
    <w:rsid w:val="07AB189B"/>
    <w:rsid w:val="07CB5B92"/>
    <w:rsid w:val="07D62EFE"/>
    <w:rsid w:val="07DC772B"/>
    <w:rsid w:val="07FC3D0E"/>
    <w:rsid w:val="081A09FC"/>
    <w:rsid w:val="08262A58"/>
    <w:rsid w:val="08461BF8"/>
    <w:rsid w:val="085B0674"/>
    <w:rsid w:val="08671954"/>
    <w:rsid w:val="088D1BEC"/>
    <w:rsid w:val="08C74640"/>
    <w:rsid w:val="08D02924"/>
    <w:rsid w:val="08DD1C62"/>
    <w:rsid w:val="08E54B90"/>
    <w:rsid w:val="08FF26FB"/>
    <w:rsid w:val="092217DD"/>
    <w:rsid w:val="093A7294"/>
    <w:rsid w:val="09402398"/>
    <w:rsid w:val="096F32E2"/>
    <w:rsid w:val="09864488"/>
    <w:rsid w:val="09917178"/>
    <w:rsid w:val="099D3131"/>
    <w:rsid w:val="099F5C8C"/>
    <w:rsid w:val="09C82C1A"/>
    <w:rsid w:val="09DE0275"/>
    <w:rsid w:val="09FE51BF"/>
    <w:rsid w:val="0A263993"/>
    <w:rsid w:val="0A2D3AC2"/>
    <w:rsid w:val="0A362895"/>
    <w:rsid w:val="0A43180B"/>
    <w:rsid w:val="0A502CC6"/>
    <w:rsid w:val="0A654B67"/>
    <w:rsid w:val="0A8A1AF2"/>
    <w:rsid w:val="0AA755DF"/>
    <w:rsid w:val="0AB129D4"/>
    <w:rsid w:val="0ACD66EA"/>
    <w:rsid w:val="0AE87AF2"/>
    <w:rsid w:val="0B120D44"/>
    <w:rsid w:val="0B283692"/>
    <w:rsid w:val="0B7D662E"/>
    <w:rsid w:val="0BD27BF6"/>
    <w:rsid w:val="0BDD317F"/>
    <w:rsid w:val="0C242C23"/>
    <w:rsid w:val="0C39355C"/>
    <w:rsid w:val="0C3B3C7D"/>
    <w:rsid w:val="0C5B5EEC"/>
    <w:rsid w:val="0C7A3C79"/>
    <w:rsid w:val="0CAB2EAE"/>
    <w:rsid w:val="0CBF428C"/>
    <w:rsid w:val="0CCB40DF"/>
    <w:rsid w:val="0CE90435"/>
    <w:rsid w:val="0CFD6EC8"/>
    <w:rsid w:val="0D356FE7"/>
    <w:rsid w:val="0D595B4D"/>
    <w:rsid w:val="0D621C7D"/>
    <w:rsid w:val="0D9B3CA7"/>
    <w:rsid w:val="0DD979BE"/>
    <w:rsid w:val="0DF420B6"/>
    <w:rsid w:val="0E06383A"/>
    <w:rsid w:val="0E1605F8"/>
    <w:rsid w:val="0E166555"/>
    <w:rsid w:val="0E3C35A9"/>
    <w:rsid w:val="0E73034D"/>
    <w:rsid w:val="0E9A3BA9"/>
    <w:rsid w:val="0E9B79D4"/>
    <w:rsid w:val="0EAF6EBA"/>
    <w:rsid w:val="0ED47DA7"/>
    <w:rsid w:val="0ED86B80"/>
    <w:rsid w:val="0F133786"/>
    <w:rsid w:val="0F13775A"/>
    <w:rsid w:val="0F20425A"/>
    <w:rsid w:val="0F5F45FE"/>
    <w:rsid w:val="0F9A112B"/>
    <w:rsid w:val="0FA20284"/>
    <w:rsid w:val="0FC00EF0"/>
    <w:rsid w:val="0FCA218D"/>
    <w:rsid w:val="0FE5386F"/>
    <w:rsid w:val="0FEC3A5C"/>
    <w:rsid w:val="1028716B"/>
    <w:rsid w:val="102F2668"/>
    <w:rsid w:val="10421A6C"/>
    <w:rsid w:val="106D2F64"/>
    <w:rsid w:val="107D1E9F"/>
    <w:rsid w:val="10944790"/>
    <w:rsid w:val="10B63710"/>
    <w:rsid w:val="10F10820"/>
    <w:rsid w:val="11190825"/>
    <w:rsid w:val="111C2F7A"/>
    <w:rsid w:val="113E028B"/>
    <w:rsid w:val="115F00C4"/>
    <w:rsid w:val="11665CA1"/>
    <w:rsid w:val="11677ADA"/>
    <w:rsid w:val="116A324B"/>
    <w:rsid w:val="1195145F"/>
    <w:rsid w:val="11A353F6"/>
    <w:rsid w:val="11EF0D4B"/>
    <w:rsid w:val="11F12C8D"/>
    <w:rsid w:val="121775BF"/>
    <w:rsid w:val="121F77FF"/>
    <w:rsid w:val="128B5315"/>
    <w:rsid w:val="128B7A46"/>
    <w:rsid w:val="12A537DE"/>
    <w:rsid w:val="12CC49AC"/>
    <w:rsid w:val="12D8084D"/>
    <w:rsid w:val="12E06F9F"/>
    <w:rsid w:val="13130C3B"/>
    <w:rsid w:val="134E49AB"/>
    <w:rsid w:val="137350BE"/>
    <w:rsid w:val="13790B80"/>
    <w:rsid w:val="13951726"/>
    <w:rsid w:val="13995240"/>
    <w:rsid w:val="13AC347F"/>
    <w:rsid w:val="13CA1788"/>
    <w:rsid w:val="13D15712"/>
    <w:rsid w:val="13FD3CDB"/>
    <w:rsid w:val="14396509"/>
    <w:rsid w:val="14631677"/>
    <w:rsid w:val="146F7241"/>
    <w:rsid w:val="14854F7E"/>
    <w:rsid w:val="14C94848"/>
    <w:rsid w:val="14D81C1E"/>
    <w:rsid w:val="14DC074F"/>
    <w:rsid w:val="14DD2C3C"/>
    <w:rsid w:val="15097AE7"/>
    <w:rsid w:val="15151889"/>
    <w:rsid w:val="151B3655"/>
    <w:rsid w:val="15920A0E"/>
    <w:rsid w:val="15B81CBE"/>
    <w:rsid w:val="15D67B01"/>
    <w:rsid w:val="15DD5B72"/>
    <w:rsid w:val="15E332A0"/>
    <w:rsid w:val="15E90C44"/>
    <w:rsid w:val="15F124E3"/>
    <w:rsid w:val="15F66A3F"/>
    <w:rsid w:val="15FF3D3A"/>
    <w:rsid w:val="16087E1D"/>
    <w:rsid w:val="160B4AC6"/>
    <w:rsid w:val="160D7B05"/>
    <w:rsid w:val="16272B54"/>
    <w:rsid w:val="163905BA"/>
    <w:rsid w:val="16CD20C7"/>
    <w:rsid w:val="16F337F3"/>
    <w:rsid w:val="16FF708F"/>
    <w:rsid w:val="17242FFC"/>
    <w:rsid w:val="174C7590"/>
    <w:rsid w:val="175E6215"/>
    <w:rsid w:val="17701D14"/>
    <w:rsid w:val="17735226"/>
    <w:rsid w:val="17AC4DC3"/>
    <w:rsid w:val="17BB2A51"/>
    <w:rsid w:val="17D55CB9"/>
    <w:rsid w:val="185332E7"/>
    <w:rsid w:val="18567E5D"/>
    <w:rsid w:val="188E3583"/>
    <w:rsid w:val="189F624C"/>
    <w:rsid w:val="18B0357C"/>
    <w:rsid w:val="18F0644B"/>
    <w:rsid w:val="19242765"/>
    <w:rsid w:val="192602D3"/>
    <w:rsid w:val="193703AB"/>
    <w:rsid w:val="193D28CC"/>
    <w:rsid w:val="19401B63"/>
    <w:rsid w:val="195A56E8"/>
    <w:rsid w:val="19602223"/>
    <w:rsid w:val="19617AB6"/>
    <w:rsid w:val="19B51DC3"/>
    <w:rsid w:val="19C239FC"/>
    <w:rsid w:val="19C64FA6"/>
    <w:rsid w:val="19CF4114"/>
    <w:rsid w:val="19EE3559"/>
    <w:rsid w:val="1A1C66C0"/>
    <w:rsid w:val="1A42393B"/>
    <w:rsid w:val="1A6E6711"/>
    <w:rsid w:val="1AA02DF6"/>
    <w:rsid w:val="1AAD45DE"/>
    <w:rsid w:val="1AD51BFD"/>
    <w:rsid w:val="1AE049AC"/>
    <w:rsid w:val="1AE413E4"/>
    <w:rsid w:val="1AF2243F"/>
    <w:rsid w:val="1B046F80"/>
    <w:rsid w:val="1B070BC2"/>
    <w:rsid w:val="1B11756E"/>
    <w:rsid w:val="1B1D363A"/>
    <w:rsid w:val="1B2674C4"/>
    <w:rsid w:val="1B282FAA"/>
    <w:rsid w:val="1B3267B5"/>
    <w:rsid w:val="1B3962B1"/>
    <w:rsid w:val="1B3B7BEA"/>
    <w:rsid w:val="1B40161D"/>
    <w:rsid w:val="1B4148A5"/>
    <w:rsid w:val="1B441859"/>
    <w:rsid w:val="1B5C1C57"/>
    <w:rsid w:val="1B6606B1"/>
    <w:rsid w:val="1B8A1521"/>
    <w:rsid w:val="1B9B1714"/>
    <w:rsid w:val="1BA95CEE"/>
    <w:rsid w:val="1BBB4DC1"/>
    <w:rsid w:val="1BD25E4D"/>
    <w:rsid w:val="1C117F00"/>
    <w:rsid w:val="1C5E7925"/>
    <w:rsid w:val="1C636685"/>
    <w:rsid w:val="1C6E05A8"/>
    <w:rsid w:val="1C954930"/>
    <w:rsid w:val="1CF702F6"/>
    <w:rsid w:val="1CFD070F"/>
    <w:rsid w:val="1D4B7F34"/>
    <w:rsid w:val="1D5F6196"/>
    <w:rsid w:val="1D6132A5"/>
    <w:rsid w:val="1D6B6484"/>
    <w:rsid w:val="1D8E56D5"/>
    <w:rsid w:val="1D9D29F7"/>
    <w:rsid w:val="1DA72EB9"/>
    <w:rsid w:val="1DB54336"/>
    <w:rsid w:val="1DB91C37"/>
    <w:rsid w:val="1DCA28B8"/>
    <w:rsid w:val="1DFE0AAF"/>
    <w:rsid w:val="1DFE4AC7"/>
    <w:rsid w:val="1E0E3278"/>
    <w:rsid w:val="1E3F40BD"/>
    <w:rsid w:val="1E7A43DA"/>
    <w:rsid w:val="1E7D5353"/>
    <w:rsid w:val="1E7F7F7D"/>
    <w:rsid w:val="1EDC1BAB"/>
    <w:rsid w:val="1EDF4B53"/>
    <w:rsid w:val="1F115D39"/>
    <w:rsid w:val="1F1B3C66"/>
    <w:rsid w:val="1F473EBE"/>
    <w:rsid w:val="1F74053B"/>
    <w:rsid w:val="1F9C1EDE"/>
    <w:rsid w:val="1FE7539E"/>
    <w:rsid w:val="202361CA"/>
    <w:rsid w:val="202364BE"/>
    <w:rsid w:val="204A73E8"/>
    <w:rsid w:val="20535708"/>
    <w:rsid w:val="20671BE0"/>
    <w:rsid w:val="20720618"/>
    <w:rsid w:val="20963CB8"/>
    <w:rsid w:val="20A81A1B"/>
    <w:rsid w:val="20B07FB6"/>
    <w:rsid w:val="20B646FB"/>
    <w:rsid w:val="20F92DC2"/>
    <w:rsid w:val="2112429D"/>
    <w:rsid w:val="211E2840"/>
    <w:rsid w:val="213B74B1"/>
    <w:rsid w:val="213F171D"/>
    <w:rsid w:val="213F64AF"/>
    <w:rsid w:val="214E3DC8"/>
    <w:rsid w:val="215A2310"/>
    <w:rsid w:val="215B5E1E"/>
    <w:rsid w:val="21646E52"/>
    <w:rsid w:val="216812A3"/>
    <w:rsid w:val="21785C30"/>
    <w:rsid w:val="217F5708"/>
    <w:rsid w:val="218A281B"/>
    <w:rsid w:val="21DE318A"/>
    <w:rsid w:val="21EF5B80"/>
    <w:rsid w:val="21F91F85"/>
    <w:rsid w:val="21FC0048"/>
    <w:rsid w:val="222F34E7"/>
    <w:rsid w:val="224648EA"/>
    <w:rsid w:val="22470AB5"/>
    <w:rsid w:val="225351C3"/>
    <w:rsid w:val="22576990"/>
    <w:rsid w:val="22837AA1"/>
    <w:rsid w:val="229A2724"/>
    <w:rsid w:val="22A50FB0"/>
    <w:rsid w:val="22AF0896"/>
    <w:rsid w:val="22BB531B"/>
    <w:rsid w:val="22F47480"/>
    <w:rsid w:val="22F71355"/>
    <w:rsid w:val="230052E5"/>
    <w:rsid w:val="232351A9"/>
    <w:rsid w:val="236A0040"/>
    <w:rsid w:val="23733CDF"/>
    <w:rsid w:val="237869AF"/>
    <w:rsid w:val="23830DCF"/>
    <w:rsid w:val="23A336AC"/>
    <w:rsid w:val="23DB14FB"/>
    <w:rsid w:val="23DE1C48"/>
    <w:rsid w:val="23E64CC2"/>
    <w:rsid w:val="23EF14AC"/>
    <w:rsid w:val="240210CD"/>
    <w:rsid w:val="24062738"/>
    <w:rsid w:val="240E0EB3"/>
    <w:rsid w:val="243A7631"/>
    <w:rsid w:val="24691E79"/>
    <w:rsid w:val="246A1004"/>
    <w:rsid w:val="24885E4D"/>
    <w:rsid w:val="248F6125"/>
    <w:rsid w:val="24A9730A"/>
    <w:rsid w:val="24AC460F"/>
    <w:rsid w:val="24B855AB"/>
    <w:rsid w:val="24BF09F7"/>
    <w:rsid w:val="24DE5462"/>
    <w:rsid w:val="24E82B84"/>
    <w:rsid w:val="24FD6F93"/>
    <w:rsid w:val="252D53FE"/>
    <w:rsid w:val="25480598"/>
    <w:rsid w:val="258B5D47"/>
    <w:rsid w:val="25B87AE8"/>
    <w:rsid w:val="25BE7EB3"/>
    <w:rsid w:val="25CD79B1"/>
    <w:rsid w:val="25D107B8"/>
    <w:rsid w:val="25E91F62"/>
    <w:rsid w:val="25EC2D81"/>
    <w:rsid w:val="25F33BB4"/>
    <w:rsid w:val="25FD0578"/>
    <w:rsid w:val="26177480"/>
    <w:rsid w:val="262B0B67"/>
    <w:rsid w:val="263733E1"/>
    <w:rsid w:val="263E177B"/>
    <w:rsid w:val="264431E2"/>
    <w:rsid w:val="26445799"/>
    <w:rsid w:val="266955F1"/>
    <w:rsid w:val="26753A69"/>
    <w:rsid w:val="26823BF8"/>
    <w:rsid w:val="26885300"/>
    <w:rsid w:val="26C67898"/>
    <w:rsid w:val="26D51168"/>
    <w:rsid w:val="26EE62D0"/>
    <w:rsid w:val="270B76ED"/>
    <w:rsid w:val="270E38A9"/>
    <w:rsid w:val="271B38CB"/>
    <w:rsid w:val="27272F26"/>
    <w:rsid w:val="273E78D7"/>
    <w:rsid w:val="277057A2"/>
    <w:rsid w:val="27A00A0E"/>
    <w:rsid w:val="27A30C20"/>
    <w:rsid w:val="27AE28E5"/>
    <w:rsid w:val="27B3551A"/>
    <w:rsid w:val="27BB388B"/>
    <w:rsid w:val="27C015FF"/>
    <w:rsid w:val="27C27C0B"/>
    <w:rsid w:val="27CE5D1D"/>
    <w:rsid w:val="27DC4140"/>
    <w:rsid w:val="28633973"/>
    <w:rsid w:val="28EF0462"/>
    <w:rsid w:val="29206EB8"/>
    <w:rsid w:val="29231ED1"/>
    <w:rsid w:val="29595666"/>
    <w:rsid w:val="29874881"/>
    <w:rsid w:val="29A13322"/>
    <w:rsid w:val="29AF4316"/>
    <w:rsid w:val="29CB6FBF"/>
    <w:rsid w:val="29D47CEC"/>
    <w:rsid w:val="29D67FDF"/>
    <w:rsid w:val="29E325E0"/>
    <w:rsid w:val="29E9194F"/>
    <w:rsid w:val="29FD39F5"/>
    <w:rsid w:val="2A412979"/>
    <w:rsid w:val="2A452503"/>
    <w:rsid w:val="2A9631CE"/>
    <w:rsid w:val="2AA62992"/>
    <w:rsid w:val="2AB1562B"/>
    <w:rsid w:val="2AC65675"/>
    <w:rsid w:val="2AC7033C"/>
    <w:rsid w:val="2ACB6DF0"/>
    <w:rsid w:val="2B1D36CB"/>
    <w:rsid w:val="2B253A88"/>
    <w:rsid w:val="2B2952A3"/>
    <w:rsid w:val="2B514D66"/>
    <w:rsid w:val="2BA936A8"/>
    <w:rsid w:val="2BA94677"/>
    <w:rsid w:val="2BCC24B9"/>
    <w:rsid w:val="2BCD11CE"/>
    <w:rsid w:val="2BFE70AC"/>
    <w:rsid w:val="2C315A5A"/>
    <w:rsid w:val="2C403070"/>
    <w:rsid w:val="2C4B1C25"/>
    <w:rsid w:val="2C775C21"/>
    <w:rsid w:val="2C810FF1"/>
    <w:rsid w:val="2C87340F"/>
    <w:rsid w:val="2CAC34C3"/>
    <w:rsid w:val="2CC633AC"/>
    <w:rsid w:val="2D19172E"/>
    <w:rsid w:val="2D1D1F5E"/>
    <w:rsid w:val="2D257946"/>
    <w:rsid w:val="2D2942C0"/>
    <w:rsid w:val="2D312055"/>
    <w:rsid w:val="2D443896"/>
    <w:rsid w:val="2D9976EE"/>
    <w:rsid w:val="2D9E56F5"/>
    <w:rsid w:val="2DA0260E"/>
    <w:rsid w:val="2DBF225A"/>
    <w:rsid w:val="2DCA5054"/>
    <w:rsid w:val="2DE50D88"/>
    <w:rsid w:val="2E121B87"/>
    <w:rsid w:val="2E3E2AA8"/>
    <w:rsid w:val="2E634859"/>
    <w:rsid w:val="2E667F96"/>
    <w:rsid w:val="2E6E6CBB"/>
    <w:rsid w:val="2E725787"/>
    <w:rsid w:val="2E740F8A"/>
    <w:rsid w:val="2E8226AB"/>
    <w:rsid w:val="2E95545F"/>
    <w:rsid w:val="2EC06EDA"/>
    <w:rsid w:val="2EE569A6"/>
    <w:rsid w:val="2F01350B"/>
    <w:rsid w:val="2F1170B3"/>
    <w:rsid w:val="2F46655E"/>
    <w:rsid w:val="2F61412B"/>
    <w:rsid w:val="2F974B8C"/>
    <w:rsid w:val="2FA2713A"/>
    <w:rsid w:val="2FD065E6"/>
    <w:rsid w:val="2FD252A8"/>
    <w:rsid w:val="2FD96870"/>
    <w:rsid w:val="301237D2"/>
    <w:rsid w:val="30204B81"/>
    <w:rsid w:val="30320C95"/>
    <w:rsid w:val="304F67BA"/>
    <w:rsid w:val="30580BC9"/>
    <w:rsid w:val="30757738"/>
    <w:rsid w:val="307C14FC"/>
    <w:rsid w:val="30901F80"/>
    <w:rsid w:val="30EB6378"/>
    <w:rsid w:val="311E2ED7"/>
    <w:rsid w:val="31457432"/>
    <w:rsid w:val="315619EE"/>
    <w:rsid w:val="315C449C"/>
    <w:rsid w:val="31875A98"/>
    <w:rsid w:val="3192385D"/>
    <w:rsid w:val="31995A24"/>
    <w:rsid w:val="31A438EB"/>
    <w:rsid w:val="31B82709"/>
    <w:rsid w:val="31CA15DD"/>
    <w:rsid w:val="31D05482"/>
    <w:rsid w:val="31D138A5"/>
    <w:rsid w:val="32105D24"/>
    <w:rsid w:val="32256938"/>
    <w:rsid w:val="32383558"/>
    <w:rsid w:val="32400B34"/>
    <w:rsid w:val="325B156D"/>
    <w:rsid w:val="32674B1F"/>
    <w:rsid w:val="329459AC"/>
    <w:rsid w:val="329E6876"/>
    <w:rsid w:val="32A61050"/>
    <w:rsid w:val="32AE42C4"/>
    <w:rsid w:val="32CE5CE8"/>
    <w:rsid w:val="32E90CAD"/>
    <w:rsid w:val="330A0802"/>
    <w:rsid w:val="332E5807"/>
    <w:rsid w:val="333015F2"/>
    <w:rsid w:val="334B6320"/>
    <w:rsid w:val="334F40FB"/>
    <w:rsid w:val="33544A5F"/>
    <w:rsid w:val="33611D60"/>
    <w:rsid w:val="33B23C1B"/>
    <w:rsid w:val="33C41711"/>
    <w:rsid w:val="33CC355C"/>
    <w:rsid w:val="33D30B0B"/>
    <w:rsid w:val="33D934D4"/>
    <w:rsid w:val="33E07D3E"/>
    <w:rsid w:val="33FE2F6A"/>
    <w:rsid w:val="340E07E5"/>
    <w:rsid w:val="341629DC"/>
    <w:rsid w:val="34235BF7"/>
    <w:rsid w:val="343F2AEA"/>
    <w:rsid w:val="344E5FF7"/>
    <w:rsid w:val="345830A1"/>
    <w:rsid w:val="3459754C"/>
    <w:rsid w:val="346017EC"/>
    <w:rsid w:val="347C25AD"/>
    <w:rsid w:val="349D3A41"/>
    <w:rsid w:val="34A76F2B"/>
    <w:rsid w:val="34E94971"/>
    <w:rsid w:val="3509652C"/>
    <w:rsid w:val="351044D7"/>
    <w:rsid w:val="352E5B46"/>
    <w:rsid w:val="354B1692"/>
    <w:rsid w:val="355500FE"/>
    <w:rsid w:val="355645A5"/>
    <w:rsid w:val="356B5681"/>
    <w:rsid w:val="358C5FA8"/>
    <w:rsid w:val="35947F42"/>
    <w:rsid w:val="35A67433"/>
    <w:rsid w:val="35C15DF1"/>
    <w:rsid w:val="35CB6416"/>
    <w:rsid w:val="35E05830"/>
    <w:rsid w:val="36074A7F"/>
    <w:rsid w:val="361853CF"/>
    <w:rsid w:val="368A3F1E"/>
    <w:rsid w:val="36923549"/>
    <w:rsid w:val="369C399F"/>
    <w:rsid w:val="36B75FBF"/>
    <w:rsid w:val="36B776B7"/>
    <w:rsid w:val="36BD0C45"/>
    <w:rsid w:val="36D61F0B"/>
    <w:rsid w:val="37476E97"/>
    <w:rsid w:val="37513661"/>
    <w:rsid w:val="376218B2"/>
    <w:rsid w:val="37632E45"/>
    <w:rsid w:val="3782320E"/>
    <w:rsid w:val="378D1CF2"/>
    <w:rsid w:val="379C647C"/>
    <w:rsid w:val="37E00298"/>
    <w:rsid w:val="38443B7D"/>
    <w:rsid w:val="3883421A"/>
    <w:rsid w:val="38A0216A"/>
    <w:rsid w:val="38B302F9"/>
    <w:rsid w:val="38C02F72"/>
    <w:rsid w:val="38CC289A"/>
    <w:rsid w:val="38E13C04"/>
    <w:rsid w:val="38F12CD3"/>
    <w:rsid w:val="38F94775"/>
    <w:rsid w:val="392971ED"/>
    <w:rsid w:val="39325651"/>
    <w:rsid w:val="393A2A38"/>
    <w:rsid w:val="39822C77"/>
    <w:rsid w:val="39B431F9"/>
    <w:rsid w:val="3A0908EA"/>
    <w:rsid w:val="3A126201"/>
    <w:rsid w:val="3A641AFE"/>
    <w:rsid w:val="3A76599E"/>
    <w:rsid w:val="3A872856"/>
    <w:rsid w:val="3B29601D"/>
    <w:rsid w:val="3B2A16DA"/>
    <w:rsid w:val="3B3763D1"/>
    <w:rsid w:val="3B565316"/>
    <w:rsid w:val="3B79521D"/>
    <w:rsid w:val="3BAE5737"/>
    <w:rsid w:val="3BB83CBF"/>
    <w:rsid w:val="3BE4061B"/>
    <w:rsid w:val="3BE7142E"/>
    <w:rsid w:val="3BFA71D9"/>
    <w:rsid w:val="3BFC2094"/>
    <w:rsid w:val="3C081AE2"/>
    <w:rsid w:val="3C0B23ED"/>
    <w:rsid w:val="3C170B59"/>
    <w:rsid w:val="3C215A02"/>
    <w:rsid w:val="3C2F6E1E"/>
    <w:rsid w:val="3C3C2BAB"/>
    <w:rsid w:val="3C3D0619"/>
    <w:rsid w:val="3C47755D"/>
    <w:rsid w:val="3C4F64BA"/>
    <w:rsid w:val="3C707B3E"/>
    <w:rsid w:val="3CC824DE"/>
    <w:rsid w:val="3CDA245A"/>
    <w:rsid w:val="3CE733F6"/>
    <w:rsid w:val="3CF44A66"/>
    <w:rsid w:val="3CF65E3F"/>
    <w:rsid w:val="3CFF57AF"/>
    <w:rsid w:val="3D05582A"/>
    <w:rsid w:val="3D1E06B7"/>
    <w:rsid w:val="3D396550"/>
    <w:rsid w:val="3D641B18"/>
    <w:rsid w:val="3D845559"/>
    <w:rsid w:val="3D87238C"/>
    <w:rsid w:val="3DAF26AF"/>
    <w:rsid w:val="3DCE66C8"/>
    <w:rsid w:val="3DF3171A"/>
    <w:rsid w:val="3E012033"/>
    <w:rsid w:val="3E0A0666"/>
    <w:rsid w:val="3E397ECC"/>
    <w:rsid w:val="3E5E70F0"/>
    <w:rsid w:val="3E8E46EA"/>
    <w:rsid w:val="3EAE5A4E"/>
    <w:rsid w:val="3EC07A4F"/>
    <w:rsid w:val="3EDA0523"/>
    <w:rsid w:val="3F024ECF"/>
    <w:rsid w:val="3F3E3EC3"/>
    <w:rsid w:val="3F7D5AB5"/>
    <w:rsid w:val="3F9A3E00"/>
    <w:rsid w:val="3FC26CB0"/>
    <w:rsid w:val="3FEE6A4A"/>
    <w:rsid w:val="3FF00402"/>
    <w:rsid w:val="400B60D3"/>
    <w:rsid w:val="405525A5"/>
    <w:rsid w:val="405A21CB"/>
    <w:rsid w:val="406311E6"/>
    <w:rsid w:val="407A6407"/>
    <w:rsid w:val="408F756D"/>
    <w:rsid w:val="409D5534"/>
    <w:rsid w:val="40DF4951"/>
    <w:rsid w:val="4101202D"/>
    <w:rsid w:val="41686B17"/>
    <w:rsid w:val="417B60BB"/>
    <w:rsid w:val="417D4802"/>
    <w:rsid w:val="41802114"/>
    <w:rsid w:val="41A02373"/>
    <w:rsid w:val="41F45E6E"/>
    <w:rsid w:val="4200449D"/>
    <w:rsid w:val="42140B73"/>
    <w:rsid w:val="423A3BCC"/>
    <w:rsid w:val="423D5A66"/>
    <w:rsid w:val="423E1206"/>
    <w:rsid w:val="424E57D2"/>
    <w:rsid w:val="42975FA8"/>
    <w:rsid w:val="42A166E3"/>
    <w:rsid w:val="42A5008C"/>
    <w:rsid w:val="42B26C49"/>
    <w:rsid w:val="42CA5CEC"/>
    <w:rsid w:val="42D34960"/>
    <w:rsid w:val="42E432A4"/>
    <w:rsid w:val="4313582C"/>
    <w:rsid w:val="431E13F4"/>
    <w:rsid w:val="43282777"/>
    <w:rsid w:val="43327179"/>
    <w:rsid w:val="43357DF9"/>
    <w:rsid w:val="433A6FE6"/>
    <w:rsid w:val="43480868"/>
    <w:rsid w:val="4350713C"/>
    <w:rsid w:val="4365788E"/>
    <w:rsid w:val="436653E0"/>
    <w:rsid w:val="43880F63"/>
    <w:rsid w:val="438E7199"/>
    <w:rsid w:val="43A57452"/>
    <w:rsid w:val="43C4431A"/>
    <w:rsid w:val="43D27098"/>
    <w:rsid w:val="44530A42"/>
    <w:rsid w:val="449A2C44"/>
    <w:rsid w:val="44B951CC"/>
    <w:rsid w:val="44CD14E0"/>
    <w:rsid w:val="44F20B0B"/>
    <w:rsid w:val="450869F0"/>
    <w:rsid w:val="450D7972"/>
    <w:rsid w:val="452E5F4C"/>
    <w:rsid w:val="45612018"/>
    <w:rsid w:val="456F5F4E"/>
    <w:rsid w:val="457167D6"/>
    <w:rsid w:val="458946E9"/>
    <w:rsid w:val="45942055"/>
    <w:rsid w:val="459F05AA"/>
    <w:rsid w:val="45A47C0E"/>
    <w:rsid w:val="45AB36C7"/>
    <w:rsid w:val="45BA69B5"/>
    <w:rsid w:val="45F94332"/>
    <w:rsid w:val="46577FD6"/>
    <w:rsid w:val="466A1202"/>
    <w:rsid w:val="46835CC9"/>
    <w:rsid w:val="468468AE"/>
    <w:rsid w:val="46B67B95"/>
    <w:rsid w:val="46C71579"/>
    <w:rsid w:val="46D955A7"/>
    <w:rsid w:val="46DF4172"/>
    <w:rsid w:val="46FF49D8"/>
    <w:rsid w:val="47133957"/>
    <w:rsid w:val="475B48E7"/>
    <w:rsid w:val="47607213"/>
    <w:rsid w:val="478718BE"/>
    <w:rsid w:val="47A07E0C"/>
    <w:rsid w:val="47C031D6"/>
    <w:rsid w:val="47CA5BC4"/>
    <w:rsid w:val="47E63F04"/>
    <w:rsid w:val="47E67EB6"/>
    <w:rsid w:val="48296AC9"/>
    <w:rsid w:val="482B0424"/>
    <w:rsid w:val="48356382"/>
    <w:rsid w:val="484F02A2"/>
    <w:rsid w:val="486A6E89"/>
    <w:rsid w:val="486B1A7A"/>
    <w:rsid w:val="486E0657"/>
    <w:rsid w:val="4870272E"/>
    <w:rsid w:val="487F029F"/>
    <w:rsid w:val="487F0B87"/>
    <w:rsid w:val="488E258E"/>
    <w:rsid w:val="48C46D85"/>
    <w:rsid w:val="48CC5568"/>
    <w:rsid w:val="48DE50D2"/>
    <w:rsid w:val="48E040E0"/>
    <w:rsid w:val="49517EC4"/>
    <w:rsid w:val="495824D6"/>
    <w:rsid w:val="496C36EB"/>
    <w:rsid w:val="4988305D"/>
    <w:rsid w:val="49AE23A4"/>
    <w:rsid w:val="49DC7715"/>
    <w:rsid w:val="4A023139"/>
    <w:rsid w:val="4A0C0F4F"/>
    <w:rsid w:val="4A2319E6"/>
    <w:rsid w:val="4A5A3051"/>
    <w:rsid w:val="4A7B576F"/>
    <w:rsid w:val="4A8F26EE"/>
    <w:rsid w:val="4ACC3E2B"/>
    <w:rsid w:val="4AF561A9"/>
    <w:rsid w:val="4B013AD5"/>
    <w:rsid w:val="4B187071"/>
    <w:rsid w:val="4B3D02F5"/>
    <w:rsid w:val="4B4A6F08"/>
    <w:rsid w:val="4B6F4BE6"/>
    <w:rsid w:val="4B801DE3"/>
    <w:rsid w:val="4BB05EFB"/>
    <w:rsid w:val="4BE256E4"/>
    <w:rsid w:val="4C2116FA"/>
    <w:rsid w:val="4C4A0649"/>
    <w:rsid w:val="4C527136"/>
    <w:rsid w:val="4C7E5ECA"/>
    <w:rsid w:val="4C876AA5"/>
    <w:rsid w:val="4CE22EC5"/>
    <w:rsid w:val="4D0E00FB"/>
    <w:rsid w:val="4D176606"/>
    <w:rsid w:val="4D700CBE"/>
    <w:rsid w:val="4DA44BEC"/>
    <w:rsid w:val="4DB83EEA"/>
    <w:rsid w:val="4DEC4FB0"/>
    <w:rsid w:val="4E075D8A"/>
    <w:rsid w:val="4E15008E"/>
    <w:rsid w:val="4E5A6BB8"/>
    <w:rsid w:val="4E6B689E"/>
    <w:rsid w:val="4EB67114"/>
    <w:rsid w:val="4EC00FAD"/>
    <w:rsid w:val="4EDA67A4"/>
    <w:rsid w:val="4EDC536C"/>
    <w:rsid w:val="4F077720"/>
    <w:rsid w:val="4F0C5A26"/>
    <w:rsid w:val="4F5A1355"/>
    <w:rsid w:val="4F7564B3"/>
    <w:rsid w:val="4F7B2534"/>
    <w:rsid w:val="4F8974CA"/>
    <w:rsid w:val="4F933FCE"/>
    <w:rsid w:val="4F9843DC"/>
    <w:rsid w:val="4FA709C3"/>
    <w:rsid w:val="4FC365B9"/>
    <w:rsid w:val="4FC62A8C"/>
    <w:rsid w:val="4FD07250"/>
    <w:rsid w:val="4FE20F0D"/>
    <w:rsid w:val="4FE51552"/>
    <w:rsid w:val="4FEF1918"/>
    <w:rsid w:val="50146059"/>
    <w:rsid w:val="503419BD"/>
    <w:rsid w:val="50504C4B"/>
    <w:rsid w:val="50592EAC"/>
    <w:rsid w:val="50593A6B"/>
    <w:rsid w:val="50626EA2"/>
    <w:rsid w:val="509C272A"/>
    <w:rsid w:val="509C6E7C"/>
    <w:rsid w:val="509F49DC"/>
    <w:rsid w:val="50A92A66"/>
    <w:rsid w:val="50ED082B"/>
    <w:rsid w:val="50F638CE"/>
    <w:rsid w:val="5107796B"/>
    <w:rsid w:val="511547D8"/>
    <w:rsid w:val="5162104E"/>
    <w:rsid w:val="518E20C8"/>
    <w:rsid w:val="519F5147"/>
    <w:rsid w:val="51A62061"/>
    <w:rsid w:val="51B76C08"/>
    <w:rsid w:val="51C55CE2"/>
    <w:rsid w:val="51CA1EC8"/>
    <w:rsid w:val="51D830B6"/>
    <w:rsid w:val="51F04FD0"/>
    <w:rsid w:val="521B326C"/>
    <w:rsid w:val="521C11F4"/>
    <w:rsid w:val="524F083F"/>
    <w:rsid w:val="52A37D53"/>
    <w:rsid w:val="52D53394"/>
    <w:rsid w:val="52D7511B"/>
    <w:rsid w:val="52DE483E"/>
    <w:rsid w:val="52E15F9A"/>
    <w:rsid w:val="52FD7B75"/>
    <w:rsid w:val="530A2432"/>
    <w:rsid w:val="530F1D81"/>
    <w:rsid w:val="531429AF"/>
    <w:rsid w:val="53491651"/>
    <w:rsid w:val="53577CA6"/>
    <w:rsid w:val="53A039CC"/>
    <w:rsid w:val="53A1505A"/>
    <w:rsid w:val="53B8069B"/>
    <w:rsid w:val="53C0565B"/>
    <w:rsid w:val="53CC77B0"/>
    <w:rsid w:val="53D71C1C"/>
    <w:rsid w:val="53F8004C"/>
    <w:rsid w:val="54060074"/>
    <w:rsid w:val="54063E08"/>
    <w:rsid w:val="543437E8"/>
    <w:rsid w:val="54362EC9"/>
    <w:rsid w:val="54564529"/>
    <w:rsid w:val="54A049D5"/>
    <w:rsid w:val="54EE4AC0"/>
    <w:rsid w:val="54F73313"/>
    <w:rsid w:val="54F80955"/>
    <w:rsid w:val="55014BE6"/>
    <w:rsid w:val="553B59DD"/>
    <w:rsid w:val="553E3500"/>
    <w:rsid w:val="555170A7"/>
    <w:rsid w:val="55771982"/>
    <w:rsid w:val="5587536D"/>
    <w:rsid w:val="55927591"/>
    <w:rsid w:val="55967510"/>
    <w:rsid w:val="559717AA"/>
    <w:rsid w:val="559A429B"/>
    <w:rsid w:val="559B174B"/>
    <w:rsid w:val="559E2206"/>
    <w:rsid w:val="55B4733C"/>
    <w:rsid w:val="55B82404"/>
    <w:rsid w:val="55CE0CF4"/>
    <w:rsid w:val="560E1E33"/>
    <w:rsid w:val="56182CD4"/>
    <w:rsid w:val="56620B9F"/>
    <w:rsid w:val="56726E70"/>
    <w:rsid w:val="567F3970"/>
    <w:rsid w:val="568852D0"/>
    <w:rsid w:val="56B0015D"/>
    <w:rsid w:val="56B22A9C"/>
    <w:rsid w:val="56C062D2"/>
    <w:rsid w:val="56F339D2"/>
    <w:rsid w:val="570C79C8"/>
    <w:rsid w:val="571701DC"/>
    <w:rsid w:val="57525266"/>
    <w:rsid w:val="577538D2"/>
    <w:rsid w:val="578467C0"/>
    <w:rsid w:val="579C5447"/>
    <w:rsid w:val="57B72A76"/>
    <w:rsid w:val="57BC7B9F"/>
    <w:rsid w:val="57C3426C"/>
    <w:rsid w:val="57CE1F93"/>
    <w:rsid w:val="57E02CC4"/>
    <w:rsid w:val="57F30ECA"/>
    <w:rsid w:val="581B0D4D"/>
    <w:rsid w:val="58455CFE"/>
    <w:rsid w:val="58734CD5"/>
    <w:rsid w:val="587F6193"/>
    <w:rsid w:val="588743D1"/>
    <w:rsid w:val="5887701A"/>
    <w:rsid w:val="58930412"/>
    <w:rsid w:val="5895585D"/>
    <w:rsid w:val="58CD28ED"/>
    <w:rsid w:val="58FA7CF7"/>
    <w:rsid w:val="590F7B43"/>
    <w:rsid w:val="59127D64"/>
    <w:rsid w:val="591730A9"/>
    <w:rsid w:val="594677CD"/>
    <w:rsid w:val="594B1686"/>
    <w:rsid w:val="59735457"/>
    <w:rsid w:val="59920B6B"/>
    <w:rsid w:val="59BB59E8"/>
    <w:rsid w:val="59C0439F"/>
    <w:rsid w:val="59E170F9"/>
    <w:rsid w:val="59EE637C"/>
    <w:rsid w:val="5A1966F4"/>
    <w:rsid w:val="5A22173D"/>
    <w:rsid w:val="5A496F58"/>
    <w:rsid w:val="5A790048"/>
    <w:rsid w:val="5AA622BF"/>
    <w:rsid w:val="5AB20948"/>
    <w:rsid w:val="5ABE2233"/>
    <w:rsid w:val="5ABE45A2"/>
    <w:rsid w:val="5AF440A0"/>
    <w:rsid w:val="5B0A214F"/>
    <w:rsid w:val="5B0F12D5"/>
    <w:rsid w:val="5B277277"/>
    <w:rsid w:val="5B412FF2"/>
    <w:rsid w:val="5B4D241F"/>
    <w:rsid w:val="5B653E6E"/>
    <w:rsid w:val="5B73323E"/>
    <w:rsid w:val="5B8F114A"/>
    <w:rsid w:val="5BA73CE0"/>
    <w:rsid w:val="5BB029AE"/>
    <w:rsid w:val="5BC5047D"/>
    <w:rsid w:val="5BDF5D95"/>
    <w:rsid w:val="5BED775E"/>
    <w:rsid w:val="5BFE7528"/>
    <w:rsid w:val="5C02145B"/>
    <w:rsid w:val="5C0C67D8"/>
    <w:rsid w:val="5C367546"/>
    <w:rsid w:val="5C4307BC"/>
    <w:rsid w:val="5C4E068B"/>
    <w:rsid w:val="5C502796"/>
    <w:rsid w:val="5C7958AD"/>
    <w:rsid w:val="5C8339A4"/>
    <w:rsid w:val="5C9A3D38"/>
    <w:rsid w:val="5CA96C01"/>
    <w:rsid w:val="5CC26747"/>
    <w:rsid w:val="5D2153F3"/>
    <w:rsid w:val="5D37598E"/>
    <w:rsid w:val="5D4E448F"/>
    <w:rsid w:val="5D8F7C82"/>
    <w:rsid w:val="5D916C44"/>
    <w:rsid w:val="5DCB54F2"/>
    <w:rsid w:val="5DCE3820"/>
    <w:rsid w:val="5DD402E3"/>
    <w:rsid w:val="5DD53F0D"/>
    <w:rsid w:val="5DF253B0"/>
    <w:rsid w:val="5DF42BDC"/>
    <w:rsid w:val="5E2467F1"/>
    <w:rsid w:val="5E2750AE"/>
    <w:rsid w:val="5E5B27D9"/>
    <w:rsid w:val="5EC95F75"/>
    <w:rsid w:val="5ED32616"/>
    <w:rsid w:val="5F0130FC"/>
    <w:rsid w:val="5F062D3D"/>
    <w:rsid w:val="5F1A2B43"/>
    <w:rsid w:val="5F27754A"/>
    <w:rsid w:val="5F2D0A0C"/>
    <w:rsid w:val="5F300AFB"/>
    <w:rsid w:val="5F34748C"/>
    <w:rsid w:val="5F48018D"/>
    <w:rsid w:val="5F733AB2"/>
    <w:rsid w:val="5F74567B"/>
    <w:rsid w:val="5F873E09"/>
    <w:rsid w:val="5F8E1258"/>
    <w:rsid w:val="5F9156AE"/>
    <w:rsid w:val="5FB837BB"/>
    <w:rsid w:val="5FBC33ED"/>
    <w:rsid w:val="5FC65AAC"/>
    <w:rsid w:val="6015392F"/>
    <w:rsid w:val="601856F1"/>
    <w:rsid w:val="602B2C87"/>
    <w:rsid w:val="60711B58"/>
    <w:rsid w:val="607D5069"/>
    <w:rsid w:val="60BD048E"/>
    <w:rsid w:val="60CC405A"/>
    <w:rsid w:val="60D8644E"/>
    <w:rsid w:val="60FF6C77"/>
    <w:rsid w:val="61076AB2"/>
    <w:rsid w:val="61280557"/>
    <w:rsid w:val="61391E6D"/>
    <w:rsid w:val="618E7EFD"/>
    <w:rsid w:val="61E215D8"/>
    <w:rsid w:val="62145910"/>
    <w:rsid w:val="621B3775"/>
    <w:rsid w:val="621E6123"/>
    <w:rsid w:val="62364782"/>
    <w:rsid w:val="623D44B3"/>
    <w:rsid w:val="625850F6"/>
    <w:rsid w:val="625B18C5"/>
    <w:rsid w:val="625D0ADF"/>
    <w:rsid w:val="627E7362"/>
    <w:rsid w:val="628A5119"/>
    <w:rsid w:val="629B63E4"/>
    <w:rsid w:val="62C2571F"/>
    <w:rsid w:val="63176370"/>
    <w:rsid w:val="6328201C"/>
    <w:rsid w:val="632E00A7"/>
    <w:rsid w:val="63503DF9"/>
    <w:rsid w:val="6394356A"/>
    <w:rsid w:val="63B90E00"/>
    <w:rsid w:val="63C61B2C"/>
    <w:rsid w:val="63C739A3"/>
    <w:rsid w:val="63D40BE9"/>
    <w:rsid w:val="63F51D29"/>
    <w:rsid w:val="63F52F21"/>
    <w:rsid w:val="63F93A70"/>
    <w:rsid w:val="63FB4BE9"/>
    <w:rsid w:val="63FF1F03"/>
    <w:rsid w:val="64102431"/>
    <w:rsid w:val="64174C8A"/>
    <w:rsid w:val="642A59F3"/>
    <w:rsid w:val="64407E9B"/>
    <w:rsid w:val="64962440"/>
    <w:rsid w:val="649E4C52"/>
    <w:rsid w:val="64A31301"/>
    <w:rsid w:val="64A5243A"/>
    <w:rsid w:val="64C55F1F"/>
    <w:rsid w:val="64C6383A"/>
    <w:rsid w:val="64F531DE"/>
    <w:rsid w:val="65157AC8"/>
    <w:rsid w:val="65243CC6"/>
    <w:rsid w:val="6528356F"/>
    <w:rsid w:val="652C16E9"/>
    <w:rsid w:val="652F7394"/>
    <w:rsid w:val="65373578"/>
    <w:rsid w:val="65393A14"/>
    <w:rsid w:val="65596C97"/>
    <w:rsid w:val="65A803D5"/>
    <w:rsid w:val="65D023D2"/>
    <w:rsid w:val="65D32BCB"/>
    <w:rsid w:val="663B6384"/>
    <w:rsid w:val="664D46E2"/>
    <w:rsid w:val="66524BC1"/>
    <w:rsid w:val="66C60743"/>
    <w:rsid w:val="66D9098C"/>
    <w:rsid w:val="66DB6DE2"/>
    <w:rsid w:val="671F124A"/>
    <w:rsid w:val="674612FF"/>
    <w:rsid w:val="677A33C6"/>
    <w:rsid w:val="677D24C8"/>
    <w:rsid w:val="67B65325"/>
    <w:rsid w:val="67BB172E"/>
    <w:rsid w:val="67EA5E61"/>
    <w:rsid w:val="67F057AC"/>
    <w:rsid w:val="68022A4B"/>
    <w:rsid w:val="681F6961"/>
    <w:rsid w:val="68273FF7"/>
    <w:rsid w:val="6846634D"/>
    <w:rsid w:val="68610A2F"/>
    <w:rsid w:val="68724017"/>
    <w:rsid w:val="68805514"/>
    <w:rsid w:val="689243F3"/>
    <w:rsid w:val="68D80538"/>
    <w:rsid w:val="68DD12E4"/>
    <w:rsid w:val="69316E2F"/>
    <w:rsid w:val="694E2071"/>
    <w:rsid w:val="696E55B1"/>
    <w:rsid w:val="69766163"/>
    <w:rsid w:val="697A3B33"/>
    <w:rsid w:val="698C441D"/>
    <w:rsid w:val="69961435"/>
    <w:rsid w:val="69A07A56"/>
    <w:rsid w:val="69D44760"/>
    <w:rsid w:val="6A186D06"/>
    <w:rsid w:val="6A367ED6"/>
    <w:rsid w:val="6A512C8B"/>
    <w:rsid w:val="6A520EC7"/>
    <w:rsid w:val="6A571A82"/>
    <w:rsid w:val="6A7277BA"/>
    <w:rsid w:val="6AF87E20"/>
    <w:rsid w:val="6B322639"/>
    <w:rsid w:val="6B4E3AE2"/>
    <w:rsid w:val="6B533849"/>
    <w:rsid w:val="6B8845FA"/>
    <w:rsid w:val="6B8F4A7B"/>
    <w:rsid w:val="6BD62536"/>
    <w:rsid w:val="6BDA62CE"/>
    <w:rsid w:val="6BDD567F"/>
    <w:rsid w:val="6BDE1811"/>
    <w:rsid w:val="6BE22CE6"/>
    <w:rsid w:val="6C205235"/>
    <w:rsid w:val="6C225202"/>
    <w:rsid w:val="6C3C2767"/>
    <w:rsid w:val="6C636C38"/>
    <w:rsid w:val="6C647774"/>
    <w:rsid w:val="6C67653F"/>
    <w:rsid w:val="6C781F5A"/>
    <w:rsid w:val="6C890448"/>
    <w:rsid w:val="6C9303AC"/>
    <w:rsid w:val="6CA70E8F"/>
    <w:rsid w:val="6CB57FA5"/>
    <w:rsid w:val="6D1F1741"/>
    <w:rsid w:val="6D762A39"/>
    <w:rsid w:val="6D8E42AC"/>
    <w:rsid w:val="6DB34098"/>
    <w:rsid w:val="6DB545B6"/>
    <w:rsid w:val="6DD16DF7"/>
    <w:rsid w:val="6DE02FB4"/>
    <w:rsid w:val="6DE15490"/>
    <w:rsid w:val="6E192C9E"/>
    <w:rsid w:val="6E2026D5"/>
    <w:rsid w:val="6E3A0F28"/>
    <w:rsid w:val="6E484777"/>
    <w:rsid w:val="6E514CED"/>
    <w:rsid w:val="6E867F08"/>
    <w:rsid w:val="6E9248C1"/>
    <w:rsid w:val="6EB563D5"/>
    <w:rsid w:val="6EBF11C8"/>
    <w:rsid w:val="6ED92677"/>
    <w:rsid w:val="6EFF33B8"/>
    <w:rsid w:val="6F225983"/>
    <w:rsid w:val="6F2637B4"/>
    <w:rsid w:val="6F327540"/>
    <w:rsid w:val="6F776321"/>
    <w:rsid w:val="6F7A08F8"/>
    <w:rsid w:val="6FB45735"/>
    <w:rsid w:val="6FC6134C"/>
    <w:rsid w:val="6FEE09EF"/>
    <w:rsid w:val="6FFC5590"/>
    <w:rsid w:val="70413AE7"/>
    <w:rsid w:val="70473CF9"/>
    <w:rsid w:val="7048670A"/>
    <w:rsid w:val="704E4381"/>
    <w:rsid w:val="7055204A"/>
    <w:rsid w:val="706D1DD0"/>
    <w:rsid w:val="706E0425"/>
    <w:rsid w:val="70856B87"/>
    <w:rsid w:val="70D527EE"/>
    <w:rsid w:val="70FA0726"/>
    <w:rsid w:val="71126777"/>
    <w:rsid w:val="714511F9"/>
    <w:rsid w:val="715B5300"/>
    <w:rsid w:val="71A70907"/>
    <w:rsid w:val="71AF4825"/>
    <w:rsid w:val="71B374B1"/>
    <w:rsid w:val="71C82C3E"/>
    <w:rsid w:val="71D27F8A"/>
    <w:rsid w:val="72553024"/>
    <w:rsid w:val="72587CBA"/>
    <w:rsid w:val="72BA0530"/>
    <w:rsid w:val="72C1590D"/>
    <w:rsid w:val="72CB03A1"/>
    <w:rsid w:val="72DB7073"/>
    <w:rsid w:val="730E4A54"/>
    <w:rsid w:val="73122968"/>
    <w:rsid w:val="731F5D5E"/>
    <w:rsid w:val="73577C82"/>
    <w:rsid w:val="736F38F7"/>
    <w:rsid w:val="73851FDD"/>
    <w:rsid w:val="739B2D3E"/>
    <w:rsid w:val="73A50094"/>
    <w:rsid w:val="73C51AD5"/>
    <w:rsid w:val="73D43285"/>
    <w:rsid w:val="73F90949"/>
    <w:rsid w:val="74185330"/>
    <w:rsid w:val="741E793C"/>
    <w:rsid w:val="7432150C"/>
    <w:rsid w:val="745E3944"/>
    <w:rsid w:val="748E607C"/>
    <w:rsid w:val="74A206DC"/>
    <w:rsid w:val="74C71328"/>
    <w:rsid w:val="74F00617"/>
    <w:rsid w:val="75792F4D"/>
    <w:rsid w:val="75903A3F"/>
    <w:rsid w:val="75B21702"/>
    <w:rsid w:val="75C23793"/>
    <w:rsid w:val="75EC3FED"/>
    <w:rsid w:val="75EC5C91"/>
    <w:rsid w:val="761611E9"/>
    <w:rsid w:val="7635099D"/>
    <w:rsid w:val="76382078"/>
    <w:rsid w:val="76567C2C"/>
    <w:rsid w:val="76984082"/>
    <w:rsid w:val="76AA29C3"/>
    <w:rsid w:val="76B007C7"/>
    <w:rsid w:val="76BD6F04"/>
    <w:rsid w:val="76D76E89"/>
    <w:rsid w:val="76EB4713"/>
    <w:rsid w:val="77762421"/>
    <w:rsid w:val="778D449C"/>
    <w:rsid w:val="779677B1"/>
    <w:rsid w:val="779D7B2A"/>
    <w:rsid w:val="77AC5F48"/>
    <w:rsid w:val="77B518A9"/>
    <w:rsid w:val="77B56B1F"/>
    <w:rsid w:val="780F09F4"/>
    <w:rsid w:val="781A0FD5"/>
    <w:rsid w:val="783E2857"/>
    <w:rsid w:val="789E37A8"/>
    <w:rsid w:val="78A90480"/>
    <w:rsid w:val="78D24E51"/>
    <w:rsid w:val="78ED5F92"/>
    <w:rsid w:val="7919689E"/>
    <w:rsid w:val="79315448"/>
    <w:rsid w:val="79517CF9"/>
    <w:rsid w:val="796D1148"/>
    <w:rsid w:val="79F53F55"/>
    <w:rsid w:val="7A1B3600"/>
    <w:rsid w:val="7A2A69EA"/>
    <w:rsid w:val="7A364017"/>
    <w:rsid w:val="7A50583C"/>
    <w:rsid w:val="7A5E7333"/>
    <w:rsid w:val="7A6C4291"/>
    <w:rsid w:val="7A702C9F"/>
    <w:rsid w:val="7A8265E1"/>
    <w:rsid w:val="7A8772A3"/>
    <w:rsid w:val="7ACF201F"/>
    <w:rsid w:val="7B301B2A"/>
    <w:rsid w:val="7B423452"/>
    <w:rsid w:val="7B433C3F"/>
    <w:rsid w:val="7B526BB1"/>
    <w:rsid w:val="7B5F0185"/>
    <w:rsid w:val="7B686D42"/>
    <w:rsid w:val="7B6E2211"/>
    <w:rsid w:val="7B841746"/>
    <w:rsid w:val="7BB67C52"/>
    <w:rsid w:val="7C173C20"/>
    <w:rsid w:val="7C1A5EF5"/>
    <w:rsid w:val="7C355A63"/>
    <w:rsid w:val="7C4C01DD"/>
    <w:rsid w:val="7C4E4CD2"/>
    <w:rsid w:val="7C530F7D"/>
    <w:rsid w:val="7C6C5AC7"/>
    <w:rsid w:val="7CB06E20"/>
    <w:rsid w:val="7CC6544B"/>
    <w:rsid w:val="7CC95044"/>
    <w:rsid w:val="7D0239FF"/>
    <w:rsid w:val="7D154945"/>
    <w:rsid w:val="7D1B6BB6"/>
    <w:rsid w:val="7D332247"/>
    <w:rsid w:val="7D3A6899"/>
    <w:rsid w:val="7D3C0D39"/>
    <w:rsid w:val="7D4F7E21"/>
    <w:rsid w:val="7D5E40CD"/>
    <w:rsid w:val="7D7E3022"/>
    <w:rsid w:val="7D8333F9"/>
    <w:rsid w:val="7D9C536E"/>
    <w:rsid w:val="7DB76FBB"/>
    <w:rsid w:val="7DCD56F2"/>
    <w:rsid w:val="7DD338C6"/>
    <w:rsid w:val="7DF217F7"/>
    <w:rsid w:val="7DF528C8"/>
    <w:rsid w:val="7E012947"/>
    <w:rsid w:val="7E190142"/>
    <w:rsid w:val="7E4D7A1D"/>
    <w:rsid w:val="7E5B50B3"/>
    <w:rsid w:val="7E5C2854"/>
    <w:rsid w:val="7E637144"/>
    <w:rsid w:val="7EAB552B"/>
    <w:rsid w:val="7ECA5D15"/>
    <w:rsid w:val="7ECF58BB"/>
    <w:rsid w:val="7F001CE7"/>
    <w:rsid w:val="7F554399"/>
    <w:rsid w:val="7F8823D8"/>
    <w:rsid w:val="7FD231B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qFormat/>
    <w:locked/>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locked/>
    <w:uiPriority w:val="1"/>
    <w:pPr>
      <w:keepNext/>
      <w:keepLines/>
      <w:adjustRightInd w:val="0"/>
      <w:snapToGrid w:val="0"/>
      <w:spacing w:line="500" w:lineRule="exact"/>
      <w:outlineLvl w:val="3"/>
    </w:pPr>
    <w:rPr>
      <w:rFonts w:ascii="Arial" w:hAnsi="Arial"/>
      <w:sz w:val="24"/>
      <w:szCs w:val="20"/>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next w:val="1"/>
    <w:qFormat/>
    <w:locked/>
    <w:uiPriority w:val="0"/>
    <w:pPr>
      <w:ind w:firstLine="420"/>
    </w:pPr>
  </w:style>
  <w:style w:type="paragraph" w:styleId="6">
    <w:name w:val="annotation text"/>
    <w:basedOn w:val="1"/>
    <w:link w:val="34"/>
    <w:semiHidden/>
    <w:qFormat/>
    <w:uiPriority w:val="0"/>
    <w:pPr>
      <w:jc w:val="left"/>
    </w:pPr>
    <w:rPr>
      <w:kern w:val="0"/>
      <w:sz w:val="24"/>
      <w:szCs w:val="20"/>
    </w:rPr>
  </w:style>
  <w:style w:type="paragraph" w:styleId="7">
    <w:name w:val="Body Text 3"/>
    <w:basedOn w:val="1"/>
    <w:unhideWhenUsed/>
    <w:qFormat/>
    <w:locked/>
    <w:uiPriority w:val="0"/>
    <w:pPr>
      <w:spacing w:line="360" w:lineRule="auto"/>
      <w:ind w:firstLine="200" w:firstLineChars="200"/>
      <w:jc w:val="center"/>
    </w:pPr>
    <w:rPr>
      <w:rFonts w:eastAsia="黑体"/>
      <w:sz w:val="24"/>
      <w:szCs w:val="20"/>
    </w:rPr>
  </w:style>
  <w:style w:type="paragraph" w:styleId="8">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6"/>
    <w:qFormat/>
    <w:uiPriority w:val="0"/>
    <w:pPr>
      <w:spacing w:after="120"/>
      <w:ind w:left="420" w:leftChars="200"/>
    </w:pPr>
    <w:rPr>
      <w:kern w:val="0"/>
      <w:sz w:val="24"/>
      <w:szCs w:val="20"/>
    </w:rPr>
  </w:style>
  <w:style w:type="paragraph" w:styleId="10">
    <w:name w:val="header"/>
    <w:basedOn w:val="1"/>
    <w:next w:val="11"/>
    <w:link w:val="33"/>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index heading"/>
    <w:basedOn w:val="1"/>
    <w:next w:val="12"/>
    <w:qFormat/>
    <w:locked/>
    <w:uiPriority w:val="0"/>
    <w:rPr>
      <w:rFonts w:ascii="Arial" w:hAnsi="Arial"/>
      <w:b/>
    </w:rPr>
  </w:style>
  <w:style w:type="paragraph" w:styleId="12">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3">
    <w:name w:val="Plain Text"/>
    <w:basedOn w:val="1"/>
    <w:next w:val="1"/>
    <w:qFormat/>
    <w:locked/>
    <w:uiPriority w:val="0"/>
    <w:rPr>
      <w:rFonts w:ascii="宋体" w:hAnsi="Courier New"/>
    </w:rPr>
  </w:style>
  <w:style w:type="paragraph" w:styleId="14">
    <w:name w:val="Date"/>
    <w:basedOn w:val="1"/>
    <w:next w:val="1"/>
    <w:link w:val="37"/>
    <w:qFormat/>
    <w:uiPriority w:val="0"/>
    <w:pPr>
      <w:ind w:left="100" w:leftChars="2500"/>
    </w:pPr>
    <w:rPr>
      <w:kern w:val="0"/>
      <w:sz w:val="24"/>
      <w:szCs w:val="20"/>
    </w:rPr>
  </w:style>
  <w:style w:type="paragraph" w:styleId="15">
    <w:name w:val="Body Text Indent 2"/>
    <w:basedOn w:val="1"/>
    <w:qFormat/>
    <w:locked/>
    <w:uiPriority w:val="0"/>
    <w:pPr>
      <w:spacing w:after="120" w:line="480" w:lineRule="auto"/>
      <w:ind w:left="420" w:leftChars="200"/>
    </w:pPr>
  </w:style>
  <w:style w:type="paragraph" w:styleId="16">
    <w:name w:val="Balloon Text"/>
    <w:basedOn w:val="1"/>
    <w:link w:val="38"/>
    <w:semiHidden/>
    <w:qFormat/>
    <w:uiPriority w:val="0"/>
    <w:rPr>
      <w:kern w:val="0"/>
      <w:sz w:val="18"/>
      <w:szCs w:val="20"/>
    </w:rPr>
  </w:style>
  <w:style w:type="paragraph" w:styleId="17">
    <w:name w:val="footer"/>
    <w:basedOn w:val="1"/>
    <w:link w:val="39"/>
    <w:qFormat/>
    <w:uiPriority w:val="99"/>
    <w:pPr>
      <w:tabs>
        <w:tab w:val="center" w:pos="4153"/>
        <w:tab w:val="right" w:pos="8306"/>
      </w:tabs>
      <w:snapToGrid w:val="0"/>
      <w:jc w:val="left"/>
    </w:pPr>
    <w:rPr>
      <w:kern w:val="0"/>
      <w:sz w:val="18"/>
      <w:szCs w:val="20"/>
    </w:rPr>
  </w:style>
  <w:style w:type="paragraph" w:styleId="18">
    <w:name w:val="List"/>
    <w:basedOn w:val="1"/>
    <w:qFormat/>
    <w:locked/>
    <w:uiPriority w:val="99"/>
    <w:pPr>
      <w:spacing w:line="280" w:lineRule="exact"/>
      <w:jc w:val="center"/>
    </w:pPr>
    <w:rPr>
      <w:rFonts w:ascii="宋体"/>
      <w:kern w:val="24"/>
    </w:rPr>
  </w:style>
  <w:style w:type="paragraph" w:styleId="19">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1"/>
    <w:semiHidden/>
    <w:qFormat/>
    <w:uiPriority w:val="0"/>
    <w:rPr>
      <w:b/>
    </w:rPr>
  </w:style>
  <w:style w:type="paragraph" w:styleId="21">
    <w:name w:val="Body Text First Indent"/>
    <w:basedOn w:val="8"/>
    <w:qFormat/>
    <w:locked/>
    <w:uiPriority w:val="0"/>
    <w:pPr>
      <w:spacing w:after="120" w:line="240" w:lineRule="auto"/>
      <w:ind w:firstLine="420" w:firstLineChars="100"/>
    </w:pPr>
    <w:rPr>
      <w:sz w:val="21"/>
      <w:szCs w:val="24"/>
    </w:rPr>
  </w:style>
  <w:style w:type="paragraph" w:styleId="22">
    <w:name w:val="Body Text First Indent 2"/>
    <w:basedOn w:val="1"/>
    <w:next w:val="21"/>
    <w:qFormat/>
    <w:locked/>
    <w:uiPriority w:val="0"/>
    <w:pPr>
      <w:ind w:firstLine="42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6">
    <w:name w:val="page number"/>
    <w:basedOn w:val="25"/>
    <w:qFormat/>
    <w:locked/>
    <w:uiPriority w:val="0"/>
  </w:style>
  <w:style w:type="character" w:styleId="27">
    <w:name w:val="annotation reference"/>
    <w:semiHidden/>
    <w:qFormat/>
    <w:uiPriority w:val="0"/>
    <w:rPr>
      <w:sz w:val="21"/>
    </w:rPr>
  </w:style>
  <w:style w:type="paragraph" w:customStyle="1" w:styleId="28">
    <w:name w:val="表格"/>
    <w:basedOn w:val="5"/>
    <w:next w:val="1"/>
    <w:link w:val="44"/>
    <w:qFormat/>
    <w:uiPriority w:val="0"/>
    <w:pPr>
      <w:adjustRightInd w:val="0"/>
      <w:snapToGrid w:val="0"/>
      <w:spacing w:beforeLines="10" w:afterLines="10" w:line="259" w:lineRule="auto"/>
      <w:jc w:val="center"/>
    </w:pPr>
    <w:rPr>
      <w:rFonts w:ascii="宋体"/>
      <w:kern w:val="0"/>
      <w:szCs w:val="20"/>
    </w:rPr>
  </w:style>
  <w:style w:type="paragraph" w:customStyle="1" w:styleId="2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0">
    <w:name w:val="文本"/>
    <w:basedOn w:val="1"/>
    <w:next w:val="5"/>
    <w:qFormat/>
    <w:uiPriority w:val="0"/>
    <w:pPr>
      <w:widowControl/>
      <w:spacing w:line="360" w:lineRule="auto"/>
      <w:ind w:firstLine="1440" w:firstLineChars="200"/>
    </w:pPr>
    <w:rPr>
      <w:color w:val="000000"/>
      <w:kern w:val="0"/>
      <w:sz w:val="24"/>
    </w:rPr>
  </w:style>
  <w:style w:type="paragraph" w:customStyle="1" w:styleId="31">
    <w:name w:val="文本正文"/>
    <w:basedOn w:val="21"/>
    <w:qFormat/>
    <w:uiPriority w:val="39"/>
    <w:pPr>
      <w:autoSpaceDE w:val="0"/>
      <w:autoSpaceDN w:val="0"/>
      <w:adjustRightInd w:val="0"/>
      <w:spacing w:line="360" w:lineRule="auto"/>
      <w:ind w:firstLine="510"/>
      <w:textAlignment w:val="baseline"/>
    </w:pPr>
    <w:rPr>
      <w:rFonts w:ascii="宋体" w:hAnsi="宋体"/>
      <w:snapToGrid w:val="0"/>
      <w:color w:val="000000"/>
      <w:spacing w:val="4"/>
      <w:kern w:val="18"/>
      <w:sz w:val="24"/>
    </w:rPr>
  </w:style>
  <w:style w:type="paragraph" w:customStyle="1" w:styleId="3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3">
    <w:name w:val="页眉 Char"/>
    <w:link w:val="10"/>
    <w:qFormat/>
    <w:locked/>
    <w:uiPriority w:val="0"/>
    <w:rPr>
      <w:sz w:val="18"/>
    </w:rPr>
  </w:style>
  <w:style w:type="character" w:customStyle="1" w:styleId="34">
    <w:name w:val="批注文字 Char"/>
    <w:link w:val="6"/>
    <w:qFormat/>
    <w:locked/>
    <w:uiPriority w:val="0"/>
    <w:rPr>
      <w:rFonts w:ascii="Times New Roman" w:hAnsi="Times New Roman" w:eastAsia="宋体"/>
      <w:sz w:val="24"/>
    </w:rPr>
  </w:style>
  <w:style w:type="character" w:customStyle="1" w:styleId="35">
    <w:name w:val="正文文本 Char"/>
    <w:link w:val="8"/>
    <w:qFormat/>
    <w:locked/>
    <w:uiPriority w:val="0"/>
    <w:rPr>
      <w:sz w:val="18"/>
    </w:rPr>
  </w:style>
  <w:style w:type="character" w:customStyle="1" w:styleId="36">
    <w:name w:val="正文文本缩进 Char"/>
    <w:link w:val="9"/>
    <w:semiHidden/>
    <w:qFormat/>
    <w:locked/>
    <w:uiPriority w:val="0"/>
    <w:rPr>
      <w:rFonts w:ascii="Times New Roman" w:hAnsi="Times New Roman" w:eastAsia="宋体"/>
      <w:sz w:val="24"/>
    </w:rPr>
  </w:style>
  <w:style w:type="character" w:customStyle="1" w:styleId="37">
    <w:name w:val="日期 Char"/>
    <w:link w:val="14"/>
    <w:qFormat/>
    <w:locked/>
    <w:uiPriority w:val="0"/>
    <w:rPr>
      <w:rFonts w:ascii="Times New Roman" w:hAnsi="Times New Roman" w:eastAsia="宋体"/>
      <w:sz w:val="24"/>
    </w:rPr>
  </w:style>
  <w:style w:type="character" w:customStyle="1" w:styleId="38">
    <w:name w:val="批注框文本 Char"/>
    <w:link w:val="16"/>
    <w:semiHidden/>
    <w:qFormat/>
    <w:locked/>
    <w:uiPriority w:val="0"/>
    <w:rPr>
      <w:rFonts w:ascii="Times New Roman" w:hAnsi="Times New Roman" w:eastAsia="宋体"/>
      <w:sz w:val="18"/>
    </w:rPr>
  </w:style>
  <w:style w:type="character" w:customStyle="1" w:styleId="39">
    <w:name w:val="页脚 Char"/>
    <w:link w:val="17"/>
    <w:qFormat/>
    <w:locked/>
    <w:uiPriority w:val="99"/>
    <w:rPr>
      <w:sz w:val="18"/>
    </w:rPr>
  </w:style>
  <w:style w:type="character" w:customStyle="1" w:styleId="40">
    <w:name w:val="普通(网站) Char"/>
    <w:link w:val="19"/>
    <w:qFormat/>
    <w:locked/>
    <w:uiPriority w:val="0"/>
    <w:rPr>
      <w:rFonts w:ascii="宋体" w:hAnsi="宋体" w:eastAsia="宋体"/>
      <w:sz w:val="24"/>
    </w:rPr>
  </w:style>
  <w:style w:type="character" w:customStyle="1" w:styleId="41">
    <w:name w:val="批注主题 Char"/>
    <w:link w:val="20"/>
    <w:semiHidden/>
    <w:qFormat/>
    <w:locked/>
    <w:uiPriority w:val="0"/>
    <w:rPr>
      <w:rFonts w:ascii="Times New Roman" w:hAnsi="Times New Roman" w:eastAsia="宋体"/>
      <w:b/>
      <w:kern w:val="2"/>
      <w:sz w:val="24"/>
    </w:rPr>
  </w:style>
  <w:style w:type="character" w:customStyle="1" w:styleId="42">
    <w:name w:val="批注文字 字符1"/>
    <w:semiHidden/>
    <w:qFormat/>
    <w:uiPriority w:val="0"/>
    <w:rPr>
      <w:rFonts w:ascii="Times New Roman" w:hAnsi="Times New Roman" w:eastAsia="宋体"/>
      <w:sz w:val="24"/>
    </w:rPr>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28"/>
    <w:qFormat/>
    <w:locked/>
    <w:uiPriority w:val="0"/>
    <w:rPr>
      <w:rFonts w:ascii="宋体"/>
      <w:sz w:val="21"/>
    </w:rPr>
  </w:style>
  <w:style w:type="character" w:customStyle="1" w:styleId="45">
    <w:name w:val="日期 字符"/>
    <w:semiHidden/>
    <w:qFormat/>
    <w:uiPriority w:val="0"/>
    <w:rPr>
      <w:rFonts w:ascii="Times New Roman" w:hAnsi="Times New Roman" w:eastAsia="宋体"/>
      <w:sz w:val="24"/>
    </w:rPr>
  </w:style>
  <w:style w:type="character" w:customStyle="1" w:styleId="46">
    <w:name w:val="页脚 字符"/>
    <w:basedOn w:val="25"/>
    <w:qFormat/>
    <w:uiPriority w:val="99"/>
  </w:style>
  <w:style w:type="paragraph" w:customStyle="1" w:styleId="47">
    <w:name w:val="F正文"/>
    <w:basedOn w:val="1"/>
    <w:qFormat/>
    <w:uiPriority w:val="0"/>
    <w:pPr>
      <w:spacing w:line="360" w:lineRule="auto"/>
      <w:ind w:firstLine="200" w:firstLineChars="200"/>
    </w:pPr>
    <w:rPr>
      <w:color w:val="000000"/>
      <w:kern w:val="0"/>
      <w:sz w:val="24"/>
    </w:rPr>
  </w:style>
  <w:style w:type="paragraph" w:customStyle="1" w:styleId="48">
    <w:name w:val="制表格"/>
    <w:basedOn w:val="1"/>
    <w:qFormat/>
    <w:uiPriority w:val="0"/>
    <w:pPr>
      <w:jc w:val="center"/>
    </w:pPr>
    <w:rPr>
      <w:snapToGrid w:val="0"/>
      <w:kern w:val="0"/>
      <w:szCs w:val="28"/>
    </w:rPr>
  </w:style>
  <w:style w:type="paragraph" w:customStyle="1" w:styleId="49">
    <w:name w:val="表格式"/>
    <w:basedOn w:val="18"/>
    <w:qFormat/>
    <w:uiPriority w:val="0"/>
    <w:pPr>
      <w:spacing w:before="156" w:beforeLines="50" w:after="156" w:afterLines="50" w:line="240" w:lineRule="exact"/>
    </w:pPr>
    <w:rPr>
      <w:rFonts w:ascii="Times New Roman"/>
      <w:kern w:val="2"/>
    </w:rPr>
  </w:style>
  <w:style w:type="paragraph" w:customStyle="1" w:styleId="5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1">
    <w:name w:val="List Paragraph"/>
    <w:basedOn w:val="1"/>
    <w:qFormat/>
    <w:uiPriority w:val="0"/>
    <w:pPr>
      <w:ind w:firstLine="420" w:firstLineChars="200"/>
    </w:pPr>
  </w:style>
  <w:style w:type="paragraph" w:customStyle="1" w:styleId="52">
    <w:name w:val="文本内容"/>
    <w:basedOn w:val="1"/>
    <w:qFormat/>
    <w:uiPriority w:val="0"/>
    <w:pPr>
      <w:widowControl/>
      <w:adjustRightInd w:val="0"/>
      <w:snapToGrid w:val="0"/>
      <w:spacing w:line="360" w:lineRule="auto"/>
      <w:ind w:firstLine="546" w:firstLineChars="200"/>
      <w:jc w:val="left"/>
    </w:pPr>
    <w:rPr>
      <w:sz w:val="28"/>
      <w:szCs w:val="20"/>
    </w:rPr>
  </w:style>
  <w:style w:type="paragraph" w:customStyle="1" w:styleId="53">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4">
    <w:name w:val="Table Paragraph"/>
    <w:basedOn w:val="1"/>
    <w:qFormat/>
    <w:uiPriority w:val="1"/>
    <w:rPr>
      <w:rFonts w:eastAsia="Times New Roman"/>
      <w:lang w:eastAsia="en-US" w:bidi="en-US"/>
    </w:rPr>
  </w:style>
  <w:style w:type="paragraph" w:customStyle="1" w:styleId="55">
    <w:name w:val="表标题"/>
    <w:basedOn w:val="1"/>
    <w:qFormat/>
    <w:uiPriority w:val="0"/>
    <w:pPr>
      <w:jc w:val="center"/>
    </w:pPr>
    <w:rPr>
      <w:b/>
    </w:rPr>
  </w:style>
  <w:style w:type="paragraph" w:customStyle="1" w:styleId="56">
    <w:name w:val="报告书表格"/>
    <w:basedOn w:val="1"/>
    <w:qFormat/>
    <w:uiPriority w:val="0"/>
    <w:pPr>
      <w:adjustRightInd w:val="0"/>
      <w:spacing w:before="60" w:after="60" w:line="240" w:lineRule="atLeast"/>
      <w:jc w:val="center"/>
      <w:textAlignment w:val="baseline"/>
    </w:pPr>
    <w:rPr>
      <w:kern w:val="0"/>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表格表头"/>
    <w:basedOn w:val="1"/>
    <w:qFormat/>
    <w:uiPriority w:val="0"/>
    <w:pPr>
      <w:widowControl/>
      <w:snapToGrid w:val="0"/>
      <w:jc w:val="center"/>
    </w:pPr>
    <w:rPr>
      <w:b/>
      <w:snapToGrid w:val="0"/>
      <w:kern w:val="0"/>
      <w:sz w:val="24"/>
      <w:lang w:val="zh-CN"/>
    </w:rPr>
  </w:style>
  <w:style w:type="paragraph" w:customStyle="1" w:styleId="60">
    <w:name w:val="l报告正文"/>
    <w:basedOn w:val="1"/>
    <w:qFormat/>
    <w:uiPriority w:val="0"/>
    <w:pPr>
      <w:snapToGrid w:val="0"/>
      <w:spacing w:line="360" w:lineRule="auto"/>
      <w:ind w:firstLine="420" w:firstLineChars="200"/>
    </w:pPr>
    <w:rPr>
      <w:rFonts w:hint="eastAsia"/>
      <w:sz w:val="24"/>
    </w:rPr>
  </w:style>
  <w:style w:type="paragraph" w:customStyle="1" w:styleId="61">
    <w:name w:val="报告正文"/>
    <w:basedOn w:val="1"/>
    <w:qFormat/>
    <w:uiPriority w:val="0"/>
    <w:pPr>
      <w:spacing w:line="360" w:lineRule="auto"/>
      <w:ind w:firstLine="480" w:firstLineChars="200"/>
    </w:pPr>
    <w:rPr>
      <w:color w:val="000000"/>
      <w:kern w:val="0"/>
      <w:sz w:val="24"/>
      <w:szCs w:val="20"/>
    </w:rPr>
  </w:style>
  <w:style w:type="paragraph" w:customStyle="1" w:styleId="62">
    <w:name w:val="表题"/>
    <w:basedOn w:val="1"/>
    <w:qFormat/>
    <w:uiPriority w:val="0"/>
    <w:pPr>
      <w:snapToGrid w:val="0"/>
      <w:jc w:val="center"/>
    </w:pPr>
    <w:rPr>
      <w:rFonts w:ascii="Calibri" w:hAnsi="Calibri" w:eastAsia="黑体"/>
      <w:kern w:val="0"/>
      <w:sz w:val="20"/>
    </w:rPr>
  </w:style>
  <w:style w:type="paragraph" w:customStyle="1" w:styleId="63">
    <w:name w:val="样式8"/>
    <w:basedOn w:val="1"/>
    <w:qFormat/>
    <w:uiPriority w:val="0"/>
    <w:pPr>
      <w:adjustRightInd w:val="0"/>
      <w:snapToGrid w:val="0"/>
      <w:jc w:val="center"/>
    </w:pPr>
    <w:rPr>
      <w:rFonts w:ascii="仿宋" w:hAnsi="仿宋" w:eastAsia="仿宋"/>
    </w:rPr>
  </w:style>
  <w:style w:type="character" w:customStyle="1" w:styleId="64">
    <w:name w:val="font21"/>
    <w:basedOn w:val="25"/>
    <w:qFormat/>
    <w:uiPriority w:val="0"/>
    <w:rPr>
      <w:rFonts w:hint="eastAsia" w:ascii="宋体" w:hAnsi="宋体" w:eastAsia="宋体" w:cs="宋体"/>
      <w:color w:val="000000"/>
      <w:sz w:val="21"/>
      <w:szCs w:val="21"/>
      <w:u w:val="none"/>
    </w:rPr>
  </w:style>
  <w:style w:type="character" w:customStyle="1" w:styleId="65">
    <w:name w:val="标题 2 Char Char"/>
    <w:qFormat/>
    <w:uiPriority w:val="0"/>
    <w:rPr>
      <w:rFonts w:ascii="Arial" w:hAnsi="Arial" w:eastAsia="黑体"/>
      <w:b/>
      <w:bCs/>
      <w:kern w:val="2"/>
      <w:sz w:val="32"/>
      <w:szCs w:val="32"/>
      <w:lang w:val="en-US" w:eastAsia="zh-CN" w:bidi="ar-SA"/>
    </w:rPr>
  </w:style>
  <w:style w:type="character" w:customStyle="1" w:styleId="66">
    <w:name w:val="NormalCharacter"/>
    <w:qFormat/>
    <w:uiPriority w:val="0"/>
  </w:style>
  <w:style w:type="table" w:customStyle="1" w:styleId="67">
    <w:name w:val="Table Normal"/>
    <w:semiHidden/>
    <w:unhideWhenUsed/>
    <w:qFormat/>
    <w:uiPriority w:val="0"/>
    <w:tblPr>
      <w:tblLayout w:type="fixed"/>
      <w:tblCellMar>
        <w:top w:w="0" w:type="dxa"/>
        <w:left w:w="0" w:type="dxa"/>
        <w:bottom w:w="0" w:type="dxa"/>
        <w:right w:w="0" w:type="dxa"/>
      </w:tblCellMar>
    </w:tblPr>
  </w:style>
  <w:style w:type="character" w:customStyle="1" w:styleId="68">
    <w:name w:val="font31"/>
    <w:basedOn w:val="25"/>
    <w:qFormat/>
    <w:uiPriority w:val="0"/>
    <w:rPr>
      <w:rFonts w:hint="eastAsia" w:ascii="宋体" w:hAnsi="宋体" w:eastAsia="宋体" w:cs="宋体"/>
      <w:color w:val="000000"/>
      <w:sz w:val="21"/>
      <w:szCs w:val="21"/>
      <w:u w:val="none"/>
    </w:rPr>
  </w:style>
  <w:style w:type="paragraph" w:customStyle="1" w:styleId="69">
    <w:name w:val="正文啊"/>
    <w:next w:val="1"/>
    <w:qFormat/>
    <w:uiPriority w:val="0"/>
    <w:pPr>
      <w:widowControl w:val="0"/>
      <w:adjustRightInd w:val="0"/>
      <w:spacing w:line="360" w:lineRule="auto"/>
      <w:ind w:firstLine="482" w:firstLineChars="200"/>
    </w:pPr>
    <w:rPr>
      <w:rFonts w:ascii="Times New Roman" w:hAnsi="Times New Roman" w:eastAsia="宋体" w:cs="Times New Roman"/>
      <w:sz w:val="24"/>
      <w:lang w:val="en-US" w:eastAsia="zh-CN" w:bidi="ar-SA"/>
    </w:rPr>
  </w:style>
  <w:style w:type="paragraph" w:customStyle="1" w:styleId="70">
    <w:name w:val="正文内容"/>
    <w:qFormat/>
    <w:uiPriority w:val="0"/>
    <w:pPr>
      <w:widowControl w:val="0"/>
      <w:snapToGrid w:val="0"/>
      <w:spacing w:before="60" w:after="60" w:line="44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71">
    <w:name w:val="表格内容"/>
    <w:basedOn w:val="72"/>
    <w:link w:val="74"/>
    <w:qFormat/>
    <w:uiPriority w:val="0"/>
    <w:pPr>
      <w:snapToGrid w:val="0"/>
      <w:ind w:firstLine="0" w:firstLineChars="0"/>
      <w:textAlignment w:val="center"/>
    </w:pPr>
    <w:rPr>
      <w:color w:val="000000"/>
      <w:kern w:val="0"/>
      <w:szCs w:val="21"/>
    </w:rPr>
  </w:style>
  <w:style w:type="paragraph" w:customStyle="1" w:styleId="72">
    <w:name w:val="表格标题"/>
    <w:basedOn w:val="73"/>
    <w:qFormat/>
    <w:uiPriority w:val="0"/>
    <w:pPr>
      <w:spacing w:line="240" w:lineRule="auto"/>
      <w:jc w:val="center"/>
    </w:pPr>
    <w:rPr>
      <w:b/>
      <w:sz w:val="21"/>
    </w:rPr>
  </w:style>
  <w:style w:type="paragraph" w:customStyle="1" w:styleId="73">
    <w:name w:val="方案正文"/>
    <w:basedOn w:val="1"/>
    <w:qFormat/>
    <w:uiPriority w:val="0"/>
    <w:pPr>
      <w:spacing w:line="360" w:lineRule="auto"/>
      <w:ind w:firstLine="200" w:firstLineChars="200"/>
    </w:pPr>
    <w:rPr>
      <w:sz w:val="24"/>
    </w:rPr>
  </w:style>
  <w:style w:type="character" w:customStyle="1" w:styleId="74">
    <w:name w:val="表格内容 Char"/>
    <w:link w:val="71"/>
    <w:qFormat/>
    <w:uiPriority w:val="0"/>
    <w:rPr>
      <w:rFonts w:ascii="Times New Roman" w:hAnsi="Times New Roman" w:cs="宋体"/>
      <w:color w:val="000000"/>
      <w:kern w:val="0"/>
      <w:sz w:val="21"/>
      <w:szCs w:val="21"/>
      <w:u w:val="none"/>
      <w:lang w:bidi="ar"/>
    </w:rPr>
  </w:style>
  <w:style w:type="paragraph" w:customStyle="1" w:styleId="75">
    <w:name w:val="三级标题"/>
    <w:basedOn w:val="76"/>
    <w:qFormat/>
    <w:uiPriority w:val="0"/>
    <w:pPr>
      <w:autoSpaceDE w:val="0"/>
      <w:autoSpaceDN w:val="0"/>
      <w:adjustRightInd w:val="0"/>
      <w:spacing w:before="120" w:after="120" w:line="440" w:lineRule="exact"/>
    </w:pPr>
    <w:rPr>
      <w:rFonts w:ascii="黑体" w:hAnsi="ˎ̥" w:eastAsia="黑体" w:cs="宋体"/>
      <w:sz w:val="28"/>
      <w:szCs w:val="28"/>
    </w:rPr>
  </w:style>
  <w:style w:type="paragraph" w:customStyle="1" w:styleId="76">
    <w:name w:val="一级标题"/>
    <w:basedOn w:val="1"/>
    <w:qFormat/>
    <w:uiPriority w:val="0"/>
    <w:pPr>
      <w:jc w:val="left"/>
    </w:pPr>
    <w:rPr>
      <w:b/>
      <w:sz w:val="30"/>
    </w:rPr>
  </w:style>
  <w:style w:type="paragraph" w:customStyle="1" w:styleId="77">
    <w:name w:val="样式 标题 1 + 四号 段前: 0 磅 段后: 0 磅 行距: 1.5 倍行距"/>
    <w:basedOn w:val="78"/>
    <w:next w:val="31"/>
    <w:qFormat/>
    <w:uiPriority w:val="0"/>
    <w:pPr>
      <w:spacing w:line="360" w:lineRule="auto"/>
      <w:jc w:val="center"/>
    </w:pPr>
    <w:rPr>
      <w:rFonts w:hAnsi="黑体" w:eastAsia="宋体"/>
      <w:sz w:val="21"/>
    </w:rPr>
  </w:style>
  <w:style w:type="paragraph" w:customStyle="1" w:styleId="78">
    <w:name w:val="1正文"/>
    <w:basedOn w:val="1"/>
    <w:qFormat/>
    <w:uiPriority w:val="0"/>
    <w:pPr>
      <w:spacing w:line="500" w:lineRule="exact"/>
      <w:ind w:firstLine="588" w:firstLineChars="196"/>
    </w:pPr>
    <w:rPr>
      <w:rFonts w:eastAsia="楷体_GB2312"/>
      <w:sz w:val="30"/>
      <w:szCs w:val="30"/>
    </w:rPr>
  </w:style>
  <w:style w:type="paragraph" w:customStyle="1" w:styleId="79">
    <w:name w:val="正文环评"/>
    <w:basedOn w:val="1"/>
    <w:qFormat/>
    <w:uiPriority w:val="0"/>
    <w:rPr>
      <w:szCs w:val="22"/>
    </w:rPr>
  </w:style>
  <w:style w:type="paragraph" w:customStyle="1" w:styleId="80">
    <w:name w:val="Table Text"/>
    <w:basedOn w:val="1"/>
    <w:semiHidden/>
    <w:qFormat/>
    <w:uiPriority w:val="0"/>
    <w:rPr>
      <w:rFonts w:ascii="宋体" w:hAnsi="宋体" w:cs="宋体"/>
      <w:sz w:val="20"/>
      <w:szCs w:val="20"/>
      <w:lang w:eastAsia="en-US"/>
    </w:rPr>
  </w:style>
  <w:style w:type="paragraph" w:customStyle="1" w:styleId="81">
    <w:name w:val="wy正文"/>
    <w:basedOn w:val="1"/>
    <w:qFormat/>
    <w:uiPriority w:val="0"/>
    <w:rPr>
      <w:kern w:val="0"/>
    </w:rPr>
  </w:style>
  <w:style w:type="paragraph" w:customStyle="1" w:styleId="82">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3">
    <w:name w:val="ggzbt011"/>
    <w:basedOn w:val="25"/>
    <w:qFormat/>
    <w:uiPriority w:val="0"/>
  </w:style>
  <w:style w:type="paragraph" w:customStyle="1" w:styleId="84">
    <w:name w:val="Default"/>
    <w:basedOn w:val="85"/>
    <w:next w:val="8"/>
    <w:qFormat/>
    <w:uiPriority w:val="0"/>
    <w:pPr>
      <w:autoSpaceDE w:val="0"/>
      <w:autoSpaceDN w:val="0"/>
    </w:pPr>
    <w:rPr>
      <w:rFonts w:hAnsi="宋体" w:cs="宋体"/>
      <w:color w:val="000000"/>
      <w:sz w:val="24"/>
      <w:szCs w:val="24"/>
    </w:rPr>
  </w:style>
  <w:style w:type="paragraph" w:customStyle="1" w:styleId="85">
    <w:name w:val="纯文本1"/>
    <w:basedOn w:val="1"/>
    <w:qFormat/>
    <w:uiPriority w:val="0"/>
    <w:pPr>
      <w:adjustRightInd w:val="0"/>
    </w:pPr>
    <w:rPr>
      <w:rFonts w:ascii="宋体" w:hAnsi="Courier New"/>
      <w:szCs w:val="20"/>
    </w:rPr>
  </w:style>
  <w:style w:type="paragraph" w:customStyle="1" w:styleId="86">
    <w:name w:val="表格文字"/>
    <w:basedOn w:val="5"/>
    <w:qFormat/>
    <w:uiPriority w:val="0"/>
    <w:pPr>
      <w:ind w:firstLine="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Microsoft_Visio_2003-2010___5.vsd"/><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Microsoft_Visio_2003-2010___4.vsd"/><Relationship Id="rId17" Type="http://schemas.openxmlformats.org/officeDocument/2006/relationships/image" Target="media/image4.emf"/><Relationship Id="rId16" Type="http://schemas.openxmlformats.org/officeDocument/2006/relationships/oleObject" Target="embeddings/Microsoft_Visio_2003-2010___3.vsd"/><Relationship Id="rId15" Type="http://schemas.openxmlformats.org/officeDocument/2006/relationships/image" Target="media/image3.emf"/><Relationship Id="rId14" Type="http://schemas.openxmlformats.org/officeDocument/2006/relationships/oleObject" Target="embeddings/Microsoft_Visio_2003-2010___2.vsd"/><Relationship Id="rId13" Type="http://schemas.openxmlformats.org/officeDocument/2006/relationships/image" Target="media/image2.emf"/><Relationship Id="rId12" Type="http://schemas.openxmlformats.org/officeDocument/2006/relationships/oleObject" Target="embeddings/Microsoft_Visio_2003-2010___1.vsd"/><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8a1c3411-8605-42ab-a1c0-46a71b34c04f</errorID>
      <errorWord>成分监测</errorWord>
      <group>L1_Word</group>
      <groupName>字词问题</groupName>
      <ability>L2_Typo</ability>
      <abilityName>字词错误</abilityName>
      <candidateList>
        <item>成分检测</item>
      </candidateList>
      <explain/>
      <paraID> 6D95F86</paraID>
      <start>10</start>
      <end>14</end>
      <status>unmodified</status>
      <modifiedWord/>
      <trackRevisions>false</trackRevisions>
    </reviewItem>
    <reviewItem>
      <errorID>a0fee569-a52a-47aa-bc08-090982e1f09d</errorID>
      <errorWord>上就</errorWord>
      <group>L1_AI</group>
      <groupName>深度校对</groupName>
      <ability>L2_AI_Word</ability>
      <abilityName>字词纠错</abilityName>
      <candidateList>
        <item>上</item>
      </candidateList>
      <explain/>
      <paraID>6AD3103E</paraID>
      <start>101</start>
      <end>103</end>
      <status>unmodified</status>
      <modifiedWord/>
      <trackRevisions>false</trackRevisions>
    </reviewItem>
    <reviewItem>
      <errorID>593fe4cb-ec2f-4f6f-8d2d-66166c091d1f</errorID>
      <errorWord>辅导产业</errorWord>
      <group>L1_Knowledge</group>
      <groupName>知识性问题</groupName>
      <ability>L2_Term</ability>
      <abilityName>专业术语</abilityName>
      <candidateList>
        <item>主导产业</item>
      </candidateList>
      <explain/>
      <paraID>6AD3103E</paraID>
      <start>187</start>
      <end>191</end>
      <status>unmodified</status>
      <modifiedWord/>
      <trackRevisions>false</trackRevisions>
    </reviewItem>
    <reviewItem>
      <errorID>fae07bc5-1484-4af7-8615-77121386445d</errorID>
      <errorWord>云南</errorWord>
      <group>L1_AI</group>
      <groupName>深度校对</groupName>
      <ability>L2_AI_Grammar</ability>
      <abilityName>语法纠错</abilityName>
      <candidateList>
        <item>内的云南</item>
      </candidateList>
      <explain/>
      <paraID>5D75ADB5</paraID>
      <start>25</start>
      <end>27</end>
      <status>unmodified</status>
      <modifiedWord/>
      <trackRevisions>false</trackRevisions>
    </reviewItem>
    <reviewItem>
      <errorID>3142fb24-a5a5-4df6-b243-74c7d2087c70</errorID>
      <errorWord>采用</errorWord>
      <group>L1_AI</group>
      <groupName>深度校对</groupName>
      <ability>L2_AI_Word</ability>
      <abilityName>字词纠错</abilityName>
      <candidateList>
        <item>以</item>
      </candidateList>
      <explain/>
      <paraID>5D75ADB5</paraID>
      <start>69</start>
      <end>71</end>
      <status>unmodified</status>
      <modifiedWord/>
      <trackRevisions>false</trackRevisions>
    </reviewItem>
    <reviewItem>
      <errorID>2b1b4419-b936-4787-b671-80036663fa3d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8AC4600</paraID>
      <start>70</start>
      <end>71</end>
      <status>unmodified</status>
      <modifiedWord/>
      <trackRevisions>false</trackRevisions>
    </reviewItem>
    <reviewItem>
      <errorID>0ffa9192-5f10-451c-88de-b6c04a7214c1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20F10B3D</paraID>
      <start>48</start>
      <end>49</end>
      <status>unmodified</status>
      <modifiedWord/>
      <trackRevisions>false</trackRevisions>
    </reviewItem>
    <reviewItem>
      <errorID>b31d0c35-129c-463b-a86a-530e4d0c7c89</errorID>
      <errorWord>条中</errorWord>
      <group>L1_Word</group>
      <groupName>字词问题</groupName>
      <ability>L2_Typo</ability>
      <abilityName>字词错误</abilityName>
      <candidateList>
        <item>条</item>
      </candidateList>
      <explain/>
      <paraID>3913027C</paraID>
      <start>94</start>
      <end>96</end>
      <status>unmodified</status>
      <modifiedWord/>
      <trackRevisions>false</trackRevisions>
    </reviewItem>
    <reviewItem>
      <errorID>3ead07f8-3f49-4ae2-b662-2282928edf96</errorID>
      <errorWord>口</errorWord>
      <group>L1_Knowledge</group>
      <groupName>知识性问题</groupName>
      <ability>L2_Knowledge</ability>
      <abilityName>其他知识</abilityName>
      <candidateList>
        <item>点</item>
      </candidateList>
      <explain/>
      <paraID>77A6B827</paraID>
      <start>0</start>
      <end>1</end>
      <status>ignored</status>
      <modifiedWord/>
      <trackRevisions>false</trackRevisions>
    </reviewItem>
    <reviewItem>
      <errorID>48de3911-07d1-4c10-9d06-f2102b686e3a</errorID>
      <errorWord>范</errorWord>
      <group>L1_Word</group>
      <groupName>字词问题</groupName>
      <ability>L2_Typo</ability>
      <abilityName>字词错误</abilityName>
      <candidateList>
        <item>范围</item>
      </candidateList>
      <explain>❶〈名〉周围界限：地区～｜工作～｜活动～｜他们谈话的～很广，涉及政治、科学、文学等各方面。❷〈书〉〈动〉限制；概括：纵横四溢，不可～。</explain>
      <paraID>58930AC3</paraID>
      <start>21</start>
      <end>22</end>
      <status>ignored</status>
      <modifiedWord/>
      <trackRevisions>false</trackRevisions>
    </reviewItem>
    <reviewItem>
      <errorID>e306376c-158b-4108-acd2-86a9b0c57a9d</errorID>
      <errorWord>厂地</errorWord>
      <group>L1_Word</group>
      <groupName>字词问题</groupName>
      <ability>L2_Typo</ability>
      <abilityName>字词错误</abilityName>
      <candidateList>
        <item>场地</item>
      </candidateList>
      <explain/>
      <paraID> D593B4D</paraID>
      <start>61</start>
      <end>63</end>
      <status>unmodified</status>
      <modifiedWord/>
      <trackRevisions>false</trackRevisions>
    </reviewItem>
    <reviewItem>
      <errorID>1db76738-12a7-4900-ab55-f45f8ea4b7f1</errorID>
      <errorWord>麟电</errorWord>
      <group>L1_Word</group>
      <groupName>字词问题</groupName>
      <ability>L2_Typo</ability>
      <abilityName>字词错误</abilityName>
      <candidateList>
        <item>锂电</item>
      </candidateList>
      <explain>存在发音相近字词的误用。</explain>
      <paraID> E19A034</paraID>
      <start>8</start>
      <end>10</end>
      <status>unmodified</status>
      <modifiedWord/>
      <trackRevisions>false</trackRevisions>
    </reviewItem>
    <reviewItem>
      <errorID>0e3d9d17-e2a6-4719-948d-28a5f8726024</errorID>
      <errorWord>物质</errorWord>
      <group>L1_Word</group>
      <groupName>字词问题</groupName>
      <ability>L2_Typo</ability>
      <abilityName>字词错误</abilityName>
      <candidateList>
        <item>物</item>
      </candidateList>
      <explain/>
      <paraID>2C6F8F60</paraID>
      <start>51</start>
      <end>53</end>
      <status>unmodified</status>
      <modifiedWord/>
      <trackRevisions>false</trackRevisions>
    </reviewItem>
    <reviewItem>
      <errorID>e82583a8-ea46-49fe-9cbf-13a20e2354aa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78587B97</paraID>
      <start>30</start>
      <end>31</end>
      <status>unmodified</status>
      <modifiedWord/>
      <trackRevisions>false</trackRevisions>
    </reviewItem>
    <reviewItem>
      <errorID>eb727142-aafd-4d5d-8fb6-9ab2e0ab6d28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7F74B1A7</paraID>
      <start>24</start>
      <end>25</end>
      <status>unmodified</status>
      <modifiedWord/>
      <trackRevisions>false</trackRevisions>
    </reviewItem>
    <reviewItem>
      <errorID>ae1f3c27-57d6-4e83-82b8-0282e7377fb9</errorID>
      <errorWord>限值</errorWord>
      <group>L1_Word</group>
      <groupName>字词问题</groupName>
      <ability>L2_Typo</ability>
      <abilityName>字词错误</abilityName>
      <candidateList>
        <item>限制</item>
      </candidateList>
      <explain/>
      <paraID>7FDC367F</paraID>
      <start>2</start>
      <end>4</end>
      <status>unmodified</status>
      <modifiedWord/>
      <trackRevisions>false</trackRevisions>
    </reviewItem>
    <reviewItem>
      <errorID>8f7c2e2c-fdd6-4ebb-99b2-0cae41b3ebfc</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54E21FE1</paraID>
      <start>6</start>
      <end>7</end>
      <status>unmodified</status>
      <modifiedWord/>
      <trackRevisions>false</trackRevisions>
    </reviewItem>
    <reviewItem>
      <errorID>d376499b-031f-4ca4-98fe-dfdfb883ba7a</errorID>
      <errorWord>酵母菌等</errorWord>
      <group>L1_Knowledge</group>
      <groupName>知识性问题</groupName>
      <ability>L2_Term</ability>
      <abilityName>专业术语</abilityName>
      <candidateList>
        <item>酵母菌属</item>
      </candidateList>
      <explain/>
      <paraID>3A18C979</paraID>
      <start>14</start>
      <end>18</end>
      <status>unmodified</status>
      <modifiedWord/>
      <trackRevisions>false</trackRevisions>
    </reviewItem>
    <reviewItem>
      <errorID>056ac16b-9310-4c5f-9db3-d1a1fb66e3e9</errorID>
      <errorWord>酵母菌等</errorWord>
      <group>L1_Knowledge</group>
      <groupName>知识性问题</groupName>
      <ability>L2_Term</ability>
      <abilityName>专业术语</abilityName>
      <candidateList>
        <item>酵母菌属</item>
      </candidateList>
      <explain/>
      <paraID>4E1B16B8</paraID>
      <start>14</start>
      <end>18</end>
      <status>unmodified</status>
      <modifiedWord/>
      <trackRevisions>false</trackRevisions>
    </reviewItem>
    <reviewItem>
      <errorID>4f481cd3-e065-4942-b6b7-0714748b55b6</errorID>
      <errorWord>起到了</errorWord>
      <group>L1_Word</group>
      <groupName>字词问题</groupName>
      <ability>L2_Typo</ability>
      <abilityName>字词错误</abilityName>
      <candidateList>
        <item>起到</item>
      </candidateList>
      <explain/>
      <paraID>72E53588</paraID>
      <start>215</start>
      <end>218</end>
      <status>unmodified</status>
      <modifiedWord/>
      <trackRevisions>false</trackRevisions>
    </reviewItem>
    <reviewItem>
      <errorID>e968ab94-0b5f-4101-98e3-5dca4ad6fd6e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2CBD3B8E</paraID>
      <start>30</start>
      <end>31</end>
      <status>unmodified</status>
      <modifiedWord/>
      <trackRevisions>false</trackRevisions>
    </reviewItem>
    <reviewItem>
      <errorID>70d27058-93fa-41d4-8e3b-9cbe8b40a812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32A73615</paraID>
      <start>23</start>
      <end>24</end>
      <status>unmodified</status>
      <modifiedWord/>
      <trackRevisions>false</trackRevisions>
    </reviewItem>
    <reviewItem>
      <errorID>602eeef1-394f-4862-b21f-bd4c5be57d1e</errorID>
      <errorWord>两种</errorWord>
      <group>L1_Knowledge</group>
      <groupName>知识性问题</groupName>
      <ability>L2_Knowledge</ability>
      <abilityName>其他知识</abilityName>
      <candidateList>
        <item>两款</item>
      </candidateList>
      <explain/>
      <paraID>5B2BDA96</paraID>
      <start>58</start>
      <end>60</end>
      <status>unmodified</status>
      <modifiedWord/>
      <trackRevisions>false</trackRevisions>
    </reviewItem>
    <reviewItem>
      <errorID>7ff2b37c-e33a-48dd-8674-cbf84f03f73c</errorID>
      <errorWord>草碳</errorWord>
      <group>L1_Word</group>
      <groupName>字词问题</groupName>
      <ability>L2_Typo</ability>
      <abilityName>字词错误</abilityName>
      <candidateList>
        <item>草炭</item>
      </candidateList>
      <explain/>
      <paraID> C91045E</paraID>
      <start>31</start>
      <end>33</end>
      <status>unmodified</status>
      <modifiedWord/>
      <trackRevisions>false</trackRevisions>
    </reviewItem>
    <reviewItem>
      <errorID>928a8043-1db1-427b-8be6-4b8726dbb82f</errorID>
      <errorWord>空隙</errorWord>
      <group>L1_Word</group>
      <groupName>字词问题</groupName>
      <ability>L2_Typo</ability>
      <abilityName>字词错误</abilityName>
      <candidateList>
        <item>孔隙</item>
      </candidateList>
      <explain>存在发音相同字词的误用。</explain>
      <paraID>6803E7BA</paraID>
      <start>465</start>
      <end>467</end>
      <status>unmodified</status>
      <modifiedWord/>
      <trackRevisions>false</trackRevisions>
    </reviewItem>
    <reviewItem>
      <errorID>aca5d0c8-05b8-4a9c-a024-de2a059a6148</errorID>
      <errorWord>制标</errorWord>
      <group>L1_Word</group>
      <groupName>字词问题</groupName>
      <ability>L2_Typo</ability>
      <abilityName>字词错误</abilityName>
      <candidateList>
        <item>指标</item>
      </candidateList>
      <explain>存在发音相同字词的误用。</explain>
      <paraID>6D8FEC69</paraID>
      <start>0</start>
      <end>2</end>
      <status>unmodified</status>
      <modifiedWord/>
      <trackRevisions>false</trackRevisions>
    </reviewItem>
    <reviewItem>
      <errorID>0216a167-0354-4737-8869-55b53c9c6468</errorID>
      <errorWord>碎石道路</errorWord>
      <group>L1_Knowledge</group>
      <groupName>知识性问题</groupName>
      <ability>L2_Term</ability>
      <abilityName>专业术语</abilityName>
      <candidateList>
        <item>碎石道碴</item>
      </candidateList>
      <explain/>
      <paraID>1B9B5D51</paraID>
      <start>14</start>
      <end>18</end>
      <status>unmodified</status>
      <modifiedWord/>
      <trackRevisions>false</trackRevisions>
    </reviewItem>
    <reviewItem>
      <errorID>7fb85080-8799-4e5a-b219-6ba67192a864</errorID>
      <errorWord>撤</errorWord>
      <group>L1_Word</group>
      <groupName>字词问题</groupName>
      <ability>L2_Typo</ability>
      <abilityName>字词错误</abilityName>
      <candidateList>
        <item>撒</item>
      </candidateList>
      <explain/>
      <paraID>7D0A2522</paraID>
      <start>59</start>
      <end>60</end>
      <status>unmodified</status>
      <modifiedWord/>
      <trackRevisions>false</trackRevisions>
    </reviewItem>
    <reviewItem>
      <errorID>c8b06ab1-e5be-4d5a-8b28-72ae4fdc6bea</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50D46570</paraID>
      <start>21</start>
      <end>24</end>
      <status>unmodified</status>
      <modifiedWord/>
      <trackRevisions>false</trackRevisions>
    </reviewItem>
    <reviewItem>
      <errorID>a8662864-48cb-47bc-b7c2-b2eb9e3cfd5c</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7C78E502</paraID>
      <start>76</start>
      <end>78</end>
      <status>unmodified</status>
      <modifiedWord/>
      <trackRevisions>false</trackRevisions>
    </reviewItem>
    <reviewItem>
      <errorID>dc42fe74-9775-4825-96ca-dd4390192104</errorID>
      <errorWord>即颗粒物</errorWord>
      <group>L1_Knowledge</group>
      <groupName>知识性问题</groupName>
      <ability>L2_Term</ability>
      <abilityName>专业术语</abilityName>
      <candidateList>
        <item>细颗粒物</item>
      </candidateList>
      <explain/>
      <paraID>495AA65D</paraID>
      <start>58</start>
      <end>62</end>
      <status>unmodified</status>
      <modifiedWord/>
      <trackRevisions>false</trackRevisions>
    </reviewItem>
    <reviewItem>
      <errorID>4494cb93-e52f-41ce-953a-ac95e7dba2ea</errorID>
      <errorWord>万</errorWord>
      <group>L1_Word</group>
      <groupName>字词问题</groupName>
      <ability>L2_Typo</ability>
      <abilityName>字词错误</abilityName>
      <candidateList>
        <item>万元</item>
      </candidateList>
      <explain/>
      <paraID>2C951F4F</paraID>
      <start>49</start>
      <end>50</end>
      <status>unmodified</status>
      <modifiedWord/>
      <trackRevisions>false</trackRevisions>
    </reviewItem>
    <reviewItem>
      <errorID>bb3c1029-5ef6-4b95-af5e-6723f66199df</errorID>
      <errorWord>负</errorWord>
      <group>L1_Word</group>
      <groupName>字词问题</groupName>
      <ability>L2_Typo</ability>
      <abilityName>字词错误</abilityName>
      <candidateList>
        <item>负有</item>
      </candidateList>
      <explain/>
      <paraID>6B7B15C0</paraID>
      <start>36</start>
      <end>37</end>
      <status>unmodified</status>
      <modifiedWord/>
      <trackRevisions>false</trackRevisions>
    </reviewItem>
    <reviewItem>
      <errorID>f73fe097-3ea6-4fc7-a063-31c1e000015d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CF611B4</paraID>
      <start>34</start>
      <end>35</end>
      <status>unmodified</status>
      <modifiedWord/>
      <trackRevisions>false</trackRevisions>
    </reviewItem>
    <reviewItem>
      <errorID>3f63a699-9f38-404d-bd7b-0ce8c5d36916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CF611B4</paraID>
      <start>73</start>
      <end>74</end>
      <status>unmodified</status>
      <modifiedWord/>
      <trackRevisions>false</trackRevisions>
    </reviewItem>
    <reviewItem>
      <errorID>ef5425a7-ce93-4a18-83ad-64d09526aef0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145E86FA</paraID>
      <start>88</start>
      <end>89</end>
      <status>unmodified</status>
      <modifiedWord/>
      <trackRevisions>false</trackRevisions>
    </reviewItem>
    <reviewItem>
      <errorID>9228f667-1905-4e78-88db-aa7ac169f171</errorID>
      <errorWord>（</errorWord>
      <group>L1_Format</group>
      <groupName>格式问题</groupName>
      <ability>L2_HalfPunc</ability>
      <abilityName>全半角检查</abilityName>
      <candidateList>
        <item>(</item>
      </candidateList>
      <explain>文本全半角错误。</explain>
      <paraID>4D450DFA</paraID>
      <start>4</start>
      <end>5</end>
      <status>unmodified</status>
      <modifiedWord/>
      <trackRevisions>false</trackRevisions>
    </reviewItem>
    <reviewItem>
      <errorID>0252df25-b520-4fee-8876-4fdf67995c1b</errorID>
      <errorWord>提高</errorWord>
      <group>L1_Grammar</group>
      <groupName>语法问题</groupName>
      <ability>L2_Grammar</ability>
      <abilityName>语法错误</abilityName>
      <candidateList>
        <item>增强</item>
      </candidateList>
      <explain>“提高～意识”搭配不当，建议修改为“增强～意识”。</explain>
      <paraID>33874C43</paraID>
      <start>16</start>
      <end>18</end>
      <status>unmodified</status>
      <modifiedWord/>
      <trackRevisions>false</trackRevisions>
    </reviewItem>
    <reviewItem>
      <errorID>0aa9f941-2718-44d5-b65a-3021d888f755</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 7433ACA</paraID>
      <start>46</start>
      <end>50</end>
      <status>unmodified</status>
      <modifiedWord/>
      <trackRevisions>false</trackRevisions>
    </reviewItem>
    <reviewItem>
      <errorID>2fbfa26d-52e9-4b58-bf56-748f9abd45a5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29A56E48</paraID>
      <start>30</start>
      <end>31</end>
      <status>unmodified</status>
      <modifiedWord/>
      <trackRevisions>false</trackRevisions>
    </reviewItem>
    <reviewItem>
      <errorID>762b8b88-23b6-4137-a096-965c7e74a15f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669F034C</paraID>
      <start>24</start>
      <end>25</end>
      <status>unmodified</status>
      <modifiedWord/>
      <trackRevisions>false</trackRevisions>
    </reviewItem>
    <reviewItem>
      <errorID>d251ac86-a923-4c75-9c72-adcc81070081</errorID>
      <errorWord>提高</errorWord>
      <group>L1_Grammar</group>
      <groupName>语法问题</groupName>
      <ability>L2_Grammar</ability>
      <abilityName>语法错误</abilityName>
      <candidateList>
        <item>增强</item>
      </candidateList>
      <explain>“提高～意识”搭配不当，建议修改为“增强～意识”。</explain>
      <paraID>6DA943B5</paraID>
      <start>16</start>
      <end>18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d240ab-f67e-4c06-af4e-ba85b3e3022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94</Pages>
  <Words>1712</Words>
  <Characters>1895</Characters>
  <Lines>495</Lines>
  <Paragraphs>139</Paragraphs>
  <TotalTime>352</TotalTime>
  <ScaleCrop>false</ScaleCrop>
  <LinksUpToDate>false</LinksUpToDate>
  <CharactersWithSpaces>2105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学而知之</cp:lastModifiedBy>
  <cp:lastPrinted>2020-12-29T02:43:00Z</cp:lastPrinted>
  <dcterms:modified xsi:type="dcterms:W3CDTF">2026-02-16T06:29:30Z</dcterms:modified>
  <dc:title>附件2</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0CC72884977149189A84F387BA18722A</vt:lpwstr>
  </property>
  <property fmtid="{D5CDD505-2E9C-101B-9397-08002B2CF9AE}" pid="4" name="KSOTemplateDocerSaveRecord">
    <vt:lpwstr>eyJoZGlkIjoiOTc5MzZiOTVlYzA1Y2QxZjJhNzRkYjUxYWVhZGEwN2UiLCJ1c2VySWQiOiIxNzQ3Nzk0OTE3In0=</vt:lpwstr>
  </property>
</Properties>
</file>